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11" w:rsidRDefault="00B67B11" w:rsidP="00A9140E">
      <w:bookmarkStart w:id="0" w:name="_GoBack"/>
      <w:bookmarkEnd w:id="0"/>
      <w:r>
        <w:rPr>
          <w:b/>
          <w:color w:val="E36C0A" w:themeColor="accent6" w:themeShade="BF"/>
          <w:sz w:val="32"/>
          <w:szCs w:val="32"/>
        </w:rPr>
        <w:t>Case histories: Post-Implementation Reviews</w:t>
      </w:r>
    </w:p>
    <w:p w:rsidR="00954F16" w:rsidRPr="00954F16" w:rsidRDefault="00A9140E" w:rsidP="00954F16">
      <w:pPr>
        <w:rPr>
          <w:sz w:val="24"/>
          <w:szCs w:val="24"/>
        </w:rPr>
      </w:pPr>
      <w:r w:rsidRPr="00954F16">
        <w:rPr>
          <w:sz w:val="24"/>
          <w:szCs w:val="24"/>
        </w:rPr>
        <w:t>The aim of this section is to provide practical advice on</w:t>
      </w:r>
      <w:r w:rsidR="00985AE7" w:rsidRPr="00954F16">
        <w:rPr>
          <w:sz w:val="24"/>
          <w:szCs w:val="24"/>
        </w:rPr>
        <w:t xml:space="preserve"> the key</w:t>
      </w:r>
      <w:r w:rsidR="00920E0C" w:rsidRPr="00954F16">
        <w:rPr>
          <w:sz w:val="24"/>
          <w:szCs w:val="24"/>
        </w:rPr>
        <w:t xml:space="preserve"> analytical </w:t>
      </w:r>
      <w:r w:rsidR="009770C4" w:rsidRPr="00954F16">
        <w:rPr>
          <w:sz w:val="24"/>
          <w:szCs w:val="24"/>
        </w:rPr>
        <w:t>questions</w:t>
      </w:r>
      <w:r w:rsidR="00920E0C" w:rsidRPr="00954F16">
        <w:rPr>
          <w:sz w:val="24"/>
          <w:szCs w:val="24"/>
        </w:rPr>
        <w:t xml:space="preserve"> </w:t>
      </w:r>
      <w:r w:rsidR="00985AE7" w:rsidRPr="00954F16">
        <w:rPr>
          <w:sz w:val="24"/>
          <w:szCs w:val="24"/>
        </w:rPr>
        <w:t>to consider when undertaking a</w:t>
      </w:r>
      <w:r w:rsidR="00920E0C" w:rsidRPr="00954F16">
        <w:rPr>
          <w:sz w:val="24"/>
          <w:szCs w:val="24"/>
        </w:rPr>
        <w:t xml:space="preserve"> post-implementation review</w:t>
      </w:r>
      <w:r w:rsidR="00596DEF" w:rsidRPr="00954F16">
        <w:rPr>
          <w:sz w:val="24"/>
          <w:szCs w:val="24"/>
        </w:rPr>
        <w:t xml:space="preserve"> (PIR)</w:t>
      </w:r>
      <w:r w:rsidR="00920E0C" w:rsidRPr="00954F16">
        <w:rPr>
          <w:sz w:val="24"/>
          <w:szCs w:val="24"/>
        </w:rPr>
        <w:t xml:space="preserve">. </w:t>
      </w:r>
      <w:r w:rsidR="00822147" w:rsidRPr="00954F16">
        <w:rPr>
          <w:sz w:val="24"/>
          <w:szCs w:val="24"/>
        </w:rPr>
        <w:t xml:space="preserve">It outlines </w:t>
      </w:r>
      <w:r w:rsidR="00FF0800" w:rsidRPr="00954F16">
        <w:rPr>
          <w:sz w:val="24"/>
          <w:szCs w:val="24"/>
        </w:rPr>
        <w:t>a</w:t>
      </w:r>
      <w:r w:rsidR="00920E0C" w:rsidRPr="00954F16">
        <w:rPr>
          <w:sz w:val="24"/>
          <w:szCs w:val="24"/>
        </w:rPr>
        <w:t xml:space="preserve"> proportionate</w:t>
      </w:r>
      <w:r w:rsidR="00FF0800" w:rsidRPr="00954F16">
        <w:rPr>
          <w:sz w:val="24"/>
          <w:szCs w:val="24"/>
        </w:rPr>
        <w:t xml:space="preserve"> approach to</w:t>
      </w:r>
      <w:r w:rsidR="009770C4" w:rsidRPr="00954F16">
        <w:rPr>
          <w:sz w:val="24"/>
          <w:szCs w:val="24"/>
        </w:rPr>
        <w:t xml:space="preserve"> </w:t>
      </w:r>
      <w:r w:rsidR="00FF0800" w:rsidRPr="00954F16">
        <w:rPr>
          <w:sz w:val="24"/>
          <w:szCs w:val="24"/>
        </w:rPr>
        <w:t>the</w:t>
      </w:r>
      <w:r w:rsidR="009770C4" w:rsidRPr="00954F16">
        <w:rPr>
          <w:sz w:val="24"/>
          <w:szCs w:val="24"/>
        </w:rPr>
        <w:t xml:space="preserve"> evidence and analysis </w:t>
      </w:r>
      <w:r w:rsidR="00FF0800" w:rsidRPr="00954F16">
        <w:rPr>
          <w:sz w:val="24"/>
          <w:szCs w:val="24"/>
        </w:rPr>
        <w:t xml:space="preserve">used to evaluate the impacts of a regulatory change, and </w:t>
      </w:r>
      <w:r w:rsidR="003306AC" w:rsidRPr="00954F16">
        <w:rPr>
          <w:sz w:val="24"/>
          <w:szCs w:val="24"/>
        </w:rPr>
        <w:t>to</w:t>
      </w:r>
      <w:r w:rsidR="00FF0800" w:rsidRPr="00954F16">
        <w:rPr>
          <w:sz w:val="24"/>
          <w:szCs w:val="24"/>
        </w:rPr>
        <w:t xml:space="preserve"> support </w:t>
      </w:r>
      <w:r w:rsidR="003306AC" w:rsidRPr="00954F16">
        <w:rPr>
          <w:sz w:val="24"/>
          <w:szCs w:val="24"/>
        </w:rPr>
        <w:t>a</w:t>
      </w:r>
      <w:r w:rsidR="00FF0800" w:rsidRPr="00954F16">
        <w:rPr>
          <w:sz w:val="24"/>
          <w:szCs w:val="24"/>
        </w:rPr>
        <w:t xml:space="preserve"> department’s</w:t>
      </w:r>
      <w:r w:rsidR="00920E0C" w:rsidRPr="00954F16">
        <w:rPr>
          <w:sz w:val="24"/>
          <w:szCs w:val="24"/>
        </w:rPr>
        <w:t xml:space="preserve"> preferred option.</w:t>
      </w:r>
    </w:p>
    <w:p w:rsidR="00954F16" w:rsidRPr="00954F16" w:rsidRDefault="00954F16" w:rsidP="00954F16">
      <w:pPr>
        <w:rPr>
          <w:rFonts w:cstheme="minorHAnsi"/>
          <w:b/>
          <w:color w:val="984806" w:themeColor="accent6" w:themeShade="80"/>
          <w:sz w:val="28"/>
          <w:szCs w:val="28"/>
        </w:rPr>
      </w:pPr>
      <w:r>
        <w:rPr>
          <w:rFonts w:cstheme="minorHAnsi"/>
          <w:b/>
          <w:color w:val="984806" w:themeColor="accent6" w:themeShade="80"/>
          <w:sz w:val="28"/>
          <w:szCs w:val="28"/>
        </w:rPr>
        <w:t>Framework</w:t>
      </w:r>
    </w:p>
    <w:p w:rsidR="00CD671C" w:rsidRPr="00954F16" w:rsidRDefault="00CD671C" w:rsidP="00CD671C">
      <w:pPr>
        <w:rPr>
          <w:sz w:val="24"/>
          <w:szCs w:val="24"/>
        </w:rPr>
      </w:pPr>
      <w:r w:rsidRPr="00954F16">
        <w:rPr>
          <w:sz w:val="24"/>
          <w:szCs w:val="24"/>
        </w:rPr>
        <w:t>This section is structured around the four analytical questions in the d</w:t>
      </w:r>
      <w:r w:rsidR="00040D6A" w:rsidRPr="00954F16">
        <w:rPr>
          <w:sz w:val="24"/>
          <w:szCs w:val="24"/>
        </w:rPr>
        <w:t xml:space="preserve">iagram below. These draw on the framework in </w:t>
      </w:r>
      <w:r w:rsidR="00240987" w:rsidRPr="00954F16">
        <w:rPr>
          <w:sz w:val="24"/>
          <w:szCs w:val="24"/>
        </w:rPr>
        <w:t>‘</w:t>
      </w:r>
      <w:r w:rsidR="00040D6A" w:rsidRPr="00954F16">
        <w:rPr>
          <w:sz w:val="24"/>
          <w:szCs w:val="24"/>
        </w:rPr>
        <w:t>Figure 6: PIR Questions</w:t>
      </w:r>
      <w:r w:rsidR="00240987" w:rsidRPr="00954F16">
        <w:rPr>
          <w:sz w:val="24"/>
          <w:szCs w:val="24"/>
        </w:rPr>
        <w:t>’</w:t>
      </w:r>
      <w:r w:rsidR="00040D6A" w:rsidRPr="00954F16">
        <w:rPr>
          <w:sz w:val="24"/>
          <w:szCs w:val="24"/>
        </w:rPr>
        <w:t xml:space="preserve"> of the Cross-</w:t>
      </w:r>
      <w:r w:rsidR="00240987" w:rsidRPr="00954F16">
        <w:rPr>
          <w:sz w:val="24"/>
          <w:szCs w:val="24"/>
        </w:rPr>
        <w:t>Government</w:t>
      </w:r>
      <w:r w:rsidR="00040D6A" w:rsidRPr="00954F16">
        <w:rPr>
          <w:sz w:val="24"/>
          <w:szCs w:val="24"/>
        </w:rPr>
        <w:t xml:space="preserve"> Evaluation Group guidance</w:t>
      </w:r>
      <w:r w:rsidR="003947EF">
        <w:rPr>
          <w:sz w:val="24"/>
          <w:szCs w:val="24"/>
        </w:rPr>
        <w:t>.</w:t>
      </w:r>
      <w:r w:rsidR="00240987" w:rsidRPr="00954F16">
        <w:rPr>
          <w:rStyle w:val="FootnoteReference"/>
          <w:sz w:val="24"/>
          <w:szCs w:val="24"/>
        </w:rPr>
        <w:footnoteReference w:id="1"/>
      </w:r>
      <w:r w:rsidR="00240987" w:rsidRPr="00954F16">
        <w:rPr>
          <w:sz w:val="24"/>
          <w:szCs w:val="24"/>
        </w:rPr>
        <w:t xml:space="preserve"> This is</w:t>
      </w:r>
      <w:r w:rsidR="00040D6A" w:rsidRPr="00954F16">
        <w:rPr>
          <w:sz w:val="24"/>
          <w:szCs w:val="24"/>
        </w:rPr>
        <w:t xml:space="preserve"> a</w:t>
      </w:r>
      <w:r w:rsidR="00DD3526" w:rsidRPr="00954F16">
        <w:rPr>
          <w:sz w:val="24"/>
          <w:szCs w:val="24"/>
        </w:rPr>
        <w:t xml:space="preserve">lso presented as </w:t>
      </w:r>
      <w:r w:rsidR="00240987" w:rsidRPr="00954F16">
        <w:rPr>
          <w:sz w:val="24"/>
          <w:szCs w:val="24"/>
        </w:rPr>
        <w:t>‘</w:t>
      </w:r>
      <w:r w:rsidR="00DD3526" w:rsidRPr="00954F16">
        <w:rPr>
          <w:sz w:val="24"/>
          <w:szCs w:val="24"/>
        </w:rPr>
        <w:t>Figure 4.2B: Overview of PIR questions and possible review outcomes</w:t>
      </w:r>
      <w:r w:rsidR="00240987" w:rsidRPr="00954F16">
        <w:rPr>
          <w:sz w:val="24"/>
          <w:szCs w:val="24"/>
        </w:rPr>
        <w:t>’</w:t>
      </w:r>
      <w:r w:rsidR="00DD3526" w:rsidRPr="00954F16">
        <w:rPr>
          <w:sz w:val="24"/>
          <w:szCs w:val="24"/>
        </w:rPr>
        <w:t xml:space="preserve"> in</w:t>
      </w:r>
      <w:r w:rsidR="00040D6A" w:rsidRPr="00954F16">
        <w:rPr>
          <w:sz w:val="24"/>
          <w:szCs w:val="24"/>
        </w:rPr>
        <w:t xml:space="preserve"> the </w:t>
      </w:r>
      <w:r w:rsidR="00F263B5" w:rsidRPr="00954F16">
        <w:rPr>
          <w:sz w:val="24"/>
          <w:szCs w:val="24"/>
        </w:rPr>
        <w:t xml:space="preserve">draft new </w:t>
      </w:r>
      <w:r w:rsidR="00040D6A" w:rsidRPr="00954F16">
        <w:rPr>
          <w:sz w:val="24"/>
          <w:szCs w:val="24"/>
        </w:rPr>
        <w:t>BRFM</w:t>
      </w:r>
      <w:r w:rsidR="00DD3526" w:rsidRPr="00954F16">
        <w:rPr>
          <w:sz w:val="24"/>
          <w:szCs w:val="24"/>
        </w:rPr>
        <w:t>.</w:t>
      </w:r>
    </w:p>
    <w:tbl>
      <w:tblPr>
        <w:tblpPr w:leftFromText="180" w:rightFromText="180" w:vertAnchor="text" w:horzAnchor="margin" w:tblpXSpec="center" w:tblpY="431"/>
        <w:tblW w:w="0" w:type="auto"/>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ook w:val="04A0" w:firstRow="1" w:lastRow="0" w:firstColumn="1" w:lastColumn="0" w:noHBand="0" w:noVBand="1"/>
      </w:tblPr>
      <w:tblGrid>
        <w:gridCol w:w="6008"/>
      </w:tblGrid>
      <w:tr w:rsidR="008E50A1" w:rsidRPr="00FC4789" w:rsidTr="00BC749F">
        <w:trPr>
          <w:trHeight w:val="452"/>
        </w:trPr>
        <w:tc>
          <w:tcPr>
            <w:tcW w:w="6008" w:type="dxa"/>
            <w:shd w:val="clear" w:color="auto" w:fill="FABF8F" w:themeFill="accent6" w:themeFillTint="99"/>
          </w:tcPr>
          <w:p w:rsidR="008E50A1" w:rsidRPr="00FC4789" w:rsidRDefault="008E50A1" w:rsidP="008E50A1">
            <w:pPr>
              <w:pStyle w:val="ListParagraph"/>
              <w:numPr>
                <w:ilvl w:val="0"/>
                <w:numId w:val="28"/>
              </w:numPr>
              <w:spacing w:line="276" w:lineRule="auto"/>
              <w:rPr>
                <w:rFonts w:ascii="Calibri" w:hAnsi="Calibri" w:cs="Arial"/>
                <w:b/>
              </w:rPr>
            </w:pPr>
            <w:r w:rsidRPr="00FC4789">
              <w:rPr>
                <w:rFonts w:ascii="Calibri" w:hAnsi="Calibri" w:cs="Arial"/>
                <w:b/>
              </w:rPr>
              <w:t>To what extent is existing regulation working?</w:t>
            </w:r>
          </w:p>
        </w:tc>
      </w:tr>
    </w:tbl>
    <w:p w:rsidR="00910F1F" w:rsidRPr="000866DE" w:rsidRDefault="00910F1F" w:rsidP="008E50A1">
      <w:pPr>
        <w:rPr>
          <w:rFonts w:ascii="Calibri" w:hAnsi="Calibri"/>
          <w:b/>
        </w:rPr>
      </w:pPr>
    </w:p>
    <w:p w:rsidR="00910F1F" w:rsidRDefault="00BC749F" w:rsidP="00910F1F">
      <w:pPr>
        <w:autoSpaceDE w:val="0"/>
        <w:autoSpaceDN w:val="0"/>
        <w:adjustRightInd w:val="0"/>
        <w:rPr>
          <w:rFonts w:ascii="Calibri" w:hAnsi="Calibri" w:cs="Arial"/>
          <w:color w:val="000000"/>
        </w:rPr>
      </w:pPr>
      <w:r>
        <w:rPr>
          <w:noProof/>
          <w:lang w:eastAsia="en-GB"/>
        </w:rPr>
        <mc:AlternateContent>
          <mc:Choice Requires="wps">
            <w:drawing>
              <wp:anchor distT="0" distB="0" distL="114300" distR="114300" simplePos="0" relativeHeight="251667456" behindDoc="0" locked="0" layoutInCell="1" allowOverlap="1" wp14:anchorId="0D3EF257" wp14:editId="42E39C24">
                <wp:simplePos x="0" y="0"/>
                <wp:positionH relativeFrom="column">
                  <wp:posOffset>2616200</wp:posOffset>
                </wp:positionH>
                <wp:positionV relativeFrom="paragraph">
                  <wp:posOffset>317500</wp:posOffset>
                </wp:positionV>
                <wp:extent cx="438785" cy="314325"/>
                <wp:effectExtent l="38100" t="0" r="0" b="47625"/>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785" cy="314325"/>
                        </a:xfrm>
                        <a:prstGeom prst="downArrow">
                          <a:avLst/>
                        </a:prstGeom>
                        <a:solidFill>
                          <a:schemeClr val="accent6">
                            <a:lumMod val="60000"/>
                            <a:lumOff val="4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06pt;margin-top:25pt;width:34.5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" adj="10800" fillcolor="#fabf8f [1945]" strokecolor="#974706 [1609]" strokeweight="1pt">
                <v:path arrowok="t"/>
              </v:shape>
            </w:pict>
          </mc:Fallback>
        </mc:AlternateContent>
      </w:r>
    </w:p>
    <w:tbl>
      <w:tblPr>
        <w:tblpPr w:leftFromText="180" w:rightFromText="180" w:vertAnchor="text" w:horzAnchor="margin" w:tblpXSpec="center" w:tblpY="591"/>
        <w:tblW w:w="0" w:type="auto"/>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ook w:val="04A0" w:firstRow="1" w:lastRow="0" w:firstColumn="1" w:lastColumn="0" w:noHBand="0" w:noVBand="1"/>
      </w:tblPr>
      <w:tblGrid>
        <w:gridCol w:w="5986"/>
      </w:tblGrid>
      <w:tr w:rsidR="008E50A1" w:rsidRPr="00FC4789" w:rsidTr="00BC749F">
        <w:trPr>
          <w:trHeight w:val="402"/>
        </w:trPr>
        <w:tc>
          <w:tcPr>
            <w:tcW w:w="5986" w:type="dxa"/>
            <w:shd w:val="clear" w:color="auto" w:fill="FABF8F" w:themeFill="accent6" w:themeFillTint="99"/>
          </w:tcPr>
          <w:p w:rsidR="008E50A1" w:rsidRPr="00FC4789" w:rsidRDefault="008E50A1" w:rsidP="008E50A1">
            <w:pPr>
              <w:pStyle w:val="ListParagraph"/>
              <w:numPr>
                <w:ilvl w:val="0"/>
                <w:numId w:val="29"/>
              </w:numPr>
              <w:spacing w:line="276" w:lineRule="auto"/>
              <w:rPr>
                <w:rFonts w:ascii="Calibri" w:hAnsi="Calibri" w:cs="Arial"/>
                <w:b/>
              </w:rPr>
            </w:pPr>
            <w:r>
              <w:rPr>
                <w:rFonts w:ascii="Calibri" w:hAnsi="Calibri" w:cs="Arial"/>
                <w:b/>
              </w:rPr>
              <w:t>Is government intervention still required?</w:t>
            </w:r>
          </w:p>
        </w:tc>
      </w:tr>
    </w:tbl>
    <w:tbl>
      <w:tblPr>
        <w:tblpPr w:leftFromText="180" w:rightFromText="180" w:vertAnchor="text" w:horzAnchor="margin" w:tblpXSpec="center" w:tblpY="1944"/>
        <w:tblW w:w="0" w:type="auto"/>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ook w:val="04A0" w:firstRow="1" w:lastRow="0" w:firstColumn="1" w:lastColumn="0" w:noHBand="0" w:noVBand="1"/>
      </w:tblPr>
      <w:tblGrid>
        <w:gridCol w:w="6065"/>
      </w:tblGrid>
      <w:tr w:rsidR="008E50A1" w:rsidRPr="00FC4789" w:rsidTr="00BC749F">
        <w:trPr>
          <w:trHeight w:val="296"/>
        </w:trPr>
        <w:tc>
          <w:tcPr>
            <w:tcW w:w="6065" w:type="dxa"/>
            <w:shd w:val="clear" w:color="auto" w:fill="FABF8F" w:themeFill="accent6" w:themeFillTint="99"/>
          </w:tcPr>
          <w:p w:rsidR="008E50A1" w:rsidRPr="00FC4789" w:rsidRDefault="008E50A1" w:rsidP="008E50A1">
            <w:pPr>
              <w:pStyle w:val="ListParagraph"/>
              <w:numPr>
                <w:ilvl w:val="0"/>
                <w:numId w:val="30"/>
              </w:numPr>
              <w:spacing w:line="276" w:lineRule="auto"/>
              <w:rPr>
                <w:rFonts w:ascii="Calibri" w:hAnsi="Calibri" w:cs="Arial"/>
                <w:b/>
              </w:rPr>
            </w:pPr>
            <w:r w:rsidRPr="00FC4789">
              <w:rPr>
                <w:rFonts w:ascii="Calibri" w:hAnsi="Calibri" w:cs="Arial"/>
                <w:b/>
              </w:rPr>
              <w:t xml:space="preserve">Is </w:t>
            </w:r>
            <w:r>
              <w:rPr>
                <w:rFonts w:ascii="Calibri" w:hAnsi="Calibri" w:cs="Arial"/>
                <w:b/>
              </w:rPr>
              <w:t>the existing form of government regulation still the most appropriate approach?</w:t>
            </w:r>
          </w:p>
        </w:tc>
      </w:tr>
    </w:tbl>
    <w:tbl>
      <w:tblPr>
        <w:tblpPr w:leftFromText="180" w:rightFromText="180" w:vertAnchor="text" w:horzAnchor="margin" w:tblpXSpec="center" w:tblpY="3646"/>
        <w:tblW w:w="0" w:type="auto"/>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ook w:val="04A0" w:firstRow="1" w:lastRow="0" w:firstColumn="1" w:lastColumn="0" w:noHBand="0" w:noVBand="1"/>
      </w:tblPr>
      <w:tblGrid>
        <w:gridCol w:w="5976"/>
      </w:tblGrid>
      <w:tr w:rsidR="008E50A1" w:rsidRPr="00FC4789" w:rsidTr="008E50A1">
        <w:trPr>
          <w:trHeight w:val="552"/>
        </w:trPr>
        <w:tc>
          <w:tcPr>
            <w:tcW w:w="5976" w:type="dxa"/>
            <w:shd w:val="clear" w:color="auto" w:fill="FABF8F" w:themeFill="accent6" w:themeFillTint="99"/>
          </w:tcPr>
          <w:p w:rsidR="008E50A1" w:rsidRPr="00F371C4" w:rsidRDefault="008E50A1" w:rsidP="008E50A1">
            <w:pPr>
              <w:pStyle w:val="ListParagraph"/>
              <w:numPr>
                <w:ilvl w:val="0"/>
                <w:numId w:val="31"/>
              </w:numPr>
              <w:spacing w:line="276" w:lineRule="auto"/>
              <w:rPr>
                <w:rFonts w:ascii="Calibri" w:hAnsi="Calibri" w:cs="Arial"/>
                <w:b/>
              </w:rPr>
            </w:pPr>
            <w:r>
              <w:rPr>
                <w:rFonts w:ascii="Calibri" w:hAnsi="Calibri" w:cs="Arial"/>
                <w:b/>
              </w:rPr>
              <w:t>What is the most appropriate option going forward?</w:t>
            </w:r>
          </w:p>
        </w:tc>
      </w:tr>
    </w:tbl>
    <w:p w:rsidR="0064636C" w:rsidRPr="0064636C" w:rsidRDefault="00BC749F" w:rsidP="0064636C">
      <w:pPr>
        <w:spacing w:after="0"/>
        <w:rPr>
          <w:rFonts w:ascii="Calibri" w:hAnsi="Calibri" w:cs="Arial"/>
          <w:color w:val="000000"/>
          <w:u w:val="single"/>
        </w:rPr>
      </w:pPr>
      <w:r>
        <w:rPr>
          <w:noProof/>
          <w:lang w:eastAsia="en-GB"/>
        </w:rPr>
        <mc:AlternateContent>
          <mc:Choice Requires="wps">
            <w:drawing>
              <wp:anchor distT="0" distB="0" distL="114300" distR="114300" simplePos="0" relativeHeight="251676672" behindDoc="0" locked="0" layoutInCell="1" allowOverlap="1" wp14:anchorId="1E4CF905" wp14:editId="09F9F76E">
                <wp:simplePos x="0" y="0"/>
                <wp:positionH relativeFrom="column">
                  <wp:posOffset>2657475</wp:posOffset>
                </wp:positionH>
                <wp:positionV relativeFrom="paragraph">
                  <wp:posOffset>1816100</wp:posOffset>
                </wp:positionV>
                <wp:extent cx="438785" cy="314325"/>
                <wp:effectExtent l="38100" t="0" r="0" b="47625"/>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785" cy="314325"/>
                        </a:xfrm>
                        <a:prstGeom prst="downArrow">
                          <a:avLst/>
                        </a:prstGeom>
                        <a:solidFill>
                          <a:schemeClr val="accent6">
                            <a:lumMod val="60000"/>
                            <a:lumOff val="4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2" o:spid="_x0000_s1026" type="#_x0000_t67" style="position:absolute;margin-left:209.25pt;margin-top:143pt;width:34.5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" adj="10800" fillcolor="#fabf8f [1945]" strokecolor="#974706 [1609]" strokeweight="1pt">
                <v:path arrowok="t"/>
              </v:shape>
            </w:pict>
          </mc:Fallback>
        </mc:AlternateContent>
      </w:r>
      <w:r>
        <w:rPr>
          <w:noProof/>
          <w:lang w:eastAsia="en-GB"/>
        </w:rPr>
        <mc:AlternateContent>
          <mc:Choice Requires="wps">
            <w:drawing>
              <wp:anchor distT="0" distB="0" distL="114300" distR="114300" simplePos="0" relativeHeight="251674624" behindDoc="0" locked="0" layoutInCell="1" allowOverlap="1" wp14:anchorId="3F1892E6" wp14:editId="2CC86164">
                <wp:simplePos x="0" y="0"/>
                <wp:positionH relativeFrom="column">
                  <wp:posOffset>2625090</wp:posOffset>
                </wp:positionH>
                <wp:positionV relativeFrom="paragraph">
                  <wp:posOffset>811530</wp:posOffset>
                </wp:positionV>
                <wp:extent cx="438785" cy="314325"/>
                <wp:effectExtent l="38100" t="0" r="0" b="47625"/>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785" cy="314325"/>
                        </a:xfrm>
                        <a:prstGeom prst="downArrow">
                          <a:avLst/>
                        </a:prstGeom>
                        <a:solidFill>
                          <a:schemeClr val="accent6">
                            <a:lumMod val="60000"/>
                            <a:lumOff val="40000"/>
                          </a:schemeClr>
                        </a:solidFill>
                        <a:ln w="12700"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1" o:spid="_x0000_s1026" type="#_x0000_t67" style="position:absolute;margin-left:206.7pt;margin-top:63.9pt;width:34.5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" adj="10800" fillcolor="#fabf8f [1945]" strokecolor="#974706 [1609]" strokeweight="1pt">
                <v:path arrowok="t"/>
              </v:shape>
            </w:pict>
          </mc:Fallback>
        </mc:AlternateContent>
      </w:r>
      <w:r w:rsidR="00910F1F">
        <w:rPr>
          <w:rFonts w:ascii="Calibri" w:hAnsi="Calibri" w:cs="Arial"/>
          <w:color w:val="000000"/>
        </w:rPr>
        <w:br w:type="page"/>
      </w:r>
    </w:p>
    <w:p w:rsidR="00A525A4" w:rsidRPr="00F558DE" w:rsidRDefault="00F81CED" w:rsidP="00A525A4">
      <w:pPr>
        <w:pStyle w:val="ListParagraph"/>
        <w:numPr>
          <w:ilvl w:val="0"/>
          <w:numId w:val="5"/>
        </w:numPr>
        <w:rPr>
          <w:rFonts w:asciiTheme="minorHAnsi" w:hAnsiTheme="minorHAnsi" w:cstheme="minorHAnsi"/>
          <w:b/>
          <w:color w:val="984806" w:themeColor="accent6" w:themeShade="80"/>
          <w:sz w:val="28"/>
          <w:szCs w:val="28"/>
        </w:rPr>
      </w:pPr>
      <w:r w:rsidRPr="00F558DE">
        <w:rPr>
          <w:rFonts w:asciiTheme="minorHAnsi" w:hAnsiTheme="minorHAnsi" w:cstheme="minorHAnsi"/>
          <w:b/>
          <w:color w:val="984806" w:themeColor="accent6" w:themeShade="80"/>
          <w:sz w:val="28"/>
          <w:szCs w:val="28"/>
        </w:rPr>
        <w:lastRenderedPageBreak/>
        <w:t>To what extent is existing regulation working?</w:t>
      </w:r>
    </w:p>
    <w:p w:rsidR="00F81CED" w:rsidRPr="00F81CED" w:rsidRDefault="00F81CED" w:rsidP="00F81CED">
      <w:pPr>
        <w:pStyle w:val="ListParagraph"/>
        <w:rPr>
          <w:rFonts w:cstheme="minorHAnsi"/>
          <w:b/>
          <w:color w:val="984806" w:themeColor="accent6" w:themeShade="80"/>
          <w:sz w:val="28"/>
          <w:szCs w:val="28"/>
        </w:rPr>
      </w:pPr>
    </w:p>
    <w:p w:rsidR="00266E3D" w:rsidRPr="00954F16" w:rsidRDefault="00761748" w:rsidP="005922A0">
      <w:pPr>
        <w:rPr>
          <w:rFonts w:ascii="Calibri" w:hAnsi="Calibri" w:cs="Arial"/>
          <w:color w:val="000000"/>
          <w:sz w:val="24"/>
          <w:szCs w:val="24"/>
        </w:rPr>
      </w:pPr>
      <w:r w:rsidRPr="00954F16">
        <w:rPr>
          <w:rFonts w:ascii="Calibri" w:hAnsi="Calibri" w:cs="Arial"/>
          <w:color w:val="000000"/>
          <w:sz w:val="24"/>
          <w:szCs w:val="24"/>
        </w:rPr>
        <w:t>Whether the policy objective is being achieved</w:t>
      </w:r>
      <w:r w:rsidR="00A525A4" w:rsidRPr="00954F16">
        <w:rPr>
          <w:rFonts w:ascii="Calibri" w:hAnsi="Calibri" w:cs="Arial"/>
          <w:color w:val="000000"/>
          <w:sz w:val="24"/>
          <w:szCs w:val="24"/>
        </w:rPr>
        <w:t xml:space="preserve"> is perhaps the most important question of all.  The following sub-questions provide guidance </w:t>
      </w:r>
      <w:r w:rsidR="00E6081C" w:rsidRPr="00954F16">
        <w:rPr>
          <w:rFonts w:ascii="Calibri" w:hAnsi="Calibri" w:cs="Arial"/>
          <w:color w:val="000000"/>
          <w:sz w:val="24"/>
          <w:szCs w:val="24"/>
        </w:rPr>
        <w:t xml:space="preserve">on the areas </w:t>
      </w:r>
      <w:r w:rsidR="003D30E6" w:rsidRPr="00954F16">
        <w:rPr>
          <w:rFonts w:ascii="Calibri" w:hAnsi="Calibri" w:cs="Arial"/>
          <w:color w:val="000000"/>
          <w:sz w:val="24"/>
          <w:szCs w:val="24"/>
        </w:rPr>
        <w:t>a</w:t>
      </w:r>
      <w:r w:rsidR="00E6081C" w:rsidRPr="00954F16">
        <w:rPr>
          <w:rFonts w:ascii="Calibri" w:hAnsi="Calibri" w:cs="Arial"/>
          <w:color w:val="000000"/>
          <w:sz w:val="24"/>
          <w:szCs w:val="24"/>
        </w:rPr>
        <w:t xml:space="preserve"> P</w:t>
      </w:r>
      <w:r w:rsidR="00596DEF" w:rsidRPr="00954F16">
        <w:rPr>
          <w:rFonts w:ascii="Calibri" w:hAnsi="Calibri" w:cs="Arial"/>
          <w:color w:val="000000"/>
          <w:sz w:val="24"/>
          <w:szCs w:val="24"/>
        </w:rPr>
        <w:t>IR should cover to address this.</w:t>
      </w:r>
    </w:p>
    <w:p w:rsidR="005D6B23" w:rsidRPr="00F558DE" w:rsidRDefault="001D6E3C" w:rsidP="00333130">
      <w:pPr>
        <w:pStyle w:val="ListParagraph"/>
        <w:numPr>
          <w:ilvl w:val="1"/>
          <w:numId w:val="5"/>
        </w:numPr>
        <w:rPr>
          <w:rFonts w:ascii="Calibri" w:hAnsi="Calibri" w:cs="Arial"/>
          <w:b/>
          <w:color w:val="000000"/>
        </w:rPr>
      </w:pPr>
      <w:r w:rsidRPr="00F558DE">
        <w:rPr>
          <w:rFonts w:ascii="Calibri" w:hAnsi="Calibri" w:cs="Arial"/>
          <w:b/>
          <w:color w:val="000000"/>
        </w:rPr>
        <w:t>To what extent has the policy achieved its objectives</w:t>
      </w:r>
      <w:r w:rsidR="00FD0CEF" w:rsidRPr="00F558DE">
        <w:rPr>
          <w:rFonts w:ascii="Calibri" w:hAnsi="Calibri" w:cs="Arial"/>
          <w:b/>
          <w:color w:val="000000"/>
        </w:rPr>
        <w:t>/success criteria</w:t>
      </w:r>
      <w:r w:rsidRPr="00F558DE">
        <w:rPr>
          <w:rFonts w:ascii="Calibri" w:hAnsi="Calibri" w:cs="Arial"/>
          <w:b/>
          <w:color w:val="000000"/>
        </w:rPr>
        <w:t>?</w:t>
      </w:r>
    </w:p>
    <w:p w:rsidR="00094080" w:rsidRPr="00CE36D7" w:rsidRDefault="00094080" w:rsidP="00094080">
      <w:pPr>
        <w:pStyle w:val="ListParagraph"/>
        <w:ind w:left="1080"/>
        <w:rPr>
          <w:rFonts w:ascii="Calibri" w:hAnsi="Calibri" w:cs="Arial"/>
          <w:color w:val="000000"/>
        </w:rPr>
      </w:pPr>
    </w:p>
    <w:p w:rsidR="00EA5BDB" w:rsidRPr="00954F16" w:rsidRDefault="003D30E6" w:rsidP="002A5340">
      <w:pPr>
        <w:spacing w:after="0"/>
        <w:ind w:left="720"/>
        <w:rPr>
          <w:rFonts w:ascii="Calibri" w:hAnsi="Calibri" w:cs="Arial"/>
          <w:i/>
          <w:color w:val="000000"/>
          <w:sz w:val="24"/>
          <w:szCs w:val="24"/>
        </w:rPr>
      </w:pPr>
      <w:r w:rsidRPr="00954F16">
        <w:rPr>
          <w:rFonts w:ascii="Calibri" w:hAnsi="Calibri" w:cs="Arial"/>
          <w:i/>
          <w:color w:val="000000"/>
          <w:sz w:val="24"/>
          <w:szCs w:val="24"/>
        </w:rPr>
        <w:t>The</w:t>
      </w:r>
      <w:r w:rsidR="00CE36D7" w:rsidRPr="00954F16">
        <w:rPr>
          <w:rFonts w:ascii="Calibri" w:hAnsi="Calibri" w:cs="Arial"/>
          <w:i/>
          <w:color w:val="000000"/>
          <w:sz w:val="24"/>
          <w:szCs w:val="24"/>
        </w:rPr>
        <w:t xml:space="preserve"> PIR should </w:t>
      </w:r>
      <w:r w:rsidR="002929B6" w:rsidRPr="00954F16">
        <w:rPr>
          <w:rFonts w:ascii="Calibri" w:hAnsi="Calibri" w:cs="Arial"/>
          <w:i/>
          <w:color w:val="000000"/>
          <w:sz w:val="24"/>
          <w:szCs w:val="24"/>
        </w:rPr>
        <w:t>state</w:t>
      </w:r>
      <w:r w:rsidR="00755DBC" w:rsidRPr="00954F16">
        <w:rPr>
          <w:rFonts w:ascii="Calibri" w:hAnsi="Calibri" w:cs="Arial"/>
          <w:i/>
          <w:color w:val="000000"/>
          <w:sz w:val="24"/>
          <w:szCs w:val="24"/>
        </w:rPr>
        <w:t xml:space="preserve"> </w:t>
      </w:r>
      <w:r w:rsidR="003947EF">
        <w:rPr>
          <w:rFonts w:ascii="Calibri" w:hAnsi="Calibri" w:cs="Arial"/>
          <w:i/>
          <w:color w:val="000000"/>
          <w:sz w:val="24"/>
          <w:szCs w:val="24"/>
        </w:rPr>
        <w:t xml:space="preserve">clearly </w:t>
      </w:r>
      <w:r w:rsidR="00CE36D7" w:rsidRPr="00954F16">
        <w:rPr>
          <w:rFonts w:ascii="Calibri" w:hAnsi="Calibri" w:cs="Arial"/>
          <w:i/>
          <w:color w:val="000000"/>
          <w:sz w:val="24"/>
          <w:szCs w:val="24"/>
        </w:rPr>
        <w:t>the intended purpose of the poli</w:t>
      </w:r>
      <w:r w:rsidR="007F1F65" w:rsidRPr="00954F16">
        <w:rPr>
          <w:rFonts w:ascii="Calibri" w:hAnsi="Calibri" w:cs="Arial"/>
          <w:i/>
          <w:color w:val="000000"/>
          <w:sz w:val="24"/>
          <w:szCs w:val="24"/>
        </w:rPr>
        <w:t>cy</w:t>
      </w:r>
      <w:r w:rsidR="00B2145E" w:rsidRPr="00954F16">
        <w:rPr>
          <w:rFonts w:ascii="Calibri" w:hAnsi="Calibri" w:cs="Arial"/>
          <w:i/>
          <w:color w:val="000000"/>
          <w:sz w:val="24"/>
          <w:szCs w:val="24"/>
        </w:rPr>
        <w:t xml:space="preserve">, as set out in the </w:t>
      </w:r>
      <w:r w:rsidR="00B2145E" w:rsidRPr="00954F16">
        <w:rPr>
          <w:rFonts w:ascii="Calibri" w:hAnsi="Calibri" w:cs="Arial"/>
          <w:i/>
          <w:color w:val="000000"/>
          <w:sz w:val="24"/>
          <w:szCs w:val="24"/>
          <w:u w:val="single"/>
        </w:rPr>
        <w:t>original</w:t>
      </w:r>
      <w:r w:rsidR="00B2145E" w:rsidRPr="00954F16">
        <w:rPr>
          <w:rFonts w:ascii="Calibri" w:hAnsi="Calibri" w:cs="Arial"/>
          <w:i/>
          <w:color w:val="000000"/>
          <w:sz w:val="24"/>
          <w:szCs w:val="24"/>
        </w:rPr>
        <w:t xml:space="preserve"> IA</w:t>
      </w:r>
      <w:r w:rsidR="007F1F65" w:rsidRPr="00954F16">
        <w:rPr>
          <w:rFonts w:ascii="Calibri" w:hAnsi="Calibri" w:cs="Arial"/>
          <w:i/>
          <w:color w:val="000000"/>
          <w:sz w:val="24"/>
          <w:szCs w:val="24"/>
        </w:rPr>
        <w:t xml:space="preserve">. </w:t>
      </w:r>
      <w:r w:rsidR="007B66BE" w:rsidRPr="00954F16">
        <w:rPr>
          <w:rFonts w:ascii="Calibri" w:hAnsi="Calibri" w:cs="Arial"/>
          <w:i/>
          <w:color w:val="000000"/>
          <w:sz w:val="24"/>
          <w:szCs w:val="24"/>
        </w:rPr>
        <w:t>(</w:t>
      </w:r>
      <w:r w:rsidR="00761748" w:rsidRPr="00954F16">
        <w:rPr>
          <w:i/>
          <w:sz w:val="24"/>
          <w:szCs w:val="24"/>
        </w:rPr>
        <w:t xml:space="preserve">It is important that </w:t>
      </w:r>
      <w:r w:rsidR="007B66BE" w:rsidRPr="00954F16">
        <w:rPr>
          <w:i/>
          <w:sz w:val="24"/>
          <w:szCs w:val="24"/>
        </w:rPr>
        <w:t>the PIR</w:t>
      </w:r>
      <w:r w:rsidR="00761748" w:rsidRPr="00954F16">
        <w:rPr>
          <w:i/>
          <w:sz w:val="24"/>
          <w:szCs w:val="24"/>
        </w:rPr>
        <w:t xml:space="preserve"> does not </w:t>
      </w:r>
      <w:r w:rsidR="007B66BE" w:rsidRPr="00954F16">
        <w:rPr>
          <w:i/>
          <w:sz w:val="24"/>
          <w:szCs w:val="24"/>
        </w:rPr>
        <w:t>re</w:t>
      </w:r>
      <w:r w:rsidR="00761748" w:rsidRPr="00954F16">
        <w:rPr>
          <w:i/>
          <w:sz w:val="24"/>
          <w:szCs w:val="24"/>
        </w:rPr>
        <w:t>s</w:t>
      </w:r>
      <w:r w:rsidR="007B66BE" w:rsidRPr="00954F16">
        <w:rPr>
          <w:i/>
          <w:sz w:val="24"/>
          <w:szCs w:val="24"/>
        </w:rPr>
        <w:t>tate the purpose of the policy with the benefit of what has happened.</w:t>
      </w:r>
      <w:r w:rsidR="007B66BE" w:rsidRPr="00954F16">
        <w:rPr>
          <w:rFonts w:ascii="Calibri" w:hAnsi="Calibri" w:cs="Arial"/>
          <w:i/>
          <w:color w:val="000000"/>
          <w:sz w:val="24"/>
          <w:szCs w:val="24"/>
        </w:rPr>
        <w:t xml:space="preserve">) </w:t>
      </w:r>
      <w:r w:rsidR="007F1F65" w:rsidRPr="00954F16">
        <w:rPr>
          <w:rFonts w:ascii="Calibri" w:hAnsi="Calibri" w:cs="Arial"/>
          <w:i/>
          <w:color w:val="000000"/>
          <w:sz w:val="24"/>
          <w:szCs w:val="24"/>
        </w:rPr>
        <w:t>This is crucial to determining</w:t>
      </w:r>
      <w:r w:rsidR="00CE36D7" w:rsidRPr="00954F16">
        <w:rPr>
          <w:rFonts w:ascii="Calibri" w:hAnsi="Calibri" w:cs="Arial"/>
          <w:i/>
          <w:color w:val="000000"/>
          <w:sz w:val="24"/>
          <w:szCs w:val="24"/>
        </w:rPr>
        <w:t xml:space="preserve"> the ex-post impact of the policy</w:t>
      </w:r>
      <w:r w:rsidR="001E7B9C" w:rsidRPr="00954F16">
        <w:rPr>
          <w:rFonts w:ascii="Calibri" w:hAnsi="Calibri" w:cs="Arial"/>
          <w:i/>
          <w:color w:val="000000"/>
          <w:sz w:val="24"/>
          <w:szCs w:val="24"/>
        </w:rPr>
        <w:t>,</w:t>
      </w:r>
      <w:r w:rsidR="00CE36D7" w:rsidRPr="00954F16">
        <w:rPr>
          <w:rFonts w:ascii="Calibri" w:hAnsi="Calibri" w:cs="Arial"/>
          <w:i/>
          <w:color w:val="000000"/>
          <w:sz w:val="24"/>
          <w:szCs w:val="24"/>
        </w:rPr>
        <w:t xml:space="preserve"> </w:t>
      </w:r>
      <w:r w:rsidR="00D86394" w:rsidRPr="00954F16">
        <w:rPr>
          <w:rFonts w:ascii="Calibri" w:hAnsi="Calibri" w:cs="Arial"/>
          <w:i/>
          <w:color w:val="000000"/>
          <w:sz w:val="24"/>
          <w:szCs w:val="24"/>
        </w:rPr>
        <w:t>and</w:t>
      </w:r>
      <w:r w:rsidR="00E26267" w:rsidRPr="00954F16">
        <w:rPr>
          <w:rFonts w:ascii="Calibri" w:hAnsi="Calibri" w:cs="Arial"/>
          <w:i/>
          <w:color w:val="000000"/>
          <w:sz w:val="24"/>
          <w:szCs w:val="24"/>
        </w:rPr>
        <w:t xml:space="preserve"> </w:t>
      </w:r>
      <w:r w:rsidR="00E37720" w:rsidRPr="00954F16">
        <w:rPr>
          <w:rFonts w:ascii="Calibri" w:hAnsi="Calibri" w:cs="Arial"/>
          <w:i/>
          <w:color w:val="000000"/>
          <w:sz w:val="24"/>
          <w:szCs w:val="24"/>
        </w:rPr>
        <w:t>hence</w:t>
      </w:r>
      <w:r w:rsidR="002A5340" w:rsidRPr="00954F16">
        <w:rPr>
          <w:rFonts w:ascii="Calibri" w:hAnsi="Calibri" w:cs="Arial"/>
          <w:i/>
          <w:color w:val="000000"/>
          <w:sz w:val="24"/>
          <w:szCs w:val="24"/>
        </w:rPr>
        <w:t xml:space="preserve"> the extent to which the existing regulation is working. </w:t>
      </w:r>
      <w:r w:rsidR="00094080" w:rsidRPr="00954F16">
        <w:rPr>
          <w:rFonts w:ascii="Calibri" w:hAnsi="Calibri" w:cs="Arial"/>
          <w:i/>
          <w:color w:val="000000"/>
          <w:sz w:val="24"/>
          <w:szCs w:val="24"/>
        </w:rPr>
        <w:t xml:space="preserve">Departments should </w:t>
      </w:r>
      <w:r w:rsidR="005C5899" w:rsidRPr="00954F16">
        <w:rPr>
          <w:rFonts w:ascii="Calibri" w:hAnsi="Calibri" w:cs="Arial"/>
          <w:i/>
          <w:color w:val="000000"/>
          <w:sz w:val="24"/>
          <w:szCs w:val="24"/>
        </w:rPr>
        <w:t>assess</w:t>
      </w:r>
      <w:r w:rsidR="00ED3EB9" w:rsidRPr="00954F16">
        <w:rPr>
          <w:rFonts w:ascii="Calibri" w:hAnsi="Calibri" w:cs="Arial"/>
          <w:i/>
          <w:color w:val="000000"/>
          <w:sz w:val="24"/>
          <w:szCs w:val="24"/>
        </w:rPr>
        <w:t xml:space="preserve"> </w:t>
      </w:r>
      <w:r w:rsidR="003947EF">
        <w:rPr>
          <w:rFonts w:ascii="Calibri" w:hAnsi="Calibri" w:cs="Arial"/>
          <w:i/>
          <w:color w:val="000000"/>
          <w:sz w:val="24"/>
          <w:szCs w:val="24"/>
        </w:rPr>
        <w:t xml:space="preserve">clearly </w:t>
      </w:r>
      <w:r w:rsidR="00094080" w:rsidRPr="00954F16">
        <w:rPr>
          <w:rFonts w:ascii="Calibri" w:hAnsi="Calibri" w:cs="Arial"/>
          <w:i/>
          <w:color w:val="000000"/>
          <w:sz w:val="24"/>
          <w:szCs w:val="24"/>
        </w:rPr>
        <w:t>to what extent</w:t>
      </w:r>
      <w:r w:rsidR="006031E4" w:rsidRPr="00954F16">
        <w:rPr>
          <w:rFonts w:ascii="Calibri" w:hAnsi="Calibri" w:cs="Arial"/>
          <w:i/>
          <w:color w:val="000000"/>
          <w:sz w:val="24"/>
          <w:szCs w:val="24"/>
        </w:rPr>
        <w:t>,</w:t>
      </w:r>
      <w:r w:rsidR="00094080" w:rsidRPr="00954F16">
        <w:rPr>
          <w:rFonts w:ascii="Calibri" w:hAnsi="Calibri" w:cs="Arial"/>
          <w:i/>
          <w:color w:val="000000"/>
          <w:sz w:val="24"/>
          <w:szCs w:val="24"/>
        </w:rPr>
        <w:t xml:space="preserve"> </w:t>
      </w:r>
      <w:r w:rsidR="00954DB0" w:rsidRPr="00954F16">
        <w:rPr>
          <w:rFonts w:ascii="Calibri" w:hAnsi="Calibri" w:cs="Arial"/>
          <w:i/>
          <w:color w:val="000000"/>
          <w:sz w:val="24"/>
          <w:szCs w:val="24"/>
        </w:rPr>
        <w:t>and for what reasons</w:t>
      </w:r>
      <w:r w:rsidR="003947EF">
        <w:rPr>
          <w:rFonts w:ascii="Calibri" w:hAnsi="Calibri" w:cs="Arial"/>
          <w:i/>
          <w:color w:val="000000"/>
          <w:sz w:val="24"/>
          <w:szCs w:val="24"/>
        </w:rPr>
        <w:t>,</w:t>
      </w:r>
      <w:r w:rsidR="00954DB0" w:rsidRPr="00954F16">
        <w:rPr>
          <w:rFonts w:ascii="Calibri" w:hAnsi="Calibri" w:cs="Arial"/>
          <w:i/>
          <w:color w:val="000000"/>
          <w:sz w:val="24"/>
          <w:szCs w:val="24"/>
        </w:rPr>
        <w:t xml:space="preserve"> </w:t>
      </w:r>
      <w:r w:rsidR="00094080" w:rsidRPr="00954F16">
        <w:rPr>
          <w:rFonts w:ascii="Calibri" w:hAnsi="Calibri" w:cs="Arial"/>
          <w:i/>
          <w:color w:val="000000"/>
          <w:sz w:val="24"/>
          <w:szCs w:val="24"/>
        </w:rPr>
        <w:t>th</w:t>
      </w:r>
      <w:r w:rsidR="00954DB0" w:rsidRPr="00954F16">
        <w:rPr>
          <w:rFonts w:ascii="Calibri" w:hAnsi="Calibri" w:cs="Arial"/>
          <w:i/>
          <w:color w:val="000000"/>
          <w:sz w:val="24"/>
          <w:szCs w:val="24"/>
        </w:rPr>
        <w:t>e proposal met its objectives</w:t>
      </w:r>
      <w:r w:rsidR="00FD0CEF" w:rsidRPr="00954F16">
        <w:rPr>
          <w:rFonts w:ascii="Calibri" w:hAnsi="Calibri" w:cs="Arial"/>
          <w:i/>
          <w:color w:val="000000"/>
          <w:sz w:val="24"/>
          <w:szCs w:val="24"/>
        </w:rPr>
        <w:t>/success criteria</w:t>
      </w:r>
      <w:r w:rsidR="00954DB0" w:rsidRPr="00954F16">
        <w:rPr>
          <w:rFonts w:ascii="Calibri" w:hAnsi="Calibri" w:cs="Arial"/>
          <w:i/>
          <w:color w:val="000000"/>
          <w:sz w:val="24"/>
          <w:szCs w:val="24"/>
        </w:rPr>
        <w:t xml:space="preserve">. </w:t>
      </w:r>
      <w:r w:rsidRPr="00954F16">
        <w:rPr>
          <w:rFonts w:ascii="Calibri" w:hAnsi="Calibri" w:cs="Arial"/>
          <w:i/>
          <w:color w:val="000000"/>
          <w:sz w:val="24"/>
          <w:szCs w:val="24"/>
        </w:rPr>
        <w:t>In order to do so, d</w:t>
      </w:r>
      <w:r w:rsidR="00EA5BDB" w:rsidRPr="00954F16">
        <w:rPr>
          <w:rFonts w:ascii="Calibri" w:hAnsi="Calibri" w:cs="Arial"/>
          <w:i/>
          <w:color w:val="000000"/>
          <w:sz w:val="24"/>
          <w:szCs w:val="24"/>
        </w:rPr>
        <w:t xml:space="preserve">epartments should </w:t>
      </w:r>
      <w:r w:rsidR="00DC521E" w:rsidRPr="00954F16">
        <w:rPr>
          <w:rFonts w:ascii="Calibri" w:hAnsi="Calibri" w:cs="Arial"/>
          <w:i/>
          <w:color w:val="000000"/>
          <w:sz w:val="24"/>
          <w:szCs w:val="24"/>
        </w:rPr>
        <w:t>consider</w:t>
      </w:r>
      <w:r w:rsidR="00755DBC" w:rsidRPr="00954F16">
        <w:rPr>
          <w:i/>
          <w:sz w:val="24"/>
          <w:szCs w:val="24"/>
        </w:rPr>
        <w:t xml:space="preserve"> </w:t>
      </w:r>
      <w:r w:rsidR="003947EF">
        <w:rPr>
          <w:i/>
          <w:sz w:val="24"/>
          <w:szCs w:val="24"/>
        </w:rPr>
        <w:t xml:space="preserve">carefully </w:t>
      </w:r>
      <w:r w:rsidR="00EA5BDB" w:rsidRPr="00954F16">
        <w:rPr>
          <w:i/>
          <w:sz w:val="24"/>
          <w:szCs w:val="24"/>
        </w:rPr>
        <w:t>the most adequat</w:t>
      </w:r>
      <w:r w:rsidR="008F60C7" w:rsidRPr="00954F16">
        <w:rPr>
          <w:i/>
          <w:sz w:val="24"/>
          <w:szCs w:val="24"/>
        </w:rPr>
        <w:t>e and proportionate choice of</w:t>
      </w:r>
      <w:r w:rsidR="00EA5BDB" w:rsidRPr="00954F16">
        <w:rPr>
          <w:i/>
          <w:sz w:val="24"/>
          <w:szCs w:val="24"/>
        </w:rPr>
        <w:t xml:space="preserve"> evaluation method. The Magenta Book and the </w:t>
      </w:r>
      <w:r w:rsidR="003947EF">
        <w:rPr>
          <w:i/>
          <w:sz w:val="24"/>
          <w:szCs w:val="24"/>
        </w:rPr>
        <w:t xml:space="preserve">Cross-Government </w:t>
      </w:r>
      <w:r w:rsidR="00BE3C8B" w:rsidRPr="00954F16">
        <w:rPr>
          <w:i/>
          <w:sz w:val="24"/>
          <w:szCs w:val="24"/>
        </w:rPr>
        <w:t xml:space="preserve">Evaluation Group guidance </w:t>
      </w:r>
      <w:r w:rsidR="00EA5BDB" w:rsidRPr="00954F16">
        <w:rPr>
          <w:i/>
          <w:sz w:val="24"/>
          <w:szCs w:val="24"/>
        </w:rPr>
        <w:t>provide discussion and advice.</w:t>
      </w:r>
      <w:r w:rsidR="00761748" w:rsidRPr="00954F16">
        <w:rPr>
          <w:i/>
          <w:sz w:val="24"/>
          <w:szCs w:val="24"/>
        </w:rPr>
        <w:t xml:space="preserve"> </w:t>
      </w:r>
    </w:p>
    <w:p w:rsidR="00456DBF" w:rsidRPr="00F558DE" w:rsidRDefault="00456DBF" w:rsidP="00456DBF">
      <w:pPr>
        <w:spacing w:after="0"/>
        <w:ind w:left="720"/>
        <w:rPr>
          <w:b/>
          <w:i/>
        </w:rPr>
      </w:pPr>
    </w:p>
    <w:p w:rsidR="004C0B97" w:rsidRPr="00F558DE" w:rsidRDefault="002E2B19" w:rsidP="004C0B97">
      <w:pPr>
        <w:pStyle w:val="ListParagraph"/>
        <w:numPr>
          <w:ilvl w:val="1"/>
          <w:numId w:val="5"/>
        </w:numPr>
        <w:rPr>
          <w:rFonts w:ascii="Calibri" w:hAnsi="Calibri" w:cs="Arial"/>
          <w:b/>
          <w:color w:val="000000"/>
        </w:rPr>
      </w:pPr>
      <w:r w:rsidRPr="00F558DE">
        <w:rPr>
          <w:rFonts w:ascii="Calibri" w:hAnsi="Calibri" w:cs="Arial"/>
          <w:b/>
          <w:color w:val="000000"/>
        </w:rPr>
        <w:t xml:space="preserve">What have been the </w:t>
      </w:r>
      <w:r w:rsidR="004C0B97" w:rsidRPr="00F558DE">
        <w:rPr>
          <w:rFonts w:ascii="Calibri" w:hAnsi="Calibri" w:cs="Arial"/>
          <w:b/>
          <w:color w:val="000000"/>
        </w:rPr>
        <w:t xml:space="preserve">costs and benefits of the policy? </w:t>
      </w:r>
      <w:r w:rsidRPr="00F558DE">
        <w:rPr>
          <w:rFonts w:ascii="Calibri" w:hAnsi="Calibri" w:cs="Arial"/>
          <w:b/>
          <w:color w:val="000000"/>
        </w:rPr>
        <w:t>How do these compare to the costs and benefits estimated in the original IA?</w:t>
      </w:r>
    </w:p>
    <w:p w:rsidR="00E6081C" w:rsidRDefault="00E6081C" w:rsidP="006031E4">
      <w:pPr>
        <w:spacing w:after="0"/>
        <w:ind w:left="720"/>
        <w:rPr>
          <w:rFonts w:ascii="Calibri" w:hAnsi="Calibri" w:cs="Arial"/>
          <w:i/>
          <w:color w:val="000000"/>
        </w:rPr>
      </w:pPr>
    </w:p>
    <w:p w:rsidR="005E3D74" w:rsidRPr="00954F16" w:rsidRDefault="00D86394" w:rsidP="00EC155D">
      <w:pPr>
        <w:spacing w:after="0"/>
        <w:ind w:left="720"/>
        <w:rPr>
          <w:rFonts w:ascii="Calibri" w:hAnsi="Calibri" w:cs="Arial"/>
          <w:i/>
          <w:color w:val="000000"/>
          <w:sz w:val="24"/>
          <w:szCs w:val="24"/>
        </w:rPr>
      </w:pPr>
      <w:r w:rsidRPr="00954F16">
        <w:rPr>
          <w:rFonts w:ascii="Calibri" w:hAnsi="Calibri" w:cs="Arial"/>
          <w:i/>
          <w:color w:val="000000"/>
          <w:sz w:val="24"/>
          <w:szCs w:val="24"/>
        </w:rPr>
        <w:t xml:space="preserve">In order to determine the ex-post impact of the policy, </w:t>
      </w:r>
      <w:r w:rsidR="00D43518" w:rsidRPr="00954F16">
        <w:rPr>
          <w:rFonts w:ascii="Calibri" w:hAnsi="Calibri" w:cs="Arial"/>
          <w:i/>
          <w:color w:val="000000"/>
          <w:sz w:val="24"/>
          <w:szCs w:val="24"/>
        </w:rPr>
        <w:t xml:space="preserve">departments should focus on the </w:t>
      </w:r>
      <w:r w:rsidR="003C0137" w:rsidRPr="00954F16">
        <w:rPr>
          <w:rFonts w:ascii="Calibri" w:hAnsi="Calibri" w:cs="Arial"/>
          <w:i/>
          <w:color w:val="000000"/>
          <w:sz w:val="24"/>
          <w:szCs w:val="24"/>
        </w:rPr>
        <w:t>additional effects resulting dire</w:t>
      </w:r>
      <w:r w:rsidR="00ED7482" w:rsidRPr="00954F16">
        <w:rPr>
          <w:rFonts w:ascii="Calibri" w:hAnsi="Calibri" w:cs="Arial"/>
          <w:i/>
          <w:color w:val="000000"/>
          <w:sz w:val="24"/>
          <w:szCs w:val="24"/>
        </w:rPr>
        <w:t>ctly from the policy, i.e.</w:t>
      </w:r>
      <w:r w:rsidR="001E7B9C" w:rsidRPr="00954F16">
        <w:rPr>
          <w:rFonts w:ascii="Calibri" w:hAnsi="Calibri" w:cs="Arial"/>
          <w:i/>
          <w:color w:val="000000"/>
          <w:sz w:val="24"/>
          <w:szCs w:val="24"/>
        </w:rPr>
        <w:t xml:space="preserve"> the</w:t>
      </w:r>
      <w:r w:rsidR="00ED7482" w:rsidRPr="00954F16">
        <w:rPr>
          <w:rFonts w:ascii="Calibri" w:hAnsi="Calibri" w:cs="Arial"/>
          <w:i/>
          <w:color w:val="000000"/>
          <w:sz w:val="24"/>
          <w:szCs w:val="24"/>
        </w:rPr>
        <w:t xml:space="preserve"> incremental costs and benefits. </w:t>
      </w:r>
      <w:r w:rsidR="00880AFF" w:rsidRPr="00954F16">
        <w:rPr>
          <w:rFonts w:ascii="Calibri" w:hAnsi="Calibri" w:cs="Arial"/>
          <w:i/>
          <w:color w:val="000000"/>
          <w:sz w:val="24"/>
          <w:szCs w:val="24"/>
        </w:rPr>
        <w:t xml:space="preserve">As noted in the Magenta Book, establishing the </w:t>
      </w:r>
      <w:proofErr w:type="gramStart"/>
      <w:r w:rsidR="00880AFF" w:rsidRPr="00954F16">
        <w:rPr>
          <w:rFonts w:ascii="Calibri" w:hAnsi="Calibri" w:cs="Arial"/>
          <w:i/>
          <w:color w:val="000000"/>
          <w:sz w:val="24"/>
          <w:szCs w:val="24"/>
        </w:rPr>
        <w:t>counterfactual,</w:t>
      </w:r>
      <w:proofErr w:type="gramEnd"/>
      <w:r w:rsidR="00880AFF" w:rsidRPr="00954F16">
        <w:rPr>
          <w:rFonts w:ascii="Calibri" w:hAnsi="Calibri" w:cs="Arial"/>
          <w:i/>
          <w:color w:val="000000"/>
          <w:sz w:val="24"/>
          <w:szCs w:val="24"/>
        </w:rPr>
        <w:t xml:space="preserve"> </w:t>
      </w:r>
      <w:r w:rsidR="00F263B5" w:rsidRPr="00954F16">
        <w:rPr>
          <w:rFonts w:ascii="Calibri" w:hAnsi="Calibri" w:cs="Arial"/>
          <w:i/>
          <w:color w:val="000000"/>
          <w:sz w:val="24"/>
          <w:szCs w:val="24"/>
        </w:rPr>
        <w:t xml:space="preserve">or </w:t>
      </w:r>
      <w:r w:rsidR="00880AFF" w:rsidRPr="00954F16">
        <w:rPr>
          <w:rFonts w:ascii="Calibri" w:hAnsi="Calibri" w:cs="Arial"/>
          <w:i/>
          <w:color w:val="000000"/>
          <w:sz w:val="24"/>
          <w:szCs w:val="24"/>
        </w:rPr>
        <w:t>what would have happen</w:t>
      </w:r>
      <w:r w:rsidR="00137C12" w:rsidRPr="00954F16">
        <w:rPr>
          <w:rFonts w:ascii="Calibri" w:hAnsi="Calibri" w:cs="Arial"/>
          <w:i/>
          <w:color w:val="000000"/>
          <w:sz w:val="24"/>
          <w:szCs w:val="24"/>
        </w:rPr>
        <w:t>ed in the absence of the policy,</w:t>
      </w:r>
      <w:r w:rsidR="00880AFF" w:rsidRPr="00954F16">
        <w:rPr>
          <w:rFonts w:ascii="Calibri" w:hAnsi="Calibri" w:cs="Arial"/>
          <w:i/>
          <w:color w:val="000000"/>
          <w:sz w:val="24"/>
          <w:szCs w:val="24"/>
        </w:rPr>
        <w:t xml:space="preserve"> is not ea</w:t>
      </w:r>
      <w:r w:rsidR="00137C12" w:rsidRPr="00954F16">
        <w:rPr>
          <w:rFonts w:ascii="Calibri" w:hAnsi="Calibri" w:cs="Arial"/>
          <w:i/>
          <w:color w:val="000000"/>
          <w:sz w:val="24"/>
          <w:szCs w:val="24"/>
        </w:rPr>
        <w:t>sy</w:t>
      </w:r>
      <w:r w:rsidR="00880AFF" w:rsidRPr="00954F16">
        <w:rPr>
          <w:rFonts w:ascii="Calibri" w:hAnsi="Calibri" w:cs="Arial"/>
          <w:i/>
          <w:color w:val="000000"/>
          <w:sz w:val="24"/>
          <w:szCs w:val="24"/>
        </w:rPr>
        <w:t xml:space="preserve"> given that by d</w:t>
      </w:r>
      <w:r w:rsidR="0018025B" w:rsidRPr="00954F16">
        <w:rPr>
          <w:rFonts w:ascii="Calibri" w:hAnsi="Calibri" w:cs="Arial"/>
          <w:i/>
          <w:color w:val="000000"/>
          <w:sz w:val="24"/>
          <w:szCs w:val="24"/>
        </w:rPr>
        <w:t>efinition it cannot be observed</w:t>
      </w:r>
      <w:r w:rsidR="00DC521E" w:rsidRPr="00954F16">
        <w:rPr>
          <w:rFonts w:ascii="Calibri" w:hAnsi="Calibri" w:cs="Arial"/>
          <w:i/>
          <w:color w:val="000000"/>
          <w:sz w:val="24"/>
          <w:szCs w:val="24"/>
        </w:rPr>
        <w:t>,</w:t>
      </w:r>
      <w:r w:rsidR="0018025B" w:rsidRPr="00954F16">
        <w:rPr>
          <w:rFonts w:ascii="Calibri" w:hAnsi="Calibri" w:cs="Arial"/>
          <w:i/>
          <w:color w:val="000000"/>
          <w:sz w:val="24"/>
          <w:szCs w:val="24"/>
        </w:rPr>
        <w:t xml:space="preserve"> and often</w:t>
      </w:r>
      <w:r w:rsidR="002929B6" w:rsidRPr="00954F16">
        <w:rPr>
          <w:rFonts w:ascii="Calibri" w:hAnsi="Calibri" w:cs="Arial"/>
          <w:i/>
          <w:color w:val="000000"/>
          <w:sz w:val="24"/>
          <w:szCs w:val="24"/>
        </w:rPr>
        <w:t xml:space="preserve"> a large number of factors drive the outcomes </w:t>
      </w:r>
      <w:r w:rsidR="00DC521E" w:rsidRPr="00954F16">
        <w:rPr>
          <w:rFonts w:ascii="Calibri" w:hAnsi="Calibri" w:cs="Arial"/>
          <w:i/>
          <w:color w:val="000000"/>
          <w:sz w:val="24"/>
          <w:szCs w:val="24"/>
        </w:rPr>
        <w:t xml:space="preserve">that are </w:t>
      </w:r>
      <w:r w:rsidR="002929B6" w:rsidRPr="00954F16">
        <w:rPr>
          <w:rFonts w:ascii="Calibri" w:hAnsi="Calibri" w:cs="Arial"/>
          <w:i/>
          <w:color w:val="000000"/>
          <w:sz w:val="24"/>
          <w:szCs w:val="24"/>
        </w:rPr>
        <w:t>observed. Thinking about monitoring and evaluation in the early stages of the policy design and planning process</w:t>
      </w:r>
      <w:r w:rsidR="00EC155D" w:rsidRPr="00954F16">
        <w:rPr>
          <w:rFonts w:ascii="Calibri" w:hAnsi="Calibri" w:cs="Arial"/>
          <w:i/>
          <w:color w:val="000000"/>
          <w:sz w:val="24"/>
          <w:szCs w:val="24"/>
        </w:rPr>
        <w:t xml:space="preserve"> has benefits, </w:t>
      </w:r>
      <w:r w:rsidR="0050444B" w:rsidRPr="00954F16">
        <w:rPr>
          <w:rFonts w:ascii="Calibri" w:hAnsi="Calibri" w:cs="Arial"/>
          <w:i/>
          <w:color w:val="000000"/>
          <w:sz w:val="24"/>
          <w:szCs w:val="24"/>
        </w:rPr>
        <w:t>which may include</w:t>
      </w:r>
      <w:r w:rsidR="00DC521E" w:rsidRPr="00954F16">
        <w:rPr>
          <w:rFonts w:ascii="Calibri" w:hAnsi="Calibri" w:cs="Arial"/>
          <w:i/>
          <w:color w:val="000000"/>
          <w:sz w:val="24"/>
          <w:szCs w:val="24"/>
        </w:rPr>
        <w:t xml:space="preserve"> helping </w:t>
      </w:r>
      <w:r w:rsidR="002B6FF3">
        <w:rPr>
          <w:rFonts w:ascii="Calibri" w:hAnsi="Calibri" w:cs="Arial"/>
          <w:i/>
          <w:color w:val="000000"/>
          <w:sz w:val="24"/>
          <w:szCs w:val="24"/>
        </w:rPr>
        <w:t xml:space="preserve">to </w:t>
      </w:r>
      <w:r w:rsidR="00DC521E" w:rsidRPr="00954F16">
        <w:rPr>
          <w:rFonts w:ascii="Calibri" w:hAnsi="Calibri" w:cs="Arial"/>
          <w:i/>
          <w:color w:val="000000"/>
          <w:sz w:val="24"/>
          <w:szCs w:val="24"/>
        </w:rPr>
        <w:t>establish the counterfactual.</w:t>
      </w:r>
      <w:r w:rsidR="00EC155D" w:rsidRPr="00954F16">
        <w:rPr>
          <w:rFonts w:ascii="Calibri" w:hAnsi="Calibri" w:cs="Arial"/>
          <w:i/>
          <w:color w:val="000000"/>
          <w:sz w:val="24"/>
          <w:szCs w:val="24"/>
        </w:rPr>
        <w:t xml:space="preserve"> </w:t>
      </w:r>
      <w:r w:rsidR="00D062E6" w:rsidRPr="00954F16">
        <w:rPr>
          <w:rFonts w:ascii="Calibri" w:hAnsi="Calibri" w:cs="Arial"/>
          <w:i/>
          <w:color w:val="000000"/>
          <w:sz w:val="24"/>
          <w:szCs w:val="24"/>
        </w:rPr>
        <w:t xml:space="preserve">For example, implementing a policy </w:t>
      </w:r>
      <w:r w:rsidR="00EC155D" w:rsidRPr="00954F16">
        <w:rPr>
          <w:rFonts w:ascii="Calibri" w:hAnsi="Calibri" w:cs="Arial"/>
          <w:i/>
          <w:color w:val="000000"/>
          <w:sz w:val="24"/>
          <w:szCs w:val="24"/>
        </w:rPr>
        <w:t>on an initially restricted group of individuals</w:t>
      </w:r>
      <w:r w:rsidR="0050444B" w:rsidRPr="00954F16">
        <w:rPr>
          <w:rFonts w:ascii="Calibri" w:hAnsi="Calibri" w:cs="Arial"/>
          <w:i/>
          <w:color w:val="000000"/>
          <w:sz w:val="24"/>
          <w:szCs w:val="24"/>
        </w:rPr>
        <w:t xml:space="preserve"> </w:t>
      </w:r>
      <w:r w:rsidR="00221A60" w:rsidRPr="00954F16">
        <w:rPr>
          <w:rFonts w:ascii="Calibri" w:hAnsi="Calibri" w:cs="Arial"/>
          <w:i/>
          <w:color w:val="000000"/>
          <w:sz w:val="24"/>
          <w:szCs w:val="24"/>
        </w:rPr>
        <w:t xml:space="preserve">or organisations </w:t>
      </w:r>
      <w:r w:rsidR="0050444B" w:rsidRPr="00954F16">
        <w:rPr>
          <w:rFonts w:ascii="Calibri" w:hAnsi="Calibri" w:cs="Arial"/>
          <w:i/>
          <w:color w:val="000000"/>
          <w:sz w:val="24"/>
          <w:szCs w:val="24"/>
        </w:rPr>
        <w:t>may help estimate the counterfactual</w:t>
      </w:r>
      <w:r w:rsidR="00221A60" w:rsidRPr="00954F16">
        <w:rPr>
          <w:rFonts w:ascii="Calibri" w:hAnsi="Calibri" w:cs="Arial"/>
          <w:i/>
          <w:color w:val="000000"/>
          <w:sz w:val="24"/>
          <w:szCs w:val="24"/>
        </w:rPr>
        <w:t>, through observing what happens to the other individuals or organisations</w:t>
      </w:r>
      <w:r w:rsidR="00EC155D" w:rsidRPr="00954F16">
        <w:rPr>
          <w:rFonts w:ascii="Calibri" w:hAnsi="Calibri" w:cs="Arial"/>
          <w:i/>
          <w:color w:val="000000"/>
          <w:sz w:val="24"/>
          <w:szCs w:val="24"/>
        </w:rPr>
        <w:t xml:space="preserve">. </w:t>
      </w:r>
      <w:r w:rsidR="005E3D74" w:rsidRPr="00954F16">
        <w:rPr>
          <w:rFonts w:ascii="Calibri" w:hAnsi="Calibri" w:cs="Arial"/>
          <w:i/>
          <w:color w:val="000000"/>
          <w:sz w:val="24"/>
          <w:szCs w:val="24"/>
        </w:rPr>
        <w:t>The case below is an example of where considering monitoring and evaluation early in the policy design and planning process would have been beneficial.</w:t>
      </w:r>
    </w:p>
    <w:p w:rsidR="005E3D74" w:rsidRDefault="005E3D74" w:rsidP="005E3D74">
      <w:pPr>
        <w:spacing w:after="0"/>
        <w:ind w:left="720"/>
        <w:rPr>
          <w:rFonts w:ascii="Calibri" w:hAnsi="Calibri" w:cs="Arial"/>
          <w:i/>
          <w:color w:val="000000"/>
        </w:rPr>
      </w:pPr>
    </w:p>
    <w:p w:rsidR="005E3D74" w:rsidRPr="00954F16" w:rsidRDefault="005E3D74" w:rsidP="005E3D7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sz w:val="24"/>
          <w:szCs w:val="24"/>
        </w:rPr>
      </w:pPr>
      <w:r w:rsidRPr="001E1839">
        <w:rPr>
          <w:rFonts w:cstheme="minorHAnsi"/>
          <w:b/>
          <w:sz w:val="24"/>
          <w:szCs w:val="24"/>
        </w:rPr>
        <w:t xml:space="preserve">Post Implementation Review of </w:t>
      </w:r>
      <w:r>
        <w:rPr>
          <w:rFonts w:cstheme="minorHAnsi"/>
          <w:b/>
          <w:sz w:val="24"/>
          <w:szCs w:val="24"/>
        </w:rPr>
        <w:t>the Ecodesign of energy related products regulations 2010 (Green) (RPC-DECC-3144(1)):</w:t>
      </w:r>
      <w:r w:rsidRPr="00B87B19">
        <w:rPr>
          <w:rFonts w:cstheme="minorHAnsi"/>
          <w:sz w:val="24"/>
          <w:szCs w:val="24"/>
        </w:rPr>
        <w:t xml:space="preserve"> </w:t>
      </w:r>
      <w:r>
        <w:rPr>
          <w:rFonts w:cstheme="minorHAnsi"/>
          <w:sz w:val="24"/>
          <w:szCs w:val="24"/>
        </w:rPr>
        <w:t xml:space="preserve"> </w:t>
      </w:r>
      <w:r w:rsidRPr="00954F16">
        <w:rPr>
          <w:rFonts w:cstheme="minorHAnsi"/>
          <w:sz w:val="24"/>
          <w:szCs w:val="24"/>
        </w:rPr>
        <w:t>The Department explains that the PIR could have been improved by monitoring compliance rates, but that this could not be done in a cost effective manner. The PIR explains that given the limited scale of the expected impacts on compliance, this is a proportionate and reasonable approach. The RPC, however, highlighted that not being able to monitor the effectiveness of a policy could be an issue in the case of more significant proposals. Monitoring and evaluation should, therefore, be considered in the early stages of the policy design and planning process.</w:t>
      </w:r>
    </w:p>
    <w:p w:rsidR="005E3D74" w:rsidRDefault="005E3D74" w:rsidP="005E3D74">
      <w:pPr>
        <w:spacing w:after="0"/>
        <w:rPr>
          <w:rFonts w:ascii="Calibri" w:hAnsi="Calibri" w:cs="Arial"/>
          <w:i/>
          <w:color w:val="000000"/>
        </w:rPr>
      </w:pPr>
    </w:p>
    <w:p w:rsidR="00EC50C6" w:rsidRPr="00954F16" w:rsidRDefault="005E6722" w:rsidP="005E3D74">
      <w:pPr>
        <w:spacing w:after="0"/>
        <w:ind w:left="720"/>
        <w:rPr>
          <w:rFonts w:ascii="Calibri" w:hAnsi="Calibri" w:cs="Arial"/>
          <w:i/>
          <w:color w:val="000000"/>
          <w:sz w:val="24"/>
          <w:szCs w:val="24"/>
        </w:rPr>
      </w:pPr>
      <w:r w:rsidRPr="00954F16">
        <w:rPr>
          <w:i/>
          <w:sz w:val="24"/>
          <w:szCs w:val="24"/>
        </w:rPr>
        <w:t>Clarity regarding the time frame is</w:t>
      </w:r>
      <w:r w:rsidR="00137C12" w:rsidRPr="00954F16">
        <w:rPr>
          <w:i/>
          <w:sz w:val="24"/>
          <w:szCs w:val="24"/>
        </w:rPr>
        <w:t xml:space="preserve"> also</w:t>
      </w:r>
      <w:r w:rsidRPr="00954F16">
        <w:rPr>
          <w:i/>
          <w:sz w:val="24"/>
          <w:szCs w:val="24"/>
        </w:rPr>
        <w:t xml:space="preserve"> important because short term impacts may be very different to longer term effects, and there is likely to be a time lag between implementation and when initial </w:t>
      </w:r>
      <w:r w:rsidR="00C13BAB" w:rsidRPr="00954F16">
        <w:rPr>
          <w:i/>
          <w:sz w:val="24"/>
          <w:szCs w:val="24"/>
        </w:rPr>
        <w:t>impacts</w:t>
      </w:r>
      <w:r w:rsidRPr="00954F16">
        <w:rPr>
          <w:i/>
          <w:sz w:val="24"/>
          <w:szCs w:val="24"/>
        </w:rPr>
        <w:t xml:space="preserve"> materialise. </w:t>
      </w:r>
    </w:p>
    <w:p w:rsidR="005E3D74" w:rsidRPr="00954F16" w:rsidRDefault="005E3D74" w:rsidP="005E3D74">
      <w:pPr>
        <w:spacing w:after="0"/>
        <w:ind w:left="720"/>
        <w:rPr>
          <w:rFonts w:ascii="Calibri" w:hAnsi="Calibri" w:cs="Arial"/>
          <w:i/>
          <w:color w:val="000000"/>
          <w:sz w:val="24"/>
          <w:szCs w:val="24"/>
        </w:rPr>
      </w:pPr>
    </w:p>
    <w:p w:rsidR="00460383" w:rsidRPr="00954F16" w:rsidRDefault="00D43518" w:rsidP="00EC50C6">
      <w:pPr>
        <w:spacing w:after="0"/>
        <w:ind w:left="720"/>
        <w:rPr>
          <w:i/>
          <w:sz w:val="24"/>
          <w:szCs w:val="24"/>
        </w:rPr>
      </w:pPr>
      <w:r w:rsidRPr="00954F16">
        <w:rPr>
          <w:rFonts w:ascii="Calibri" w:hAnsi="Calibri" w:cs="Arial"/>
          <w:i/>
          <w:color w:val="000000"/>
          <w:sz w:val="24"/>
          <w:szCs w:val="24"/>
        </w:rPr>
        <w:t>D</w:t>
      </w:r>
      <w:r w:rsidR="00616589" w:rsidRPr="00954F16">
        <w:rPr>
          <w:rFonts w:ascii="Calibri" w:hAnsi="Calibri" w:cs="Arial"/>
          <w:i/>
          <w:color w:val="000000"/>
          <w:sz w:val="24"/>
          <w:szCs w:val="24"/>
        </w:rPr>
        <w:t>epartment</w:t>
      </w:r>
      <w:r w:rsidR="00333130" w:rsidRPr="00954F16">
        <w:rPr>
          <w:rFonts w:ascii="Calibri" w:hAnsi="Calibri" w:cs="Arial"/>
          <w:i/>
          <w:color w:val="000000"/>
          <w:sz w:val="24"/>
          <w:szCs w:val="24"/>
        </w:rPr>
        <w:t>s</w:t>
      </w:r>
      <w:r w:rsidR="004C0B97" w:rsidRPr="00954F16">
        <w:rPr>
          <w:rFonts w:ascii="Calibri" w:hAnsi="Calibri" w:cs="Arial"/>
          <w:i/>
          <w:color w:val="000000"/>
          <w:sz w:val="24"/>
          <w:szCs w:val="24"/>
        </w:rPr>
        <w:t xml:space="preserve"> should </w:t>
      </w:r>
      <w:r w:rsidR="005E6722" w:rsidRPr="00954F16">
        <w:rPr>
          <w:rFonts w:ascii="Calibri" w:hAnsi="Calibri" w:cs="Arial"/>
          <w:i/>
          <w:color w:val="000000"/>
          <w:sz w:val="24"/>
          <w:szCs w:val="24"/>
        </w:rPr>
        <w:t xml:space="preserve">also </w:t>
      </w:r>
      <w:r w:rsidR="004C0B97" w:rsidRPr="00954F16">
        <w:rPr>
          <w:rFonts w:ascii="Calibri" w:hAnsi="Calibri" w:cs="Arial"/>
          <w:i/>
          <w:color w:val="000000"/>
          <w:sz w:val="24"/>
          <w:szCs w:val="24"/>
        </w:rPr>
        <w:t>compare the actual impacts against the estimate</w:t>
      </w:r>
      <w:r w:rsidR="0054568E" w:rsidRPr="00954F16">
        <w:rPr>
          <w:rFonts w:ascii="Calibri" w:hAnsi="Calibri" w:cs="Arial"/>
          <w:i/>
          <w:color w:val="000000"/>
          <w:sz w:val="24"/>
          <w:szCs w:val="24"/>
        </w:rPr>
        <w:t>s</w:t>
      </w:r>
      <w:r w:rsidR="00957A26" w:rsidRPr="00954F16">
        <w:rPr>
          <w:rFonts w:ascii="Calibri" w:hAnsi="Calibri" w:cs="Arial"/>
          <w:i/>
          <w:color w:val="000000"/>
          <w:sz w:val="24"/>
          <w:szCs w:val="24"/>
        </w:rPr>
        <w:t xml:space="preserve"> in the</w:t>
      </w:r>
      <w:r w:rsidR="004C0B97" w:rsidRPr="00954F16">
        <w:rPr>
          <w:rFonts w:ascii="Calibri" w:hAnsi="Calibri" w:cs="Arial"/>
          <w:i/>
          <w:color w:val="000000"/>
          <w:sz w:val="24"/>
          <w:szCs w:val="24"/>
        </w:rPr>
        <w:t xml:space="preserve"> apprais</w:t>
      </w:r>
      <w:r w:rsidR="00957A26" w:rsidRPr="00954F16">
        <w:rPr>
          <w:rFonts w:ascii="Calibri" w:hAnsi="Calibri" w:cs="Arial"/>
          <w:i/>
          <w:color w:val="000000"/>
          <w:sz w:val="24"/>
          <w:szCs w:val="24"/>
        </w:rPr>
        <w:t>al</w:t>
      </w:r>
      <w:r w:rsidR="004C0B97" w:rsidRPr="00954F16">
        <w:rPr>
          <w:rFonts w:ascii="Calibri" w:hAnsi="Calibri" w:cs="Arial"/>
          <w:i/>
          <w:color w:val="000000"/>
          <w:sz w:val="24"/>
          <w:szCs w:val="24"/>
        </w:rPr>
        <w:t>, and explain any significant differences.</w:t>
      </w:r>
      <w:r w:rsidR="00C6515F" w:rsidRPr="00954F16">
        <w:rPr>
          <w:rFonts w:ascii="Calibri" w:hAnsi="Calibri" w:cs="Arial"/>
          <w:i/>
          <w:color w:val="000000"/>
          <w:sz w:val="24"/>
          <w:szCs w:val="24"/>
        </w:rPr>
        <w:t xml:space="preserve"> For example, the </w:t>
      </w:r>
      <w:r w:rsidR="00957A26" w:rsidRPr="00954F16">
        <w:rPr>
          <w:rFonts w:ascii="Calibri" w:hAnsi="Calibri" w:cs="Arial"/>
          <w:i/>
          <w:color w:val="000000"/>
          <w:sz w:val="24"/>
          <w:szCs w:val="24"/>
        </w:rPr>
        <w:t>d</w:t>
      </w:r>
      <w:r w:rsidR="00310690" w:rsidRPr="00954F16">
        <w:rPr>
          <w:rFonts w:ascii="Calibri" w:hAnsi="Calibri" w:cs="Arial"/>
          <w:i/>
          <w:color w:val="000000"/>
          <w:sz w:val="24"/>
          <w:szCs w:val="24"/>
        </w:rPr>
        <w:t xml:space="preserve">epartment may refer </w:t>
      </w:r>
      <w:r w:rsidR="00333130" w:rsidRPr="00954F16">
        <w:rPr>
          <w:rFonts w:ascii="Calibri" w:hAnsi="Calibri" w:cs="Arial"/>
          <w:i/>
          <w:color w:val="000000"/>
          <w:sz w:val="24"/>
          <w:szCs w:val="24"/>
        </w:rPr>
        <w:t xml:space="preserve">to </w:t>
      </w:r>
      <w:r w:rsidR="00310690" w:rsidRPr="00954F16">
        <w:rPr>
          <w:rFonts w:ascii="Calibri" w:hAnsi="Calibri" w:cs="Arial"/>
          <w:i/>
          <w:color w:val="000000"/>
          <w:sz w:val="24"/>
          <w:szCs w:val="24"/>
        </w:rPr>
        <w:t xml:space="preserve">how much the EANCB has changed compared to that estimated in the IA, and </w:t>
      </w:r>
      <w:r w:rsidR="005E6722" w:rsidRPr="00954F16">
        <w:rPr>
          <w:rFonts w:ascii="Calibri" w:hAnsi="Calibri" w:cs="Arial"/>
          <w:i/>
          <w:color w:val="000000"/>
          <w:sz w:val="24"/>
          <w:szCs w:val="24"/>
        </w:rPr>
        <w:t xml:space="preserve">explain </w:t>
      </w:r>
      <w:r w:rsidR="00310690" w:rsidRPr="00954F16">
        <w:rPr>
          <w:rFonts w:ascii="Calibri" w:hAnsi="Calibri" w:cs="Arial"/>
          <w:i/>
          <w:color w:val="000000"/>
          <w:sz w:val="24"/>
          <w:szCs w:val="24"/>
        </w:rPr>
        <w:t>the reasons for this change.</w:t>
      </w:r>
      <w:r w:rsidR="001A33C1" w:rsidRPr="00954F16">
        <w:rPr>
          <w:i/>
          <w:sz w:val="24"/>
          <w:szCs w:val="24"/>
        </w:rPr>
        <w:t xml:space="preserve"> </w:t>
      </w:r>
      <w:r w:rsidR="005E3D74" w:rsidRPr="00954F16">
        <w:rPr>
          <w:i/>
          <w:sz w:val="24"/>
          <w:szCs w:val="24"/>
        </w:rPr>
        <w:t xml:space="preserve">A good PIR will consider whether any of these changes provide lessons for future IAs or PIRs. The case below </w:t>
      </w:r>
      <w:r w:rsidR="0050444B" w:rsidRPr="00954F16">
        <w:rPr>
          <w:i/>
          <w:sz w:val="24"/>
          <w:szCs w:val="24"/>
        </w:rPr>
        <w:t>would have benefited from more clearly presenting these lessons.</w:t>
      </w:r>
    </w:p>
    <w:p w:rsidR="005E3D74" w:rsidRDefault="005E3D74" w:rsidP="00EC50C6">
      <w:pPr>
        <w:spacing w:after="0"/>
        <w:ind w:left="720"/>
        <w:rPr>
          <w:i/>
        </w:rPr>
      </w:pPr>
    </w:p>
    <w:p w:rsidR="005E3D74" w:rsidRPr="00954F16" w:rsidRDefault="005E3D74" w:rsidP="005E3D7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rPr>
          <w:rFonts w:cstheme="minorHAnsi"/>
          <w:sz w:val="24"/>
          <w:szCs w:val="24"/>
        </w:rPr>
      </w:pPr>
      <w:r w:rsidRPr="001E1839">
        <w:rPr>
          <w:rFonts w:cstheme="minorHAnsi"/>
          <w:b/>
          <w:sz w:val="24"/>
          <w:szCs w:val="24"/>
        </w:rPr>
        <w:t>Post Implementation Review of the Sale of Registration Marks (Amendments) Regulations 2008 (Green) (RPC13-DFT-PIR-1738):</w:t>
      </w:r>
      <w:r w:rsidRPr="00B87B19">
        <w:rPr>
          <w:rFonts w:cstheme="minorHAnsi"/>
          <w:sz w:val="24"/>
          <w:szCs w:val="24"/>
        </w:rPr>
        <w:t xml:space="preserve"> </w:t>
      </w:r>
      <w:r>
        <w:rPr>
          <w:rFonts w:cstheme="minorHAnsi"/>
          <w:sz w:val="24"/>
          <w:szCs w:val="24"/>
        </w:rPr>
        <w:t xml:space="preserve"> </w:t>
      </w:r>
      <w:r w:rsidRPr="00954F16">
        <w:rPr>
          <w:rFonts w:cstheme="minorHAnsi"/>
          <w:sz w:val="24"/>
          <w:szCs w:val="24"/>
        </w:rPr>
        <w:t>Although the</w:t>
      </w:r>
      <w:r w:rsidRPr="00954F16">
        <w:rPr>
          <w:rFonts w:cstheme="minorHAnsi"/>
          <w:color w:val="000000"/>
          <w:sz w:val="24"/>
          <w:szCs w:val="24"/>
        </w:rPr>
        <w:t xml:space="preserve"> PIR was considered fit for purpose, it could had been improved by assessing further the specific impact of the ending of the contracted out tele-sales link and by bringing together lessons learned under one heading.</w:t>
      </w:r>
    </w:p>
    <w:p w:rsidR="005E3D74" w:rsidRPr="00954F16" w:rsidRDefault="005E3D74" w:rsidP="0034596C">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color w:val="000000"/>
          <w:sz w:val="24"/>
          <w:szCs w:val="24"/>
        </w:rPr>
      </w:pPr>
      <w:r w:rsidRPr="00954F16">
        <w:rPr>
          <w:rFonts w:cstheme="minorHAnsi"/>
          <w:color w:val="000000"/>
          <w:sz w:val="24"/>
          <w:szCs w:val="24"/>
        </w:rPr>
        <w:t xml:space="preserve">In the PIR the termination of the contract was credited with saving nearly £1m per year, compared with an expected saving of £847,000 in the 2008 IA. This accounted for about 80% of the overall estimated savings from the proposal. Combining all the savings together somewhat masked the fact that benefits elsewhere were substantially lower than estimated. Also, the PIR could have addressed whether ending the contract might had had a negative effect on sales. It appeared that in 2008 the number of transactions was considerably over-estimated, leading to a sharp fall in sales revenue. </w:t>
      </w:r>
    </w:p>
    <w:p w:rsidR="005E3D74" w:rsidRDefault="005E3D74" w:rsidP="00EC50C6">
      <w:pPr>
        <w:spacing w:after="0"/>
        <w:ind w:left="720"/>
        <w:rPr>
          <w:i/>
        </w:rPr>
      </w:pPr>
    </w:p>
    <w:p w:rsidR="006E12E4" w:rsidRPr="00F558DE" w:rsidRDefault="006E12E4" w:rsidP="00AE03AA">
      <w:pPr>
        <w:spacing w:after="0"/>
        <w:rPr>
          <w:rFonts w:ascii="Calibri" w:hAnsi="Calibri" w:cs="Arial"/>
          <w:b/>
          <w:i/>
          <w:color w:val="000000"/>
        </w:rPr>
      </w:pPr>
    </w:p>
    <w:p w:rsidR="00FC0AB6" w:rsidRPr="00F558DE" w:rsidRDefault="00FC0AB6" w:rsidP="001D6E3C">
      <w:pPr>
        <w:pStyle w:val="ListParagraph"/>
        <w:numPr>
          <w:ilvl w:val="1"/>
          <w:numId w:val="5"/>
        </w:numPr>
        <w:rPr>
          <w:rFonts w:ascii="Calibri" w:hAnsi="Calibri" w:cs="Arial"/>
          <w:b/>
          <w:color w:val="000000"/>
        </w:rPr>
      </w:pPr>
      <w:r w:rsidRPr="00F558DE">
        <w:rPr>
          <w:rFonts w:ascii="Calibri" w:hAnsi="Calibri" w:cs="Arial"/>
          <w:b/>
          <w:color w:val="000000"/>
        </w:rPr>
        <w:t>Have there been any unintended effects?</w:t>
      </w:r>
      <w:r w:rsidR="002E2B19" w:rsidRPr="00F558DE">
        <w:rPr>
          <w:rFonts w:ascii="Calibri" w:hAnsi="Calibri" w:cs="Arial"/>
          <w:b/>
          <w:color w:val="000000"/>
        </w:rPr>
        <w:t xml:space="preserve"> </w:t>
      </w:r>
    </w:p>
    <w:p w:rsidR="003C0137" w:rsidRPr="00F558DE" w:rsidRDefault="003C0137" w:rsidP="009E6FD4">
      <w:pPr>
        <w:spacing w:after="0"/>
        <w:rPr>
          <w:rFonts w:ascii="Calibri" w:hAnsi="Calibri" w:cs="Arial"/>
          <w:b/>
          <w:i/>
          <w:color w:val="000000"/>
        </w:rPr>
      </w:pPr>
    </w:p>
    <w:p w:rsidR="00FC0AB6" w:rsidRPr="00954F16" w:rsidRDefault="00D86394" w:rsidP="00EC155D">
      <w:pPr>
        <w:spacing w:after="0"/>
        <w:ind w:left="720"/>
        <w:rPr>
          <w:rFonts w:ascii="Calibri" w:hAnsi="Calibri" w:cs="Arial"/>
          <w:i/>
          <w:color w:val="000000"/>
          <w:sz w:val="24"/>
          <w:szCs w:val="24"/>
        </w:rPr>
      </w:pPr>
      <w:r w:rsidRPr="00954F16">
        <w:rPr>
          <w:rFonts w:ascii="Calibri" w:hAnsi="Calibri" w:cs="Arial"/>
          <w:i/>
          <w:color w:val="000000"/>
          <w:sz w:val="24"/>
          <w:szCs w:val="24"/>
        </w:rPr>
        <w:t xml:space="preserve">The existence </w:t>
      </w:r>
      <w:r w:rsidR="002A3643" w:rsidRPr="00954F16">
        <w:rPr>
          <w:rFonts w:ascii="Calibri" w:hAnsi="Calibri" w:cs="Arial"/>
          <w:i/>
          <w:color w:val="000000"/>
          <w:sz w:val="24"/>
          <w:szCs w:val="24"/>
        </w:rPr>
        <w:t>of unintended effects may alter</w:t>
      </w:r>
      <w:r w:rsidRPr="00954F16">
        <w:rPr>
          <w:rFonts w:ascii="Calibri" w:hAnsi="Calibri" w:cs="Arial"/>
          <w:i/>
          <w:color w:val="000000"/>
          <w:sz w:val="24"/>
          <w:szCs w:val="24"/>
        </w:rPr>
        <w:t xml:space="preserve"> the extent to which the existing regulation is judged to be working effectively. </w:t>
      </w:r>
      <w:r w:rsidR="00333130" w:rsidRPr="00954F16">
        <w:rPr>
          <w:rFonts w:ascii="Calibri" w:hAnsi="Calibri" w:cs="Arial"/>
          <w:i/>
          <w:color w:val="000000"/>
          <w:sz w:val="24"/>
          <w:szCs w:val="24"/>
        </w:rPr>
        <w:t>D</w:t>
      </w:r>
      <w:r w:rsidR="00074B1A" w:rsidRPr="00954F16">
        <w:rPr>
          <w:rFonts w:ascii="Calibri" w:hAnsi="Calibri" w:cs="Arial"/>
          <w:i/>
          <w:color w:val="000000"/>
          <w:sz w:val="24"/>
          <w:szCs w:val="24"/>
        </w:rPr>
        <w:t>epartment</w:t>
      </w:r>
      <w:r w:rsidR="00333130" w:rsidRPr="00954F16">
        <w:rPr>
          <w:rFonts w:ascii="Calibri" w:hAnsi="Calibri" w:cs="Arial"/>
          <w:i/>
          <w:color w:val="000000"/>
          <w:sz w:val="24"/>
          <w:szCs w:val="24"/>
        </w:rPr>
        <w:t>s</w:t>
      </w:r>
      <w:r w:rsidR="00074B1A" w:rsidRPr="00954F16">
        <w:rPr>
          <w:rFonts w:ascii="Calibri" w:hAnsi="Calibri" w:cs="Arial"/>
          <w:i/>
          <w:color w:val="000000"/>
          <w:sz w:val="24"/>
          <w:szCs w:val="24"/>
        </w:rPr>
        <w:t xml:space="preserve"> should dis</w:t>
      </w:r>
      <w:r w:rsidR="002A3643" w:rsidRPr="00954F16">
        <w:rPr>
          <w:rFonts w:ascii="Calibri" w:hAnsi="Calibri" w:cs="Arial"/>
          <w:i/>
          <w:color w:val="000000"/>
          <w:sz w:val="24"/>
          <w:szCs w:val="24"/>
        </w:rPr>
        <w:t xml:space="preserve">cuss </w:t>
      </w:r>
      <w:r w:rsidR="001A189A" w:rsidRPr="00954F16">
        <w:rPr>
          <w:rFonts w:ascii="Calibri" w:hAnsi="Calibri" w:cs="Arial"/>
          <w:i/>
          <w:color w:val="000000"/>
          <w:sz w:val="24"/>
          <w:szCs w:val="24"/>
        </w:rPr>
        <w:t xml:space="preserve">fully </w:t>
      </w:r>
      <w:r w:rsidR="002A3643" w:rsidRPr="00954F16">
        <w:rPr>
          <w:rFonts w:ascii="Calibri" w:hAnsi="Calibri" w:cs="Arial"/>
          <w:i/>
          <w:color w:val="000000"/>
          <w:sz w:val="24"/>
          <w:szCs w:val="24"/>
        </w:rPr>
        <w:t xml:space="preserve">any unintended effects. </w:t>
      </w:r>
      <w:r w:rsidR="00E703AF" w:rsidRPr="00954F16">
        <w:rPr>
          <w:rFonts w:ascii="Calibri" w:hAnsi="Calibri" w:cs="Arial"/>
          <w:i/>
          <w:color w:val="000000"/>
          <w:sz w:val="24"/>
          <w:szCs w:val="24"/>
        </w:rPr>
        <w:t xml:space="preserve">This </w:t>
      </w:r>
      <w:r w:rsidR="0045381D" w:rsidRPr="00954F16">
        <w:rPr>
          <w:rFonts w:ascii="Calibri" w:hAnsi="Calibri" w:cs="Arial"/>
          <w:i/>
          <w:color w:val="000000"/>
          <w:sz w:val="24"/>
          <w:szCs w:val="24"/>
        </w:rPr>
        <w:t xml:space="preserve">should include a discussion of the significance of these effects for meeting the policy objectives and their implications for </w:t>
      </w:r>
      <w:r w:rsidR="006E12E4" w:rsidRPr="00954F16">
        <w:rPr>
          <w:rFonts w:ascii="Calibri" w:hAnsi="Calibri" w:cs="Arial"/>
          <w:i/>
          <w:color w:val="000000"/>
          <w:sz w:val="24"/>
          <w:szCs w:val="24"/>
        </w:rPr>
        <w:t xml:space="preserve">the </w:t>
      </w:r>
      <w:r w:rsidR="00333130" w:rsidRPr="00954F16">
        <w:rPr>
          <w:rFonts w:ascii="Calibri" w:hAnsi="Calibri" w:cs="Arial"/>
          <w:i/>
          <w:color w:val="000000"/>
          <w:sz w:val="24"/>
          <w:szCs w:val="24"/>
        </w:rPr>
        <w:t>d</w:t>
      </w:r>
      <w:r w:rsidR="0045381D" w:rsidRPr="00954F16">
        <w:rPr>
          <w:rFonts w:ascii="Calibri" w:hAnsi="Calibri" w:cs="Arial"/>
          <w:i/>
          <w:color w:val="000000"/>
          <w:sz w:val="24"/>
          <w:szCs w:val="24"/>
        </w:rPr>
        <w:t>epartment’s preferred option.</w:t>
      </w:r>
      <w:r w:rsidR="001063B5" w:rsidRPr="00954F16">
        <w:rPr>
          <w:rFonts w:ascii="Calibri" w:hAnsi="Calibri" w:cs="Arial"/>
          <w:i/>
          <w:color w:val="000000"/>
          <w:sz w:val="24"/>
          <w:szCs w:val="24"/>
        </w:rPr>
        <w:t xml:space="preserve"> </w:t>
      </w:r>
      <w:r w:rsidR="001A189A" w:rsidRPr="00954F16">
        <w:rPr>
          <w:rFonts w:ascii="Calibri" w:hAnsi="Calibri" w:cs="Arial"/>
          <w:i/>
          <w:color w:val="000000"/>
          <w:sz w:val="24"/>
          <w:szCs w:val="24"/>
        </w:rPr>
        <w:t>In this, d</w:t>
      </w:r>
      <w:r w:rsidR="001063B5" w:rsidRPr="00954F16">
        <w:rPr>
          <w:rFonts w:ascii="Calibri" w:hAnsi="Calibri" w:cs="Arial"/>
          <w:i/>
          <w:color w:val="000000"/>
          <w:sz w:val="24"/>
          <w:szCs w:val="24"/>
        </w:rPr>
        <w:t xml:space="preserve">epartments should consider any unintended </w:t>
      </w:r>
      <w:r w:rsidR="003F6688" w:rsidRPr="00954F16">
        <w:rPr>
          <w:rFonts w:ascii="Calibri" w:hAnsi="Calibri" w:cs="Arial"/>
          <w:i/>
          <w:color w:val="000000"/>
          <w:sz w:val="24"/>
          <w:szCs w:val="24"/>
        </w:rPr>
        <w:t>impacts</w:t>
      </w:r>
      <w:r w:rsidR="001063B5" w:rsidRPr="00954F16">
        <w:rPr>
          <w:rFonts w:ascii="Calibri" w:hAnsi="Calibri" w:cs="Arial"/>
          <w:i/>
          <w:color w:val="000000"/>
          <w:sz w:val="24"/>
          <w:szCs w:val="24"/>
        </w:rPr>
        <w:t xml:space="preserve"> that arise as a result of the policy itself</w:t>
      </w:r>
      <w:r w:rsidR="00DF579D" w:rsidRPr="00954F16">
        <w:rPr>
          <w:rFonts w:ascii="Calibri" w:hAnsi="Calibri" w:cs="Arial"/>
          <w:i/>
          <w:color w:val="000000"/>
          <w:sz w:val="24"/>
          <w:szCs w:val="24"/>
        </w:rPr>
        <w:t xml:space="preserve"> or its implementation</w:t>
      </w:r>
      <w:r w:rsidR="001063B5" w:rsidRPr="00954F16">
        <w:rPr>
          <w:rFonts w:ascii="Calibri" w:hAnsi="Calibri" w:cs="Arial"/>
          <w:i/>
          <w:color w:val="000000"/>
          <w:sz w:val="24"/>
          <w:szCs w:val="24"/>
        </w:rPr>
        <w:t xml:space="preserve">, and wider unexpected developments that may have had </w:t>
      </w:r>
      <w:r w:rsidR="003F6688" w:rsidRPr="00954F16">
        <w:rPr>
          <w:rFonts w:ascii="Calibri" w:hAnsi="Calibri" w:cs="Arial"/>
          <w:i/>
          <w:color w:val="000000"/>
          <w:sz w:val="24"/>
          <w:szCs w:val="24"/>
        </w:rPr>
        <w:t xml:space="preserve">an </w:t>
      </w:r>
      <w:r w:rsidR="001063B5" w:rsidRPr="00954F16">
        <w:rPr>
          <w:rFonts w:ascii="Calibri" w:hAnsi="Calibri" w:cs="Arial"/>
          <w:i/>
          <w:color w:val="000000"/>
          <w:sz w:val="24"/>
          <w:szCs w:val="24"/>
        </w:rPr>
        <w:t xml:space="preserve">unintended effect on the </w:t>
      </w:r>
      <w:r w:rsidR="003F6688" w:rsidRPr="00954F16">
        <w:rPr>
          <w:rFonts w:ascii="Calibri" w:hAnsi="Calibri" w:cs="Arial"/>
          <w:i/>
          <w:color w:val="000000"/>
          <w:sz w:val="24"/>
          <w:szCs w:val="24"/>
        </w:rPr>
        <w:t>whether</w:t>
      </w:r>
      <w:r w:rsidR="001063B5" w:rsidRPr="00954F16">
        <w:rPr>
          <w:rFonts w:ascii="Calibri" w:hAnsi="Calibri" w:cs="Arial"/>
          <w:i/>
          <w:color w:val="000000"/>
          <w:sz w:val="24"/>
          <w:szCs w:val="24"/>
        </w:rPr>
        <w:t xml:space="preserve"> </w:t>
      </w:r>
      <w:r w:rsidR="003F6688" w:rsidRPr="00954F16">
        <w:rPr>
          <w:rFonts w:ascii="Calibri" w:hAnsi="Calibri" w:cs="Arial"/>
          <w:i/>
          <w:color w:val="000000"/>
          <w:sz w:val="24"/>
          <w:szCs w:val="24"/>
        </w:rPr>
        <w:t xml:space="preserve">the objectives </w:t>
      </w:r>
      <w:r w:rsidR="001063B5" w:rsidRPr="00954F16">
        <w:rPr>
          <w:rFonts w:ascii="Calibri" w:hAnsi="Calibri" w:cs="Arial"/>
          <w:i/>
          <w:color w:val="000000"/>
          <w:sz w:val="24"/>
          <w:szCs w:val="24"/>
        </w:rPr>
        <w:t>of the policy</w:t>
      </w:r>
      <w:r w:rsidR="003F6688" w:rsidRPr="00954F16">
        <w:rPr>
          <w:rFonts w:ascii="Calibri" w:hAnsi="Calibri" w:cs="Arial"/>
          <w:i/>
          <w:color w:val="000000"/>
          <w:sz w:val="24"/>
          <w:szCs w:val="24"/>
        </w:rPr>
        <w:t xml:space="preserve"> were being achieved</w:t>
      </w:r>
      <w:r w:rsidR="001063B5" w:rsidRPr="00954F16">
        <w:rPr>
          <w:rFonts w:ascii="Calibri" w:hAnsi="Calibri" w:cs="Arial"/>
          <w:i/>
          <w:color w:val="000000"/>
          <w:sz w:val="24"/>
          <w:szCs w:val="24"/>
        </w:rPr>
        <w:t xml:space="preserve">. Departments should consider the extent to which such effects were reasonably foreseeable at the time the policy was implemented. </w:t>
      </w:r>
      <w:r w:rsidR="00EC155D" w:rsidRPr="00954F16">
        <w:rPr>
          <w:rFonts w:ascii="Calibri" w:hAnsi="Calibri" w:cs="Arial"/>
          <w:i/>
          <w:color w:val="000000"/>
          <w:sz w:val="24"/>
          <w:szCs w:val="24"/>
        </w:rPr>
        <w:t xml:space="preserve">The case </w:t>
      </w:r>
      <w:r w:rsidR="00715D77" w:rsidRPr="00954F16">
        <w:rPr>
          <w:rFonts w:ascii="Calibri" w:hAnsi="Calibri" w:cs="Arial"/>
          <w:i/>
          <w:color w:val="000000"/>
          <w:sz w:val="24"/>
          <w:szCs w:val="24"/>
        </w:rPr>
        <w:t>below</w:t>
      </w:r>
      <w:r w:rsidR="00EC155D" w:rsidRPr="00954F16">
        <w:rPr>
          <w:rFonts w:ascii="Calibri" w:hAnsi="Calibri" w:cs="Arial"/>
          <w:i/>
          <w:color w:val="000000"/>
          <w:sz w:val="24"/>
          <w:szCs w:val="24"/>
        </w:rPr>
        <w:t xml:space="preserve"> provides an example of where the magnitude of </w:t>
      </w:r>
      <w:r w:rsidR="00715D77" w:rsidRPr="00954F16">
        <w:rPr>
          <w:rFonts w:ascii="Calibri" w:hAnsi="Calibri" w:cs="Arial"/>
          <w:i/>
          <w:color w:val="000000"/>
          <w:sz w:val="24"/>
          <w:szCs w:val="24"/>
        </w:rPr>
        <w:t>the impact on</w:t>
      </w:r>
      <w:r w:rsidR="00022BA2" w:rsidRPr="00954F16">
        <w:rPr>
          <w:rFonts w:ascii="Calibri" w:hAnsi="Calibri" w:cs="Arial"/>
          <w:i/>
          <w:color w:val="000000"/>
          <w:sz w:val="24"/>
          <w:szCs w:val="24"/>
        </w:rPr>
        <w:t xml:space="preserve"> business </w:t>
      </w:r>
      <w:r w:rsidR="00715D77" w:rsidRPr="00954F16">
        <w:rPr>
          <w:rFonts w:ascii="Calibri" w:hAnsi="Calibri" w:cs="Arial"/>
          <w:i/>
          <w:color w:val="000000"/>
          <w:sz w:val="24"/>
          <w:szCs w:val="24"/>
        </w:rPr>
        <w:t>was significantly affected by</w:t>
      </w:r>
      <w:r w:rsidR="00EC155D" w:rsidRPr="00954F16">
        <w:rPr>
          <w:rFonts w:ascii="Calibri" w:hAnsi="Calibri" w:cs="Arial"/>
          <w:i/>
          <w:color w:val="000000"/>
          <w:sz w:val="24"/>
          <w:szCs w:val="24"/>
        </w:rPr>
        <w:t xml:space="preserve"> an unforeseeable change in</w:t>
      </w:r>
      <w:r w:rsidR="00022BA2" w:rsidRPr="00954F16">
        <w:rPr>
          <w:rFonts w:ascii="Calibri" w:hAnsi="Calibri" w:cs="Arial"/>
          <w:i/>
          <w:color w:val="000000"/>
          <w:sz w:val="24"/>
          <w:szCs w:val="24"/>
        </w:rPr>
        <w:t xml:space="preserve"> market</w:t>
      </w:r>
      <w:r w:rsidR="00EC155D" w:rsidRPr="00954F16">
        <w:rPr>
          <w:rFonts w:ascii="Calibri" w:hAnsi="Calibri" w:cs="Arial"/>
          <w:i/>
          <w:color w:val="000000"/>
          <w:sz w:val="24"/>
          <w:szCs w:val="24"/>
        </w:rPr>
        <w:t xml:space="preserve"> prices.</w:t>
      </w:r>
      <w:r w:rsidR="00E703AF" w:rsidRPr="00954F16">
        <w:rPr>
          <w:rFonts w:ascii="Calibri" w:hAnsi="Calibri" w:cs="Arial"/>
          <w:i/>
          <w:color w:val="000000"/>
          <w:sz w:val="24"/>
          <w:szCs w:val="24"/>
        </w:rPr>
        <w:t xml:space="preserve"> </w:t>
      </w:r>
      <w:r w:rsidR="001E70B3" w:rsidRPr="00954F16">
        <w:rPr>
          <w:rFonts w:ascii="Calibri" w:hAnsi="Calibri" w:cs="Arial"/>
          <w:i/>
          <w:color w:val="000000"/>
          <w:sz w:val="24"/>
          <w:szCs w:val="24"/>
        </w:rPr>
        <w:t xml:space="preserve">Where market prices are volatile and unexpected movements could have a major impact on the achievement of policy objectives, or the costs and benefits of a policy, this should be addressed in the IA and PIR. </w:t>
      </w:r>
    </w:p>
    <w:p w:rsidR="00BB63DD" w:rsidRDefault="00BB63DD" w:rsidP="006E12E4">
      <w:pPr>
        <w:spacing w:after="0"/>
        <w:ind w:left="720"/>
        <w:rPr>
          <w:rFonts w:ascii="Calibri" w:hAnsi="Calibri" w:cs="Arial"/>
          <w:i/>
          <w:color w:val="000000"/>
        </w:rPr>
      </w:pPr>
    </w:p>
    <w:p w:rsidR="00BB63DD" w:rsidRPr="00F558DE" w:rsidRDefault="00BB63DD" w:rsidP="00BB63DD">
      <w:pPr>
        <w:pStyle w:val="ListParagraph"/>
        <w:numPr>
          <w:ilvl w:val="1"/>
          <w:numId w:val="5"/>
        </w:numPr>
        <w:rPr>
          <w:rFonts w:ascii="Calibri" w:hAnsi="Calibri" w:cs="Arial"/>
          <w:b/>
          <w:color w:val="000000"/>
        </w:rPr>
      </w:pPr>
      <w:r w:rsidRPr="00F558DE">
        <w:rPr>
          <w:rFonts w:ascii="Calibri" w:hAnsi="Calibri" w:cs="Arial"/>
          <w:b/>
          <w:color w:val="000000"/>
        </w:rPr>
        <w:t>Have the Department clearly referenced the IA assumptions?</w:t>
      </w:r>
    </w:p>
    <w:p w:rsidR="00A2256F" w:rsidRDefault="00A2256F" w:rsidP="006E12E4">
      <w:pPr>
        <w:spacing w:after="0"/>
        <w:ind w:left="720"/>
        <w:rPr>
          <w:rFonts w:cstheme="minorHAnsi"/>
          <w:i/>
        </w:rPr>
      </w:pPr>
    </w:p>
    <w:p w:rsidR="004D1F78" w:rsidRPr="00954F16" w:rsidRDefault="004D1F78" w:rsidP="00C672B9">
      <w:pPr>
        <w:spacing w:after="0"/>
        <w:ind w:left="720"/>
        <w:rPr>
          <w:rFonts w:cstheme="minorHAnsi"/>
          <w:i/>
          <w:sz w:val="24"/>
          <w:szCs w:val="24"/>
        </w:rPr>
      </w:pPr>
      <w:r w:rsidRPr="00954F16">
        <w:rPr>
          <w:rFonts w:cstheme="minorHAnsi"/>
          <w:i/>
          <w:sz w:val="24"/>
          <w:szCs w:val="24"/>
        </w:rPr>
        <w:t>The assum</w:t>
      </w:r>
      <w:r w:rsidR="00565BDF" w:rsidRPr="00954F16">
        <w:rPr>
          <w:rFonts w:cstheme="minorHAnsi"/>
          <w:i/>
          <w:sz w:val="24"/>
          <w:szCs w:val="24"/>
        </w:rPr>
        <w:t>ptions made in the IA and PIR a</w:t>
      </w:r>
      <w:r w:rsidRPr="00954F16">
        <w:rPr>
          <w:rFonts w:cstheme="minorHAnsi"/>
          <w:i/>
          <w:sz w:val="24"/>
          <w:szCs w:val="24"/>
        </w:rPr>
        <w:t xml:space="preserve">ffect the conclusions reached in the analysis. It </w:t>
      </w:r>
      <w:r w:rsidR="00565BDF" w:rsidRPr="00954F16">
        <w:rPr>
          <w:rFonts w:cstheme="minorHAnsi"/>
          <w:i/>
          <w:sz w:val="24"/>
          <w:szCs w:val="24"/>
        </w:rPr>
        <w:t>is</w:t>
      </w:r>
      <w:r w:rsidR="00957A26" w:rsidRPr="00954F16">
        <w:rPr>
          <w:rFonts w:cstheme="minorHAnsi"/>
          <w:i/>
          <w:sz w:val="24"/>
          <w:szCs w:val="24"/>
        </w:rPr>
        <w:t>,</w:t>
      </w:r>
      <w:r w:rsidR="00AF54E9" w:rsidRPr="00954F16">
        <w:rPr>
          <w:rFonts w:cstheme="minorHAnsi"/>
          <w:i/>
          <w:sz w:val="24"/>
          <w:szCs w:val="24"/>
        </w:rPr>
        <w:t xml:space="preserve"> </w:t>
      </w:r>
      <w:r w:rsidRPr="00954F16">
        <w:rPr>
          <w:rFonts w:cstheme="minorHAnsi"/>
          <w:i/>
          <w:sz w:val="24"/>
          <w:szCs w:val="24"/>
        </w:rPr>
        <w:t>therefore</w:t>
      </w:r>
      <w:r w:rsidR="00957A26" w:rsidRPr="00954F16">
        <w:rPr>
          <w:rFonts w:cstheme="minorHAnsi"/>
          <w:i/>
          <w:sz w:val="24"/>
          <w:szCs w:val="24"/>
        </w:rPr>
        <w:t>,</w:t>
      </w:r>
      <w:r w:rsidRPr="00954F16">
        <w:rPr>
          <w:rFonts w:cstheme="minorHAnsi"/>
          <w:i/>
          <w:sz w:val="24"/>
          <w:szCs w:val="24"/>
        </w:rPr>
        <w:t xml:space="preserve"> important to </w:t>
      </w:r>
      <w:r w:rsidR="00AA2B89" w:rsidRPr="00954F16">
        <w:rPr>
          <w:rFonts w:cstheme="minorHAnsi"/>
          <w:i/>
          <w:sz w:val="24"/>
          <w:szCs w:val="24"/>
        </w:rPr>
        <w:t xml:space="preserve">refer </w:t>
      </w:r>
      <w:r w:rsidR="00AF54E9" w:rsidRPr="00954F16">
        <w:rPr>
          <w:rFonts w:cstheme="minorHAnsi"/>
          <w:i/>
          <w:sz w:val="24"/>
          <w:szCs w:val="24"/>
        </w:rPr>
        <w:t xml:space="preserve">clearly </w:t>
      </w:r>
      <w:r w:rsidR="00AA2B89" w:rsidRPr="00954F16">
        <w:rPr>
          <w:rFonts w:cstheme="minorHAnsi"/>
          <w:i/>
          <w:sz w:val="24"/>
          <w:szCs w:val="24"/>
        </w:rPr>
        <w:t>to these</w:t>
      </w:r>
      <w:r w:rsidRPr="00954F16">
        <w:rPr>
          <w:rFonts w:cstheme="minorHAnsi"/>
          <w:i/>
          <w:sz w:val="24"/>
          <w:szCs w:val="24"/>
        </w:rPr>
        <w:t xml:space="preserve"> assumptions when providing a judgment on the extent to which the existing regulation is working.</w:t>
      </w:r>
    </w:p>
    <w:p w:rsidR="004D1F78" w:rsidRPr="00954F16" w:rsidRDefault="004D1F78" w:rsidP="00EA39B8">
      <w:pPr>
        <w:spacing w:after="0"/>
        <w:ind w:left="720"/>
        <w:rPr>
          <w:rFonts w:cstheme="minorHAnsi"/>
          <w:i/>
          <w:sz w:val="24"/>
          <w:szCs w:val="24"/>
        </w:rPr>
      </w:pPr>
    </w:p>
    <w:p w:rsidR="00BB63DD" w:rsidRPr="00954F16" w:rsidRDefault="00C672B9" w:rsidP="004F2AB6">
      <w:pPr>
        <w:spacing w:after="0"/>
        <w:ind w:left="720"/>
        <w:rPr>
          <w:i/>
          <w:sz w:val="24"/>
          <w:szCs w:val="24"/>
        </w:rPr>
      </w:pPr>
      <w:r w:rsidRPr="00954F16">
        <w:rPr>
          <w:rFonts w:cstheme="minorHAnsi"/>
          <w:i/>
          <w:sz w:val="24"/>
          <w:szCs w:val="24"/>
        </w:rPr>
        <w:t xml:space="preserve">The PIR should discuss </w:t>
      </w:r>
      <w:r w:rsidR="006424D3" w:rsidRPr="00954F16">
        <w:rPr>
          <w:rFonts w:cstheme="minorHAnsi"/>
          <w:i/>
          <w:sz w:val="24"/>
          <w:szCs w:val="24"/>
        </w:rPr>
        <w:t>how</w:t>
      </w:r>
      <w:r w:rsidRPr="00954F16">
        <w:rPr>
          <w:rFonts w:cstheme="minorHAnsi"/>
          <w:i/>
          <w:sz w:val="24"/>
          <w:szCs w:val="24"/>
        </w:rPr>
        <w:t xml:space="preserve"> the assumptions made in the original IA compare to what actually happened. </w:t>
      </w:r>
      <w:r w:rsidR="00967FD2" w:rsidRPr="00954F16">
        <w:rPr>
          <w:rFonts w:cstheme="minorHAnsi"/>
          <w:i/>
          <w:sz w:val="24"/>
          <w:szCs w:val="24"/>
        </w:rPr>
        <w:t>D</w:t>
      </w:r>
      <w:r w:rsidR="00A2256F" w:rsidRPr="00954F16">
        <w:rPr>
          <w:rFonts w:cstheme="minorHAnsi"/>
          <w:i/>
          <w:sz w:val="24"/>
          <w:szCs w:val="24"/>
        </w:rPr>
        <w:t xml:space="preserve">epartments should indicate </w:t>
      </w:r>
      <w:r w:rsidR="00AF54E9" w:rsidRPr="00954F16">
        <w:rPr>
          <w:rFonts w:cstheme="minorHAnsi"/>
          <w:i/>
          <w:sz w:val="24"/>
          <w:szCs w:val="24"/>
        </w:rPr>
        <w:t xml:space="preserve">clearly </w:t>
      </w:r>
      <w:r w:rsidR="00A2256F" w:rsidRPr="00954F16">
        <w:rPr>
          <w:rFonts w:cstheme="minorHAnsi"/>
          <w:i/>
          <w:sz w:val="24"/>
          <w:szCs w:val="24"/>
        </w:rPr>
        <w:t>where assumptions made in the IA have been used or changed in the PIR</w:t>
      </w:r>
      <w:r w:rsidR="00C6515F" w:rsidRPr="00954F16">
        <w:rPr>
          <w:rFonts w:cstheme="minorHAnsi"/>
          <w:i/>
          <w:sz w:val="24"/>
          <w:szCs w:val="24"/>
        </w:rPr>
        <w:t>,</w:t>
      </w:r>
      <w:r w:rsidR="00A2256F" w:rsidRPr="00954F16">
        <w:rPr>
          <w:rFonts w:cstheme="minorHAnsi"/>
          <w:i/>
          <w:sz w:val="24"/>
          <w:szCs w:val="24"/>
        </w:rPr>
        <w:t xml:space="preserve"> and why. The </w:t>
      </w:r>
      <w:r w:rsidR="00941753" w:rsidRPr="00954F16">
        <w:rPr>
          <w:rFonts w:cstheme="minorHAnsi"/>
          <w:i/>
          <w:sz w:val="24"/>
          <w:szCs w:val="24"/>
        </w:rPr>
        <w:t>level of</w:t>
      </w:r>
      <w:r w:rsidR="00A2256F" w:rsidRPr="00954F16">
        <w:rPr>
          <w:rFonts w:cstheme="minorHAnsi"/>
          <w:i/>
          <w:sz w:val="24"/>
          <w:szCs w:val="24"/>
        </w:rPr>
        <w:t xml:space="preserve"> evidence</w:t>
      </w:r>
      <w:r w:rsidR="007146CD" w:rsidRPr="00954F16">
        <w:rPr>
          <w:rFonts w:cstheme="minorHAnsi"/>
          <w:i/>
          <w:sz w:val="24"/>
          <w:szCs w:val="24"/>
        </w:rPr>
        <w:t xml:space="preserve"> that is proportionate</w:t>
      </w:r>
      <w:r w:rsidR="00A2256F" w:rsidRPr="00954F16">
        <w:rPr>
          <w:rFonts w:cstheme="minorHAnsi"/>
          <w:i/>
          <w:sz w:val="24"/>
          <w:szCs w:val="24"/>
        </w:rPr>
        <w:t xml:space="preserve"> will depend on the size and nature of the policy proposal and the importance of the assumption.</w:t>
      </w:r>
      <w:r w:rsidR="007B0286" w:rsidRPr="00954F16">
        <w:rPr>
          <w:rFonts w:cstheme="minorHAnsi"/>
          <w:i/>
          <w:sz w:val="24"/>
          <w:szCs w:val="24"/>
        </w:rPr>
        <w:t xml:space="preserve"> </w:t>
      </w:r>
      <w:r w:rsidR="007B0286" w:rsidRPr="00954F16">
        <w:rPr>
          <w:i/>
          <w:sz w:val="24"/>
          <w:szCs w:val="24"/>
        </w:rPr>
        <w:t>Departments should also discuss whether the IA’s assessment of risk and uncertainty was robust and how any limitations of the analysis in the PIR (and likely causes of such limitations) impact on the conclusions reached.</w:t>
      </w:r>
      <w:r w:rsidR="00A13F33" w:rsidRPr="00954F16">
        <w:rPr>
          <w:i/>
          <w:sz w:val="24"/>
          <w:szCs w:val="24"/>
        </w:rPr>
        <w:t xml:space="preserve"> The case below provides a</w:t>
      </w:r>
      <w:r w:rsidR="007146CD" w:rsidRPr="00954F16">
        <w:rPr>
          <w:i/>
          <w:sz w:val="24"/>
          <w:szCs w:val="24"/>
        </w:rPr>
        <w:t xml:space="preserve"> good example of </w:t>
      </w:r>
      <w:r w:rsidR="004F2AB6" w:rsidRPr="00954F16">
        <w:rPr>
          <w:i/>
          <w:sz w:val="24"/>
          <w:szCs w:val="24"/>
        </w:rPr>
        <w:t xml:space="preserve">where the actual impacts were assessed </w:t>
      </w:r>
      <w:r w:rsidR="006424D3" w:rsidRPr="00954F16">
        <w:rPr>
          <w:i/>
          <w:sz w:val="24"/>
          <w:szCs w:val="24"/>
        </w:rPr>
        <w:t xml:space="preserve">clearly </w:t>
      </w:r>
      <w:r w:rsidR="004F2AB6" w:rsidRPr="00954F16">
        <w:rPr>
          <w:i/>
          <w:sz w:val="24"/>
          <w:szCs w:val="24"/>
        </w:rPr>
        <w:t>against those expected in the original IA.</w:t>
      </w:r>
    </w:p>
    <w:p w:rsidR="00A13F33" w:rsidRDefault="00A13F33" w:rsidP="00C672B9">
      <w:pPr>
        <w:spacing w:after="0"/>
        <w:ind w:left="720"/>
        <w:rPr>
          <w:rFonts w:cstheme="minorHAnsi"/>
          <w:i/>
        </w:rPr>
      </w:pPr>
    </w:p>
    <w:p w:rsidR="00A13F33" w:rsidRPr="00954F16" w:rsidRDefault="00A13F33" w:rsidP="00A13F33">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sz w:val="24"/>
          <w:szCs w:val="24"/>
        </w:rPr>
      </w:pPr>
      <w:r>
        <w:rPr>
          <w:rFonts w:cstheme="minorHAnsi"/>
          <w:b/>
          <w:sz w:val="24"/>
          <w:szCs w:val="24"/>
        </w:rPr>
        <w:t>Post Implementation Review of the UK’s transposition of the EU Oil Stocking Directive 2009 (Green) (RPC-DECC-3131(1)</w:t>
      </w:r>
      <w:r w:rsidRPr="00D33138">
        <w:rPr>
          <w:rFonts w:cstheme="minorHAnsi"/>
          <w:b/>
          <w:sz w:val="24"/>
          <w:szCs w:val="24"/>
        </w:rPr>
        <w:t>):</w:t>
      </w:r>
      <w:r w:rsidRPr="00D33138">
        <w:rPr>
          <w:rFonts w:cstheme="minorHAnsi"/>
          <w:sz w:val="24"/>
          <w:szCs w:val="24"/>
        </w:rPr>
        <w:t xml:space="preserve"> </w:t>
      </w:r>
      <w:r w:rsidRPr="00954F16">
        <w:rPr>
          <w:rFonts w:cstheme="minorHAnsi"/>
          <w:sz w:val="24"/>
          <w:szCs w:val="24"/>
        </w:rPr>
        <w:t xml:space="preserve">The purpose of the PIR was to consider the impact on business of the additional oil stocking obligations introduced by the 2009 Directive. </w:t>
      </w:r>
    </w:p>
    <w:p w:rsidR="00A13F33" w:rsidRPr="00954F16" w:rsidRDefault="00A13F33" w:rsidP="00A13F33">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sz w:val="24"/>
          <w:szCs w:val="24"/>
        </w:rPr>
      </w:pPr>
    </w:p>
    <w:p w:rsidR="00A13F33" w:rsidRPr="00954F16" w:rsidRDefault="00A13F33" w:rsidP="00A13F33">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sz w:val="24"/>
          <w:szCs w:val="24"/>
        </w:rPr>
      </w:pPr>
      <w:r w:rsidRPr="00954F16">
        <w:rPr>
          <w:rFonts w:cstheme="minorHAnsi"/>
          <w:sz w:val="24"/>
          <w:szCs w:val="24"/>
        </w:rPr>
        <w:t xml:space="preserve">The RPC concluded that the evidence base used in the PIR was sufficiently robust to support the Department’s preferred option of renewing the regulations. The Department provided a proportionate assessment, which considered the effect of alternative approaches taken by other Member States in transposing the Directive, as well using data already gathered by the Department to compare the actual impact on business of the UK’s chosen approach with the projected impact in the IA. </w:t>
      </w:r>
    </w:p>
    <w:p w:rsidR="00A13F33" w:rsidRPr="00954F16" w:rsidRDefault="00A13F33" w:rsidP="00A13F33">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sz w:val="24"/>
          <w:szCs w:val="24"/>
        </w:rPr>
      </w:pPr>
    </w:p>
    <w:p w:rsidR="00A13F33" w:rsidRPr="00954F16" w:rsidRDefault="00A13F33" w:rsidP="00A13F33">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sz w:val="24"/>
          <w:szCs w:val="24"/>
        </w:rPr>
      </w:pPr>
      <w:r w:rsidRPr="00954F16">
        <w:rPr>
          <w:rFonts w:cstheme="minorHAnsi"/>
          <w:sz w:val="24"/>
          <w:szCs w:val="24"/>
        </w:rPr>
        <w:t>The significance of, and reasons for non-compliance</w:t>
      </w:r>
      <w:r w:rsidR="00B83B20" w:rsidRPr="00954F16">
        <w:rPr>
          <w:rFonts w:cstheme="minorHAnsi"/>
          <w:sz w:val="24"/>
          <w:szCs w:val="24"/>
        </w:rPr>
        <w:t xml:space="preserve"> with the Directive</w:t>
      </w:r>
      <w:r w:rsidRPr="00954F16">
        <w:rPr>
          <w:rFonts w:cstheme="minorHAnsi"/>
          <w:sz w:val="24"/>
          <w:szCs w:val="24"/>
        </w:rPr>
        <w:t>, as well as the supplementary policy options the Department were considering to return to compliance, should have been more clearly and extensively discussed in the PIR.</w:t>
      </w:r>
    </w:p>
    <w:p w:rsidR="00715D77" w:rsidRPr="00954F16" w:rsidRDefault="00715D77" w:rsidP="00A13F33">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sz w:val="24"/>
          <w:szCs w:val="24"/>
        </w:rPr>
      </w:pPr>
    </w:p>
    <w:p w:rsidR="00715D77" w:rsidRPr="00954F16" w:rsidRDefault="008D6BBF" w:rsidP="00A13F33">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autoSpaceDE w:val="0"/>
        <w:autoSpaceDN w:val="0"/>
        <w:adjustRightInd w:val="0"/>
        <w:spacing w:after="0"/>
        <w:rPr>
          <w:rFonts w:cstheme="minorHAnsi"/>
          <w:sz w:val="24"/>
          <w:szCs w:val="24"/>
        </w:rPr>
      </w:pPr>
      <w:r w:rsidRPr="00954F16">
        <w:rPr>
          <w:rFonts w:cstheme="minorHAnsi"/>
          <w:sz w:val="24"/>
          <w:szCs w:val="24"/>
        </w:rPr>
        <w:t xml:space="preserve">This case provides an example of where the assumptions in the IA </w:t>
      </w:r>
      <w:r w:rsidR="00B85811" w:rsidRPr="00954F16">
        <w:rPr>
          <w:rFonts w:cstheme="minorHAnsi"/>
          <w:sz w:val="24"/>
          <w:szCs w:val="24"/>
        </w:rPr>
        <w:t>turned out to be ‘wide of the mark’</w:t>
      </w:r>
      <w:r w:rsidRPr="00954F16">
        <w:rPr>
          <w:rFonts w:cstheme="minorHAnsi"/>
          <w:sz w:val="24"/>
          <w:szCs w:val="24"/>
        </w:rPr>
        <w:t xml:space="preserve"> because of a large unexpected </w:t>
      </w:r>
      <w:r w:rsidR="001E70B3" w:rsidRPr="00954F16">
        <w:rPr>
          <w:rFonts w:cstheme="minorHAnsi"/>
          <w:sz w:val="24"/>
          <w:szCs w:val="24"/>
        </w:rPr>
        <w:t>movement</w:t>
      </w:r>
      <w:r w:rsidRPr="00954F16">
        <w:rPr>
          <w:rFonts w:cstheme="minorHAnsi"/>
          <w:sz w:val="24"/>
          <w:szCs w:val="24"/>
        </w:rPr>
        <w:t xml:space="preserve"> in market prices, in this case for oil.</w:t>
      </w:r>
    </w:p>
    <w:p w:rsidR="00A13F33" w:rsidRPr="00C672B9" w:rsidRDefault="00A13F33" w:rsidP="00C672B9">
      <w:pPr>
        <w:spacing w:after="0"/>
        <w:ind w:left="720"/>
        <w:rPr>
          <w:rFonts w:cstheme="minorHAnsi"/>
          <w:i/>
        </w:rPr>
      </w:pPr>
    </w:p>
    <w:p w:rsidR="00134DA8" w:rsidRPr="00F558DE" w:rsidRDefault="00134DA8" w:rsidP="00134DA8">
      <w:pPr>
        <w:spacing w:after="0"/>
        <w:rPr>
          <w:rFonts w:ascii="Calibri" w:hAnsi="Calibri" w:cs="Arial"/>
          <w:b/>
          <w:i/>
          <w:color w:val="000000"/>
        </w:rPr>
      </w:pPr>
    </w:p>
    <w:p w:rsidR="00B604EF" w:rsidRPr="00954F16" w:rsidRDefault="005E51AC" w:rsidP="00B604EF">
      <w:pPr>
        <w:pStyle w:val="ListParagraph"/>
        <w:numPr>
          <w:ilvl w:val="1"/>
          <w:numId w:val="5"/>
        </w:numPr>
        <w:rPr>
          <w:rFonts w:ascii="Calibri" w:hAnsi="Calibri" w:cs="Arial"/>
          <w:color w:val="000000"/>
        </w:rPr>
      </w:pPr>
      <w:r w:rsidRPr="00954F16">
        <w:rPr>
          <w:rFonts w:ascii="Calibri" w:hAnsi="Calibri" w:cs="Arial"/>
          <w:b/>
          <w:color w:val="000000"/>
        </w:rPr>
        <w:t>Has there been a disproportionate impact on small and micro businesses?</w:t>
      </w:r>
    </w:p>
    <w:p w:rsidR="006E12E4" w:rsidRPr="00954F16" w:rsidRDefault="006E12E4" w:rsidP="006E12E4">
      <w:pPr>
        <w:spacing w:after="0"/>
        <w:ind w:left="720"/>
        <w:rPr>
          <w:rFonts w:ascii="Calibri" w:hAnsi="Calibri" w:cs="Arial"/>
          <w:i/>
          <w:color w:val="000000"/>
          <w:sz w:val="24"/>
          <w:szCs w:val="24"/>
        </w:rPr>
      </w:pPr>
    </w:p>
    <w:p w:rsidR="00EA2CFC" w:rsidRPr="00954F16" w:rsidRDefault="00442BDB" w:rsidP="00442BDB">
      <w:pPr>
        <w:spacing w:after="0"/>
        <w:ind w:left="720"/>
        <w:rPr>
          <w:rFonts w:ascii="Calibri" w:hAnsi="Calibri" w:cs="Arial"/>
          <w:i/>
          <w:color w:val="000000"/>
          <w:sz w:val="24"/>
          <w:szCs w:val="24"/>
        </w:rPr>
      </w:pPr>
      <w:r w:rsidRPr="00954F16">
        <w:rPr>
          <w:rFonts w:ascii="Calibri" w:hAnsi="Calibri" w:cs="Arial"/>
          <w:i/>
          <w:color w:val="000000"/>
          <w:sz w:val="24"/>
          <w:szCs w:val="24"/>
        </w:rPr>
        <w:t>An effective regulatory regime will provide mitigations or exemptions for small and micro businesses where it is proportionate to do so. When ass</w:t>
      </w:r>
      <w:r w:rsidR="00967FD2" w:rsidRPr="00954F16">
        <w:rPr>
          <w:rFonts w:ascii="Calibri" w:hAnsi="Calibri" w:cs="Arial"/>
          <w:i/>
          <w:color w:val="000000"/>
          <w:sz w:val="24"/>
          <w:szCs w:val="24"/>
        </w:rPr>
        <w:t>essing the current regulation, d</w:t>
      </w:r>
      <w:r w:rsidR="0045381D" w:rsidRPr="00954F16">
        <w:rPr>
          <w:rFonts w:ascii="Calibri" w:hAnsi="Calibri" w:cs="Arial"/>
          <w:i/>
          <w:color w:val="000000"/>
          <w:sz w:val="24"/>
          <w:szCs w:val="24"/>
        </w:rPr>
        <w:t>epartment</w:t>
      </w:r>
      <w:r w:rsidR="00333130" w:rsidRPr="00954F16">
        <w:rPr>
          <w:rFonts w:ascii="Calibri" w:hAnsi="Calibri" w:cs="Arial"/>
          <w:i/>
          <w:color w:val="000000"/>
          <w:sz w:val="24"/>
          <w:szCs w:val="24"/>
        </w:rPr>
        <w:t>s</w:t>
      </w:r>
      <w:r w:rsidR="0045381D" w:rsidRPr="00954F16">
        <w:rPr>
          <w:rFonts w:ascii="Calibri" w:hAnsi="Calibri" w:cs="Arial"/>
          <w:i/>
          <w:color w:val="000000"/>
          <w:sz w:val="24"/>
          <w:szCs w:val="24"/>
        </w:rPr>
        <w:t xml:space="preserve"> should</w:t>
      </w:r>
      <w:r w:rsidRPr="00954F16">
        <w:rPr>
          <w:rFonts w:ascii="Calibri" w:hAnsi="Calibri" w:cs="Arial"/>
          <w:i/>
          <w:color w:val="000000"/>
          <w:sz w:val="24"/>
          <w:szCs w:val="24"/>
        </w:rPr>
        <w:t>, therefore,</w:t>
      </w:r>
      <w:r w:rsidR="00333130" w:rsidRPr="00954F16">
        <w:rPr>
          <w:rFonts w:ascii="Calibri" w:hAnsi="Calibri" w:cs="Arial"/>
          <w:i/>
          <w:color w:val="000000"/>
          <w:sz w:val="24"/>
          <w:szCs w:val="24"/>
        </w:rPr>
        <w:t xml:space="preserve"> </w:t>
      </w:r>
      <w:r w:rsidR="0045381D" w:rsidRPr="00954F16">
        <w:rPr>
          <w:rFonts w:ascii="Calibri" w:hAnsi="Calibri" w:cs="Arial"/>
          <w:i/>
          <w:color w:val="000000"/>
          <w:sz w:val="24"/>
          <w:szCs w:val="24"/>
        </w:rPr>
        <w:t xml:space="preserve">consider </w:t>
      </w:r>
      <w:r w:rsidR="00AF54E9" w:rsidRPr="00954F16">
        <w:rPr>
          <w:rFonts w:ascii="Calibri" w:hAnsi="Calibri" w:cs="Arial"/>
          <w:i/>
          <w:color w:val="000000"/>
          <w:sz w:val="24"/>
          <w:szCs w:val="24"/>
        </w:rPr>
        <w:t xml:space="preserve">explicitly </w:t>
      </w:r>
      <w:r w:rsidR="0045381D" w:rsidRPr="00954F16">
        <w:rPr>
          <w:rFonts w:ascii="Calibri" w:hAnsi="Calibri" w:cs="Arial"/>
          <w:i/>
          <w:color w:val="000000"/>
          <w:sz w:val="24"/>
          <w:szCs w:val="24"/>
        </w:rPr>
        <w:t xml:space="preserve">how small and micro </w:t>
      </w:r>
      <w:r w:rsidR="0045381D" w:rsidRPr="00954F16">
        <w:rPr>
          <w:rFonts w:ascii="Calibri" w:hAnsi="Calibri" w:cs="Arial"/>
          <w:i/>
          <w:color w:val="000000"/>
          <w:sz w:val="24"/>
          <w:szCs w:val="24"/>
        </w:rPr>
        <w:lastRenderedPageBreak/>
        <w:t>businesses have been affected by the policy and how th</w:t>
      </w:r>
      <w:r w:rsidR="00B83B20" w:rsidRPr="00954F16">
        <w:rPr>
          <w:rFonts w:ascii="Calibri" w:hAnsi="Calibri" w:cs="Arial"/>
          <w:i/>
          <w:color w:val="000000"/>
          <w:sz w:val="24"/>
          <w:szCs w:val="24"/>
        </w:rPr>
        <w:t>is</w:t>
      </w:r>
      <w:r w:rsidR="0045381D" w:rsidRPr="00954F16">
        <w:rPr>
          <w:rFonts w:ascii="Calibri" w:hAnsi="Calibri" w:cs="Arial"/>
          <w:i/>
          <w:color w:val="000000"/>
          <w:sz w:val="24"/>
          <w:szCs w:val="24"/>
        </w:rPr>
        <w:t xml:space="preserve"> compare</w:t>
      </w:r>
      <w:r w:rsidR="00B83B20" w:rsidRPr="00954F16">
        <w:rPr>
          <w:rFonts w:ascii="Calibri" w:hAnsi="Calibri" w:cs="Arial"/>
          <w:i/>
          <w:color w:val="000000"/>
          <w:sz w:val="24"/>
          <w:szCs w:val="24"/>
        </w:rPr>
        <w:t>s</w:t>
      </w:r>
      <w:r w:rsidR="0045381D" w:rsidRPr="00954F16">
        <w:rPr>
          <w:rFonts w:ascii="Calibri" w:hAnsi="Calibri" w:cs="Arial"/>
          <w:i/>
          <w:color w:val="000000"/>
          <w:sz w:val="24"/>
          <w:szCs w:val="24"/>
        </w:rPr>
        <w:t xml:space="preserve"> with </w:t>
      </w:r>
      <w:r w:rsidRPr="00954F16">
        <w:rPr>
          <w:rFonts w:ascii="Calibri" w:hAnsi="Calibri" w:cs="Arial"/>
          <w:i/>
          <w:color w:val="000000"/>
          <w:sz w:val="24"/>
          <w:szCs w:val="24"/>
        </w:rPr>
        <w:t>the impacts estimated in the IA.</w:t>
      </w:r>
      <w:r w:rsidR="004416AE" w:rsidRPr="00954F16">
        <w:rPr>
          <w:rFonts w:ascii="Calibri" w:hAnsi="Calibri" w:cs="Arial"/>
          <w:i/>
          <w:color w:val="000000"/>
          <w:sz w:val="24"/>
          <w:szCs w:val="24"/>
        </w:rPr>
        <w:t xml:space="preserve"> Department</w:t>
      </w:r>
      <w:r w:rsidR="00C86140" w:rsidRPr="00954F16">
        <w:rPr>
          <w:rFonts w:ascii="Calibri" w:hAnsi="Calibri" w:cs="Arial"/>
          <w:i/>
          <w:color w:val="000000"/>
          <w:sz w:val="24"/>
          <w:szCs w:val="24"/>
        </w:rPr>
        <w:t>s</w:t>
      </w:r>
      <w:r w:rsidR="004416AE" w:rsidRPr="00954F16">
        <w:rPr>
          <w:rFonts w:ascii="Calibri" w:hAnsi="Calibri" w:cs="Arial"/>
          <w:i/>
          <w:color w:val="000000"/>
          <w:sz w:val="24"/>
          <w:szCs w:val="24"/>
        </w:rPr>
        <w:t xml:space="preserve"> should also consider whet</w:t>
      </w:r>
      <w:r w:rsidR="00326FB4">
        <w:rPr>
          <w:rFonts w:ascii="Calibri" w:hAnsi="Calibri" w:cs="Arial"/>
          <w:i/>
          <w:color w:val="000000"/>
          <w:sz w:val="24"/>
          <w:szCs w:val="24"/>
        </w:rPr>
        <w:t>her mitigations or exemptions w</w:t>
      </w:r>
      <w:r w:rsidR="004416AE" w:rsidRPr="00954F16">
        <w:rPr>
          <w:rFonts w:ascii="Calibri" w:hAnsi="Calibri" w:cs="Arial"/>
          <w:i/>
          <w:color w:val="000000"/>
          <w:sz w:val="24"/>
          <w:szCs w:val="24"/>
        </w:rPr>
        <w:t>ere applied and whether th</w:t>
      </w:r>
      <w:r w:rsidR="00B83B20" w:rsidRPr="00954F16">
        <w:rPr>
          <w:rFonts w:ascii="Calibri" w:hAnsi="Calibri" w:cs="Arial"/>
          <w:i/>
          <w:color w:val="000000"/>
          <w:sz w:val="24"/>
          <w:szCs w:val="24"/>
        </w:rPr>
        <w:t>is</w:t>
      </w:r>
      <w:r w:rsidR="004416AE" w:rsidRPr="00954F16">
        <w:rPr>
          <w:rFonts w:ascii="Calibri" w:hAnsi="Calibri" w:cs="Arial"/>
          <w:i/>
          <w:color w:val="000000"/>
          <w:sz w:val="24"/>
          <w:szCs w:val="24"/>
        </w:rPr>
        <w:t xml:space="preserve"> gave rise to any market distortions.</w:t>
      </w:r>
    </w:p>
    <w:p w:rsidR="00DD3545" w:rsidRPr="0045381D" w:rsidRDefault="00DD3545" w:rsidP="00442BDB">
      <w:pPr>
        <w:spacing w:after="0"/>
        <w:ind w:left="720"/>
        <w:rPr>
          <w:rFonts w:ascii="Calibri" w:hAnsi="Calibri" w:cs="Arial"/>
          <w:i/>
          <w:color w:val="000000"/>
        </w:rPr>
      </w:pPr>
    </w:p>
    <w:p w:rsidR="006F5C71" w:rsidRPr="001D6E3C" w:rsidRDefault="006F5C71" w:rsidP="00646689">
      <w:pPr>
        <w:pStyle w:val="ListParagraph"/>
        <w:rPr>
          <w:rFonts w:ascii="Calibri" w:hAnsi="Calibri" w:cs="Arial"/>
          <w:color w:val="000000"/>
          <w:u w:val="single"/>
        </w:rPr>
      </w:pPr>
    </w:p>
    <w:p w:rsidR="00F558DE" w:rsidRPr="00F558DE" w:rsidRDefault="00F558DE" w:rsidP="00F558DE">
      <w:pPr>
        <w:pStyle w:val="ListParagraph"/>
        <w:numPr>
          <w:ilvl w:val="0"/>
          <w:numId w:val="5"/>
        </w:numPr>
        <w:rPr>
          <w:rFonts w:asciiTheme="minorHAnsi" w:hAnsiTheme="minorHAnsi" w:cstheme="minorHAnsi"/>
          <w:b/>
          <w:color w:val="984806" w:themeColor="accent6" w:themeShade="80"/>
          <w:sz w:val="28"/>
          <w:szCs w:val="28"/>
        </w:rPr>
      </w:pPr>
      <w:r w:rsidRPr="00F558DE">
        <w:rPr>
          <w:rFonts w:asciiTheme="minorHAnsi" w:hAnsiTheme="minorHAnsi" w:cstheme="minorHAnsi"/>
          <w:b/>
          <w:color w:val="984806" w:themeColor="accent6" w:themeShade="80"/>
          <w:sz w:val="28"/>
          <w:szCs w:val="28"/>
        </w:rPr>
        <w:t>Is government intervention still required?</w:t>
      </w:r>
    </w:p>
    <w:p w:rsidR="0004656B" w:rsidRDefault="0004656B" w:rsidP="0004656B">
      <w:pPr>
        <w:pStyle w:val="ListParagraph"/>
        <w:rPr>
          <w:rFonts w:ascii="Calibri" w:hAnsi="Calibri" w:cs="Arial"/>
          <w:b/>
          <w:color w:val="000000"/>
        </w:rPr>
      </w:pPr>
    </w:p>
    <w:p w:rsidR="00EC06DB" w:rsidRPr="00954F16" w:rsidRDefault="00AF181D" w:rsidP="00A2256F">
      <w:pPr>
        <w:pStyle w:val="ListParagraph"/>
        <w:numPr>
          <w:ilvl w:val="1"/>
          <w:numId w:val="5"/>
        </w:numPr>
        <w:rPr>
          <w:rFonts w:ascii="Calibri" w:hAnsi="Calibri" w:cs="Arial"/>
          <w:b/>
          <w:color w:val="000000"/>
        </w:rPr>
      </w:pPr>
      <w:r w:rsidRPr="00954F16">
        <w:rPr>
          <w:rFonts w:ascii="Calibri" w:hAnsi="Calibri" w:cs="Arial"/>
          <w:b/>
          <w:color w:val="000000"/>
        </w:rPr>
        <w:t>Are the objectives of the regulation still relevant?</w:t>
      </w:r>
      <w:r w:rsidR="00A2256F" w:rsidRPr="00954F16">
        <w:rPr>
          <w:rFonts w:ascii="Calibri" w:hAnsi="Calibri" w:cs="Arial"/>
          <w:b/>
          <w:color w:val="000000"/>
        </w:rPr>
        <w:t xml:space="preserve"> </w:t>
      </w:r>
      <w:r w:rsidR="00EC06DB" w:rsidRPr="00954F16">
        <w:rPr>
          <w:rFonts w:ascii="Calibri" w:hAnsi="Calibri" w:cs="Arial"/>
          <w:b/>
          <w:color w:val="000000"/>
        </w:rPr>
        <w:t>What would happen if the regulation was removed?</w:t>
      </w:r>
    </w:p>
    <w:p w:rsidR="006E12E4" w:rsidRPr="00954F16" w:rsidRDefault="006E12E4" w:rsidP="006E12E4">
      <w:pPr>
        <w:pStyle w:val="ListParagraph"/>
        <w:ind w:left="1080"/>
        <w:rPr>
          <w:rFonts w:ascii="Calibri" w:hAnsi="Calibri" w:cs="Arial"/>
          <w:color w:val="000000"/>
        </w:rPr>
      </w:pPr>
    </w:p>
    <w:p w:rsidR="0006169E" w:rsidRPr="00954F16" w:rsidRDefault="00671896" w:rsidP="00671896">
      <w:pPr>
        <w:ind w:left="720"/>
        <w:rPr>
          <w:rFonts w:ascii="Calibri" w:hAnsi="Calibri" w:cs="Arial"/>
          <w:i/>
          <w:color w:val="000000"/>
          <w:sz w:val="24"/>
          <w:szCs w:val="24"/>
        </w:rPr>
      </w:pPr>
      <w:r w:rsidRPr="00954F16">
        <w:rPr>
          <w:rFonts w:ascii="Calibri" w:hAnsi="Calibri" w:cs="Arial"/>
          <w:i/>
          <w:color w:val="000000"/>
          <w:sz w:val="24"/>
          <w:szCs w:val="24"/>
        </w:rPr>
        <w:t xml:space="preserve">If the objectives of the regulation are no longer relevant, or if it would be beneficial to remove the regulation, government intervention may no longer be required. </w:t>
      </w:r>
      <w:r w:rsidR="00616589" w:rsidRPr="00954F16">
        <w:rPr>
          <w:rFonts w:ascii="Calibri" w:hAnsi="Calibri" w:cs="Arial"/>
          <w:i/>
          <w:color w:val="000000"/>
          <w:sz w:val="24"/>
          <w:szCs w:val="24"/>
        </w:rPr>
        <w:t>Department</w:t>
      </w:r>
      <w:r w:rsidR="00333130" w:rsidRPr="00954F16">
        <w:rPr>
          <w:rFonts w:ascii="Calibri" w:hAnsi="Calibri" w:cs="Arial"/>
          <w:i/>
          <w:color w:val="000000"/>
          <w:sz w:val="24"/>
          <w:szCs w:val="24"/>
        </w:rPr>
        <w:t>s</w:t>
      </w:r>
      <w:r w:rsidR="00AF181D" w:rsidRPr="00954F16">
        <w:rPr>
          <w:rFonts w:ascii="Calibri" w:hAnsi="Calibri" w:cs="Arial"/>
          <w:i/>
          <w:color w:val="000000"/>
          <w:sz w:val="24"/>
          <w:szCs w:val="24"/>
        </w:rPr>
        <w:t xml:space="preserve"> should provide evidence that the objective is still relevant by considering what would happen if the regulation w</w:t>
      </w:r>
      <w:r w:rsidR="00AF54E9" w:rsidRPr="00954F16">
        <w:rPr>
          <w:rFonts w:ascii="Calibri" w:hAnsi="Calibri" w:cs="Arial"/>
          <w:i/>
          <w:color w:val="000000"/>
          <w:sz w:val="24"/>
          <w:szCs w:val="24"/>
        </w:rPr>
        <w:t>ere to be</w:t>
      </w:r>
      <w:r w:rsidR="00AF181D" w:rsidRPr="00954F16">
        <w:rPr>
          <w:rFonts w:ascii="Calibri" w:hAnsi="Calibri" w:cs="Arial"/>
          <w:i/>
          <w:color w:val="000000"/>
          <w:sz w:val="24"/>
          <w:szCs w:val="24"/>
        </w:rPr>
        <w:t xml:space="preserve"> removed. </w:t>
      </w:r>
      <w:r w:rsidR="006E12E4" w:rsidRPr="00954F16">
        <w:rPr>
          <w:rFonts w:ascii="Calibri" w:hAnsi="Calibri" w:cs="Arial"/>
          <w:i/>
          <w:color w:val="000000"/>
          <w:sz w:val="24"/>
          <w:szCs w:val="24"/>
        </w:rPr>
        <w:t>Relevant factors to consider include</w:t>
      </w:r>
      <w:r w:rsidR="00AF181D" w:rsidRPr="00954F16">
        <w:rPr>
          <w:rFonts w:ascii="Calibri" w:hAnsi="Calibri" w:cs="Arial"/>
          <w:i/>
          <w:color w:val="000000"/>
          <w:sz w:val="24"/>
          <w:szCs w:val="24"/>
        </w:rPr>
        <w:t xml:space="preserve"> whether the problem has been solved</w:t>
      </w:r>
      <w:r w:rsidR="00AF54E9" w:rsidRPr="00954F16">
        <w:rPr>
          <w:rFonts w:ascii="Calibri" w:hAnsi="Calibri" w:cs="Arial"/>
          <w:i/>
          <w:color w:val="000000"/>
          <w:sz w:val="24"/>
          <w:szCs w:val="24"/>
        </w:rPr>
        <w:t>,</w:t>
      </w:r>
      <w:r w:rsidR="00AF181D" w:rsidRPr="00954F16">
        <w:rPr>
          <w:rFonts w:ascii="Calibri" w:hAnsi="Calibri" w:cs="Arial"/>
          <w:i/>
          <w:color w:val="000000"/>
          <w:sz w:val="24"/>
          <w:szCs w:val="24"/>
        </w:rPr>
        <w:t xml:space="preserve"> </w:t>
      </w:r>
      <w:r w:rsidR="00C86140" w:rsidRPr="00954F16">
        <w:rPr>
          <w:rFonts w:ascii="Calibri" w:hAnsi="Calibri" w:cs="Arial"/>
          <w:i/>
          <w:color w:val="000000"/>
          <w:sz w:val="24"/>
          <w:szCs w:val="24"/>
        </w:rPr>
        <w:t>perhaps because behaviour has changed as a result of</w:t>
      </w:r>
      <w:r w:rsidR="00AF181D" w:rsidRPr="00954F16">
        <w:rPr>
          <w:rFonts w:ascii="Calibri" w:hAnsi="Calibri" w:cs="Arial"/>
          <w:i/>
          <w:color w:val="000000"/>
          <w:sz w:val="24"/>
          <w:szCs w:val="24"/>
        </w:rPr>
        <w:t xml:space="preserve"> the policy, </w:t>
      </w:r>
      <w:r w:rsidR="00C86140" w:rsidRPr="00954F16">
        <w:rPr>
          <w:rFonts w:ascii="Calibri" w:hAnsi="Calibri" w:cs="Arial"/>
          <w:i/>
          <w:color w:val="000000"/>
          <w:sz w:val="24"/>
          <w:szCs w:val="24"/>
        </w:rPr>
        <w:t xml:space="preserve">or </w:t>
      </w:r>
      <w:r w:rsidR="00AF181D" w:rsidRPr="00954F16">
        <w:rPr>
          <w:rFonts w:ascii="Calibri" w:hAnsi="Calibri" w:cs="Arial"/>
          <w:i/>
          <w:color w:val="000000"/>
          <w:sz w:val="24"/>
          <w:szCs w:val="24"/>
        </w:rPr>
        <w:t>the market has c</w:t>
      </w:r>
      <w:r w:rsidR="00C86140" w:rsidRPr="00954F16">
        <w:rPr>
          <w:rFonts w:ascii="Calibri" w:hAnsi="Calibri" w:cs="Arial"/>
          <w:i/>
          <w:color w:val="000000"/>
          <w:sz w:val="24"/>
          <w:szCs w:val="24"/>
        </w:rPr>
        <w:t>hanged.</w:t>
      </w:r>
    </w:p>
    <w:p w:rsidR="00575F87" w:rsidRPr="00954F16" w:rsidRDefault="0006169E" w:rsidP="009D5445">
      <w:pPr>
        <w:pStyle w:val="ListParagraph"/>
        <w:numPr>
          <w:ilvl w:val="1"/>
          <w:numId w:val="5"/>
        </w:numPr>
        <w:rPr>
          <w:rFonts w:ascii="Calibri" w:hAnsi="Calibri" w:cs="Arial"/>
          <w:b/>
          <w:color w:val="000000"/>
        </w:rPr>
      </w:pPr>
      <w:r w:rsidRPr="00954F16">
        <w:rPr>
          <w:rFonts w:ascii="Calibri" w:hAnsi="Calibri" w:cs="Arial"/>
          <w:b/>
          <w:color w:val="000000"/>
        </w:rPr>
        <w:t xml:space="preserve">What </w:t>
      </w:r>
      <w:r w:rsidR="007441F7" w:rsidRPr="00954F16">
        <w:rPr>
          <w:rFonts w:ascii="Calibri" w:hAnsi="Calibri" w:cs="Arial"/>
          <w:b/>
          <w:color w:val="000000"/>
        </w:rPr>
        <w:t xml:space="preserve">is the baseline against which </w:t>
      </w:r>
      <w:r w:rsidR="00BD71F5" w:rsidRPr="00954F16">
        <w:rPr>
          <w:rFonts w:ascii="Calibri" w:hAnsi="Calibri" w:cs="Arial"/>
          <w:b/>
          <w:color w:val="000000"/>
        </w:rPr>
        <w:t xml:space="preserve">the impacts are being assessed? </w:t>
      </w:r>
    </w:p>
    <w:p w:rsidR="009D5445" w:rsidRPr="00954F16" w:rsidRDefault="009D5445" w:rsidP="009D5445">
      <w:pPr>
        <w:pStyle w:val="ListParagraph"/>
        <w:ind w:left="1080"/>
        <w:rPr>
          <w:rFonts w:ascii="Calibri" w:hAnsi="Calibri" w:cs="Arial"/>
          <w:color w:val="000000"/>
        </w:rPr>
      </w:pPr>
    </w:p>
    <w:p w:rsidR="009D5445" w:rsidRPr="00954F16" w:rsidRDefault="00A1539F" w:rsidP="00A1539F">
      <w:pPr>
        <w:ind w:left="720"/>
        <w:rPr>
          <w:i/>
          <w:sz w:val="24"/>
          <w:szCs w:val="24"/>
        </w:rPr>
      </w:pPr>
      <w:r w:rsidRPr="00954F16">
        <w:rPr>
          <w:i/>
          <w:sz w:val="24"/>
          <w:szCs w:val="24"/>
        </w:rPr>
        <w:t xml:space="preserve">When considering whether government intervention is still required, </w:t>
      </w:r>
      <w:r w:rsidR="00AF54E9" w:rsidRPr="00954F16">
        <w:rPr>
          <w:i/>
          <w:sz w:val="24"/>
          <w:szCs w:val="24"/>
        </w:rPr>
        <w:t>d</w:t>
      </w:r>
      <w:r w:rsidRPr="00954F16">
        <w:rPr>
          <w:i/>
          <w:sz w:val="24"/>
          <w:szCs w:val="24"/>
        </w:rPr>
        <w:t>epartments should make sure they compare the current regulatory regime to the appropriate baseline, i.e. the position before the policy began</w:t>
      </w:r>
      <w:r w:rsidR="00AF54E9" w:rsidRPr="00954F16">
        <w:rPr>
          <w:i/>
          <w:sz w:val="24"/>
          <w:szCs w:val="24"/>
        </w:rPr>
        <w:t>, taking account of any subsequent changes that are independent of the policy proposal</w:t>
      </w:r>
      <w:r w:rsidR="00824ED7" w:rsidRPr="00954F16">
        <w:rPr>
          <w:i/>
          <w:sz w:val="24"/>
          <w:szCs w:val="24"/>
        </w:rPr>
        <w:t>. Departments should also consider whether the baseline has changed relative to that used in the original IA, and how this affects future costs and benefits of the policy.</w:t>
      </w:r>
      <w:r w:rsidRPr="00954F16">
        <w:rPr>
          <w:i/>
          <w:sz w:val="24"/>
          <w:szCs w:val="24"/>
        </w:rPr>
        <w:t xml:space="preserve"> </w:t>
      </w:r>
    </w:p>
    <w:p w:rsidR="00DD3545" w:rsidRPr="00F558DE" w:rsidRDefault="00DD3545" w:rsidP="00A1539F">
      <w:pPr>
        <w:ind w:left="720"/>
        <w:rPr>
          <w:rFonts w:cstheme="minorHAnsi"/>
          <w:i/>
        </w:rPr>
      </w:pPr>
    </w:p>
    <w:p w:rsidR="00D9105A" w:rsidRDefault="00F558DE" w:rsidP="00F558DE">
      <w:pPr>
        <w:pStyle w:val="ListParagraph"/>
        <w:numPr>
          <w:ilvl w:val="0"/>
          <w:numId w:val="5"/>
        </w:numPr>
        <w:rPr>
          <w:rFonts w:asciiTheme="minorHAnsi" w:hAnsiTheme="minorHAnsi" w:cstheme="minorHAnsi"/>
          <w:b/>
          <w:color w:val="984806" w:themeColor="accent6" w:themeShade="80"/>
          <w:sz w:val="28"/>
          <w:szCs w:val="28"/>
        </w:rPr>
      </w:pPr>
      <w:r w:rsidRPr="00F558DE">
        <w:rPr>
          <w:rFonts w:asciiTheme="minorHAnsi" w:hAnsiTheme="minorHAnsi" w:cstheme="minorHAnsi"/>
          <w:b/>
          <w:color w:val="984806" w:themeColor="accent6" w:themeShade="80"/>
          <w:sz w:val="28"/>
          <w:szCs w:val="28"/>
        </w:rPr>
        <w:t>Is the existing form of regulation still the most appropriate approach?</w:t>
      </w:r>
    </w:p>
    <w:p w:rsidR="00F558DE" w:rsidRPr="00F558DE" w:rsidRDefault="00F558DE" w:rsidP="00F558DE">
      <w:pPr>
        <w:pStyle w:val="ListParagraph"/>
        <w:rPr>
          <w:rFonts w:asciiTheme="minorHAnsi" w:hAnsiTheme="minorHAnsi" w:cstheme="minorHAnsi"/>
          <w:b/>
          <w:color w:val="984806" w:themeColor="accent6" w:themeShade="80"/>
          <w:sz w:val="28"/>
          <w:szCs w:val="28"/>
        </w:rPr>
      </w:pPr>
    </w:p>
    <w:p w:rsidR="00634C61" w:rsidRPr="00954F16" w:rsidRDefault="0037162E" w:rsidP="0037162E">
      <w:pPr>
        <w:pStyle w:val="ListParagraph"/>
        <w:numPr>
          <w:ilvl w:val="1"/>
          <w:numId w:val="5"/>
        </w:numPr>
        <w:rPr>
          <w:rFonts w:ascii="Calibri" w:hAnsi="Calibri" w:cs="Arial"/>
          <w:b/>
          <w:color w:val="000000"/>
        </w:rPr>
      </w:pPr>
      <w:r w:rsidRPr="00954F16">
        <w:rPr>
          <w:rFonts w:ascii="Calibri" w:hAnsi="Calibri" w:cs="Arial"/>
          <w:b/>
          <w:color w:val="000000"/>
        </w:rPr>
        <w:t>What are the likely costs and benefits going forward?</w:t>
      </w:r>
      <w:r w:rsidR="005A4F9C" w:rsidRPr="00954F16">
        <w:rPr>
          <w:rFonts w:ascii="Calibri" w:hAnsi="Calibri" w:cs="Arial"/>
          <w:b/>
          <w:color w:val="000000"/>
        </w:rPr>
        <w:t xml:space="preserve"> How likely are unintended effects in the future?</w:t>
      </w:r>
    </w:p>
    <w:p w:rsidR="006E12E4" w:rsidRPr="00954F16" w:rsidRDefault="006E12E4" w:rsidP="006E12E4">
      <w:pPr>
        <w:pStyle w:val="ListParagraph"/>
        <w:ind w:left="1080"/>
        <w:rPr>
          <w:rFonts w:ascii="Calibri" w:hAnsi="Calibri" w:cs="Arial"/>
          <w:color w:val="000000"/>
        </w:rPr>
      </w:pPr>
    </w:p>
    <w:p w:rsidR="00134DA8" w:rsidRPr="00954F16" w:rsidRDefault="009660FD" w:rsidP="00580520">
      <w:pPr>
        <w:pStyle w:val="ListParagraph"/>
        <w:spacing w:line="276" w:lineRule="auto"/>
        <w:rPr>
          <w:rFonts w:ascii="Calibri" w:hAnsi="Calibri" w:cs="Arial"/>
          <w:i/>
          <w:color w:val="000000"/>
        </w:rPr>
      </w:pPr>
      <w:r w:rsidRPr="00954F16">
        <w:rPr>
          <w:rFonts w:asciiTheme="minorHAnsi" w:hAnsiTheme="minorHAnsi" w:cstheme="minorHAnsi"/>
          <w:i/>
        </w:rPr>
        <w:t xml:space="preserve">Having analysed the impact of the policy to date, the </w:t>
      </w:r>
      <w:r w:rsidR="00AF54E9" w:rsidRPr="00954F16">
        <w:rPr>
          <w:rFonts w:asciiTheme="minorHAnsi" w:hAnsiTheme="minorHAnsi" w:cstheme="minorHAnsi"/>
          <w:i/>
        </w:rPr>
        <w:t>d</w:t>
      </w:r>
      <w:r w:rsidRPr="00954F16">
        <w:rPr>
          <w:rFonts w:asciiTheme="minorHAnsi" w:hAnsiTheme="minorHAnsi" w:cstheme="minorHAnsi"/>
          <w:i/>
        </w:rPr>
        <w:t xml:space="preserve">epartment should consider the extent to which it expects the costs and benefits of the existing form of regulation to change in the future. This analysis will aid the </w:t>
      </w:r>
      <w:r w:rsidR="00AF54E9" w:rsidRPr="00954F16">
        <w:rPr>
          <w:rFonts w:asciiTheme="minorHAnsi" w:hAnsiTheme="minorHAnsi" w:cstheme="minorHAnsi"/>
          <w:i/>
        </w:rPr>
        <w:t>d</w:t>
      </w:r>
      <w:r w:rsidRPr="00954F16">
        <w:rPr>
          <w:rFonts w:asciiTheme="minorHAnsi" w:hAnsiTheme="minorHAnsi" w:cstheme="minorHAnsi"/>
          <w:i/>
        </w:rPr>
        <w:t xml:space="preserve">epartment in deciding whether </w:t>
      </w:r>
      <w:r w:rsidR="008E0642" w:rsidRPr="00954F16">
        <w:rPr>
          <w:rFonts w:asciiTheme="minorHAnsi" w:hAnsiTheme="minorHAnsi" w:cstheme="minorHAnsi"/>
          <w:i/>
        </w:rPr>
        <w:t>the existing form of regulation is still the most appropriate approach</w:t>
      </w:r>
      <w:r w:rsidRPr="00954F16">
        <w:rPr>
          <w:rFonts w:asciiTheme="minorHAnsi" w:hAnsiTheme="minorHAnsi" w:cstheme="minorHAnsi"/>
          <w:i/>
        </w:rPr>
        <w:t>, and will help ensure that the conclusions in the PIR relate clearly to the</w:t>
      </w:r>
      <w:r w:rsidR="00575F87" w:rsidRPr="00954F16">
        <w:rPr>
          <w:rFonts w:asciiTheme="minorHAnsi" w:hAnsiTheme="minorHAnsi" w:cstheme="minorHAnsi"/>
          <w:i/>
        </w:rPr>
        <w:t xml:space="preserve"> analysis and evidence presented in the PIR.</w:t>
      </w:r>
      <w:r w:rsidR="00575F87" w:rsidRPr="00954F16">
        <w:rPr>
          <w:i/>
        </w:rPr>
        <w:t xml:space="preserve"> </w:t>
      </w:r>
    </w:p>
    <w:p w:rsidR="00134DA8" w:rsidRPr="00954F16" w:rsidRDefault="00134DA8" w:rsidP="00134DA8">
      <w:pPr>
        <w:pStyle w:val="ListParagraph"/>
        <w:rPr>
          <w:rFonts w:ascii="Calibri" w:hAnsi="Calibri" w:cs="Arial"/>
          <w:i/>
          <w:color w:val="000000"/>
        </w:rPr>
      </w:pPr>
    </w:p>
    <w:p w:rsidR="00C8025C" w:rsidRPr="00954F16" w:rsidRDefault="00C8025C" w:rsidP="00213236">
      <w:pPr>
        <w:pStyle w:val="ListParagraph"/>
        <w:numPr>
          <w:ilvl w:val="1"/>
          <w:numId w:val="5"/>
        </w:numPr>
        <w:rPr>
          <w:rFonts w:ascii="Calibri" w:hAnsi="Calibri" w:cs="Arial"/>
          <w:b/>
          <w:color w:val="000000"/>
        </w:rPr>
      </w:pPr>
      <w:r w:rsidRPr="00954F16">
        <w:rPr>
          <w:rFonts w:ascii="Calibri" w:hAnsi="Calibri" w:cs="Arial"/>
          <w:b/>
          <w:color w:val="000000"/>
        </w:rPr>
        <w:t>Does evidence from stakeholders support the current approach?</w:t>
      </w:r>
    </w:p>
    <w:p w:rsidR="00A2256F" w:rsidRPr="00954F16" w:rsidRDefault="00A2256F" w:rsidP="00A2256F">
      <w:pPr>
        <w:spacing w:after="0"/>
        <w:ind w:firstLine="720"/>
        <w:rPr>
          <w:rFonts w:ascii="Calibri" w:hAnsi="Calibri" w:cs="Arial"/>
          <w:color w:val="000000"/>
          <w:sz w:val="24"/>
          <w:szCs w:val="24"/>
        </w:rPr>
      </w:pPr>
    </w:p>
    <w:p w:rsidR="008124D7" w:rsidRPr="00954F16" w:rsidRDefault="008E0642" w:rsidP="004B6842">
      <w:pPr>
        <w:spacing w:after="0"/>
        <w:ind w:left="720"/>
        <w:rPr>
          <w:rFonts w:ascii="Calibri" w:eastAsia="Calibri" w:hAnsi="Calibri" w:cs="Arial"/>
          <w:i/>
          <w:sz w:val="24"/>
          <w:szCs w:val="24"/>
        </w:rPr>
      </w:pPr>
      <w:r w:rsidRPr="00954F16">
        <w:rPr>
          <w:i/>
          <w:sz w:val="24"/>
          <w:szCs w:val="24"/>
        </w:rPr>
        <w:t>Considering evidence from a wide range</w:t>
      </w:r>
      <w:r w:rsidR="005821B6" w:rsidRPr="00954F16">
        <w:rPr>
          <w:i/>
          <w:sz w:val="24"/>
          <w:szCs w:val="24"/>
        </w:rPr>
        <w:t xml:space="preserve"> of stakeholders will help the d</w:t>
      </w:r>
      <w:r w:rsidRPr="00954F16">
        <w:rPr>
          <w:i/>
          <w:sz w:val="24"/>
          <w:szCs w:val="24"/>
        </w:rPr>
        <w:t xml:space="preserve">epartment understand the costs and benefits of the existing form of regulation, and the extent </w:t>
      </w:r>
      <w:r w:rsidRPr="00954F16">
        <w:rPr>
          <w:i/>
          <w:sz w:val="24"/>
          <w:szCs w:val="24"/>
        </w:rPr>
        <w:lastRenderedPageBreak/>
        <w:t xml:space="preserve">to which the existing form of regulation is the most appropriate approach. </w:t>
      </w:r>
      <w:r w:rsidR="00A2256F" w:rsidRPr="00954F16">
        <w:rPr>
          <w:rFonts w:ascii="Calibri" w:eastAsia="Calibri" w:hAnsi="Calibri" w:cs="Arial"/>
          <w:i/>
          <w:sz w:val="24"/>
          <w:szCs w:val="24"/>
        </w:rPr>
        <w:t>Data collection from businesses may take a range of forms including, but not restricted to, administrative data collection, consultations, surveys and qualitative research. Departme</w:t>
      </w:r>
      <w:r w:rsidR="005F284D" w:rsidRPr="00954F16">
        <w:rPr>
          <w:rFonts w:ascii="Calibri" w:eastAsia="Calibri" w:hAnsi="Calibri" w:cs="Arial"/>
          <w:i/>
          <w:sz w:val="24"/>
          <w:szCs w:val="24"/>
        </w:rPr>
        <w:t xml:space="preserve">nts should explain </w:t>
      </w:r>
      <w:r w:rsidR="00246FF4" w:rsidRPr="00954F16">
        <w:rPr>
          <w:rFonts w:ascii="Calibri" w:eastAsia="Calibri" w:hAnsi="Calibri" w:cs="Arial"/>
          <w:i/>
          <w:sz w:val="24"/>
          <w:szCs w:val="24"/>
        </w:rPr>
        <w:t xml:space="preserve">clearly </w:t>
      </w:r>
      <w:r w:rsidR="005F284D" w:rsidRPr="00954F16">
        <w:rPr>
          <w:rFonts w:ascii="Calibri" w:eastAsia="Calibri" w:hAnsi="Calibri" w:cs="Arial"/>
          <w:i/>
          <w:sz w:val="24"/>
          <w:szCs w:val="24"/>
        </w:rPr>
        <w:t>their</w:t>
      </w:r>
      <w:r w:rsidR="00A2256F" w:rsidRPr="00954F16">
        <w:rPr>
          <w:rFonts w:ascii="Calibri" w:eastAsia="Calibri" w:hAnsi="Calibri" w:cs="Arial"/>
          <w:i/>
          <w:sz w:val="24"/>
          <w:szCs w:val="24"/>
        </w:rPr>
        <w:t xml:space="preserve"> choice of evidence sources</w:t>
      </w:r>
      <w:r w:rsidR="00246FF4" w:rsidRPr="00954F16">
        <w:rPr>
          <w:rFonts w:ascii="Calibri" w:eastAsia="Calibri" w:hAnsi="Calibri" w:cs="Arial"/>
          <w:i/>
          <w:sz w:val="24"/>
          <w:szCs w:val="24"/>
        </w:rPr>
        <w:t xml:space="preserve">, </w:t>
      </w:r>
      <w:r w:rsidR="005357A7" w:rsidRPr="00954F16">
        <w:rPr>
          <w:rFonts w:ascii="Calibri" w:eastAsia="Calibri" w:hAnsi="Calibri" w:cs="Arial"/>
          <w:i/>
          <w:sz w:val="24"/>
          <w:szCs w:val="24"/>
        </w:rPr>
        <w:t xml:space="preserve">say </w:t>
      </w:r>
      <w:r w:rsidR="00246FF4" w:rsidRPr="00954F16">
        <w:rPr>
          <w:rFonts w:ascii="Calibri" w:eastAsia="Calibri" w:hAnsi="Calibri" w:cs="Arial"/>
          <w:i/>
          <w:sz w:val="24"/>
          <w:szCs w:val="24"/>
        </w:rPr>
        <w:t>how the evidence is proportionate</w:t>
      </w:r>
      <w:r w:rsidR="00A2256F" w:rsidRPr="00954F16">
        <w:rPr>
          <w:rFonts w:ascii="Calibri" w:eastAsia="Calibri" w:hAnsi="Calibri" w:cs="Arial"/>
          <w:i/>
          <w:sz w:val="24"/>
          <w:szCs w:val="24"/>
        </w:rPr>
        <w:t xml:space="preserve"> and high</w:t>
      </w:r>
      <w:r w:rsidR="004B6842" w:rsidRPr="00954F16">
        <w:rPr>
          <w:rFonts w:ascii="Calibri" w:eastAsia="Calibri" w:hAnsi="Calibri" w:cs="Arial"/>
          <w:i/>
          <w:sz w:val="24"/>
          <w:szCs w:val="24"/>
        </w:rPr>
        <w:t>light any potential limitations.</w:t>
      </w:r>
    </w:p>
    <w:p w:rsidR="00C8025C" w:rsidRPr="00954F16" w:rsidRDefault="00C8025C" w:rsidP="00C8025C">
      <w:pPr>
        <w:pStyle w:val="ListParagraph"/>
        <w:ind w:left="1080"/>
        <w:rPr>
          <w:rFonts w:ascii="Calibri" w:hAnsi="Calibri" w:cs="Arial"/>
          <w:color w:val="000000"/>
        </w:rPr>
      </w:pPr>
    </w:p>
    <w:p w:rsidR="00213236" w:rsidRPr="00954F16" w:rsidRDefault="0037162E" w:rsidP="00213236">
      <w:pPr>
        <w:pStyle w:val="ListParagraph"/>
        <w:numPr>
          <w:ilvl w:val="1"/>
          <w:numId w:val="5"/>
        </w:numPr>
        <w:rPr>
          <w:rFonts w:ascii="Calibri" w:hAnsi="Calibri" w:cs="Arial"/>
          <w:b/>
          <w:color w:val="000000"/>
        </w:rPr>
      </w:pPr>
      <w:r w:rsidRPr="00954F16">
        <w:rPr>
          <w:rFonts w:ascii="Calibri" w:hAnsi="Calibri" w:cs="Arial"/>
          <w:b/>
          <w:color w:val="000000"/>
        </w:rPr>
        <w:t>How effective is the implementation/enforcement mechanism for the policy?</w:t>
      </w:r>
      <w:r w:rsidR="00F56176" w:rsidRPr="00954F16">
        <w:rPr>
          <w:rFonts w:ascii="Calibri" w:hAnsi="Calibri" w:cs="Arial"/>
          <w:b/>
          <w:color w:val="000000"/>
        </w:rPr>
        <w:t xml:space="preserve"> Could it be improved?</w:t>
      </w:r>
    </w:p>
    <w:p w:rsidR="006E12E4" w:rsidRPr="00954F16" w:rsidRDefault="006E12E4" w:rsidP="006E12E4">
      <w:pPr>
        <w:spacing w:after="0"/>
        <w:ind w:left="720"/>
        <w:rPr>
          <w:rFonts w:ascii="Calibri" w:hAnsi="Calibri" w:cs="Arial"/>
          <w:i/>
          <w:color w:val="000000"/>
          <w:sz w:val="24"/>
          <w:szCs w:val="24"/>
        </w:rPr>
      </w:pPr>
    </w:p>
    <w:p w:rsidR="002F10CC" w:rsidRPr="00954F16" w:rsidRDefault="004A76F7" w:rsidP="00695E59">
      <w:pPr>
        <w:spacing w:after="0"/>
        <w:ind w:left="720"/>
        <w:rPr>
          <w:rFonts w:ascii="Calibri" w:hAnsi="Calibri" w:cs="Arial"/>
          <w:i/>
          <w:color w:val="000000"/>
          <w:sz w:val="24"/>
          <w:szCs w:val="24"/>
        </w:rPr>
      </w:pPr>
      <w:r w:rsidRPr="00954F16">
        <w:rPr>
          <w:rFonts w:ascii="Calibri" w:hAnsi="Calibri" w:cs="Arial"/>
          <w:i/>
          <w:color w:val="000000"/>
          <w:sz w:val="24"/>
          <w:szCs w:val="24"/>
        </w:rPr>
        <w:t>Improving</w:t>
      </w:r>
      <w:r w:rsidR="00B56770" w:rsidRPr="00954F16">
        <w:rPr>
          <w:rFonts w:ascii="Calibri" w:hAnsi="Calibri" w:cs="Arial"/>
          <w:i/>
          <w:color w:val="000000"/>
          <w:sz w:val="24"/>
          <w:szCs w:val="24"/>
        </w:rPr>
        <w:t xml:space="preserve"> the implementation/enforcement mechanism for the policy is one </w:t>
      </w:r>
      <w:r w:rsidRPr="00954F16">
        <w:rPr>
          <w:rFonts w:ascii="Calibri" w:hAnsi="Calibri" w:cs="Arial"/>
          <w:i/>
          <w:color w:val="000000"/>
          <w:sz w:val="24"/>
          <w:szCs w:val="24"/>
        </w:rPr>
        <w:t>way of achieving</w:t>
      </w:r>
      <w:r w:rsidR="00B51142" w:rsidRPr="00954F16">
        <w:rPr>
          <w:rFonts w:ascii="Calibri" w:hAnsi="Calibri" w:cs="Arial"/>
          <w:i/>
          <w:color w:val="000000"/>
          <w:sz w:val="24"/>
          <w:szCs w:val="24"/>
        </w:rPr>
        <w:t xml:space="preserve"> better outcomes</w:t>
      </w:r>
      <w:r w:rsidR="00B56770" w:rsidRPr="00954F16">
        <w:rPr>
          <w:rFonts w:ascii="Calibri" w:hAnsi="Calibri" w:cs="Arial"/>
          <w:i/>
          <w:color w:val="000000"/>
          <w:sz w:val="24"/>
          <w:szCs w:val="24"/>
        </w:rPr>
        <w:t xml:space="preserve">. </w:t>
      </w:r>
      <w:r w:rsidR="001716BD" w:rsidRPr="00954F16">
        <w:rPr>
          <w:rFonts w:ascii="Calibri" w:hAnsi="Calibri" w:cs="Arial"/>
          <w:i/>
          <w:color w:val="000000"/>
          <w:sz w:val="24"/>
          <w:szCs w:val="24"/>
        </w:rPr>
        <w:t>Department</w:t>
      </w:r>
      <w:r w:rsidR="00333130" w:rsidRPr="00954F16">
        <w:rPr>
          <w:rFonts w:ascii="Calibri" w:hAnsi="Calibri" w:cs="Arial"/>
          <w:i/>
          <w:color w:val="000000"/>
          <w:sz w:val="24"/>
          <w:szCs w:val="24"/>
        </w:rPr>
        <w:t>s</w:t>
      </w:r>
      <w:r w:rsidR="001716BD" w:rsidRPr="00954F16">
        <w:rPr>
          <w:rFonts w:ascii="Calibri" w:hAnsi="Calibri" w:cs="Arial"/>
          <w:i/>
          <w:color w:val="000000"/>
          <w:sz w:val="24"/>
          <w:szCs w:val="24"/>
        </w:rPr>
        <w:t xml:space="preserve"> should provide evidence on the extent to which the chosen enforcement mechanism is appropriate. This </w:t>
      </w:r>
      <w:r w:rsidR="00246FF4" w:rsidRPr="00954F16">
        <w:rPr>
          <w:rFonts w:ascii="Calibri" w:hAnsi="Calibri" w:cs="Arial"/>
          <w:i/>
          <w:color w:val="000000"/>
          <w:sz w:val="24"/>
          <w:szCs w:val="24"/>
        </w:rPr>
        <w:t xml:space="preserve">is </w:t>
      </w:r>
      <w:r w:rsidR="001716BD" w:rsidRPr="00954F16">
        <w:rPr>
          <w:rFonts w:ascii="Calibri" w:hAnsi="Calibri" w:cs="Arial"/>
          <w:i/>
          <w:color w:val="000000"/>
          <w:sz w:val="24"/>
          <w:szCs w:val="24"/>
        </w:rPr>
        <w:t xml:space="preserve">likely </w:t>
      </w:r>
      <w:r w:rsidR="00246FF4" w:rsidRPr="00954F16">
        <w:rPr>
          <w:rFonts w:ascii="Calibri" w:hAnsi="Calibri" w:cs="Arial"/>
          <w:i/>
          <w:color w:val="000000"/>
          <w:sz w:val="24"/>
          <w:szCs w:val="24"/>
        </w:rPr>
        <w:t xml:space="preserve">to </w:t>
      </w:r>
      <w:r w:rsidR="001716BD" w:rsidRPr="00954F16">
        <w:rPr>
          <w:rFonts w:ascii="Calibri" w:hAnsi="Calibri" w:cs="Arial"/>
          <w:i/>
          <w:color w:val="000000"/>
          <w:sz w:val="24"/>
          <w:szCs w:val="24"/>
        </w:rPr>
        <w:t>include consideration of compliance levels and stakeholders’ views on implementation.</w:t>
      </w:r>
      <w:r w:rsidR="00213236" w:rsidRPr="00954F16">
        <w:rPr>
          <w:rFonts w:ascii="Calibri" w:hAnsi="Calibri" w:cs="Arial"/>
          <w:i/>
          <w:color w:val="000000"/>
          <w:sz w:val="24"/>
          <w:szCs w:val="24"/>
        </w:rPr>
        <w:t xml:space="preserve"> </w:t>
      </w:r>
      <w:r w:rsidR="00A25AB3" w:rsidRPr="00954F16">
        <w:rPr>
          <w:rFonts w:ascii="Calibri" w:hAnsi="Calibri" w:cs="Arial"/>
          <w:i/>
          <w:color w:val="000000"/>
          <w:sz w:val="24"/>
          <w:szCs w:val="24"/>
        </w:rPr>
        <w:t>In the case of EU regulations, this may also include considering other member states</w:t>
      </w:r>
      <w:r w:rsidRPr="00954F16">
        <w:rPr>
          <w:rFonts w:ascii="Calibri" w:hAnsi="Calibri" w:cs="Arial"/>
          <w:i/>
          <w:color w:val="000000"/>
          <w:sz w:val="24"/>
          <w:szCs w:val="24"/>
        </w:rPr>
        <w:t>’</w:t>
      </w:r>
      <w:r w:rsidR="00A25AB3" w:rsidRPr="00954F16">
        <w:rPr>
          <w:rFonts w:ascii="Calibri" w:hAnsi="Calibri" w:cs="Arial"/>
          <w:i/>
          <w:color w:val="000000"/>
          <w:sz w:val="24"/>
          <w:szCs w:val="24"/>
        </w:rPr>
        <w:t xml:space="preserve"> approaches to implementation.</w:t>
      </w:r>
    </w:p>
    <w:p w:rsidR="006E12E4" w:rsidRPr="00954F16" w:rsidRDefault="006E12E4" w:rsidP="008124D7">
      <w:pPr>
        <w:spacing w:after="0"/>
        <w:rPr>
          <w:rFonts w:ascii="Calibri" w:hAnsi="Calibri" w:cs="Arial"/>
          <w:b/>
          <w:i/>
          <w:color w:val="000000"/>
          <w:sz w:val="24"/>
          <w:szCs w:val="24"/>
        </w:rPr>
      </w:pPr>
    </w:p>
    <w:p w:rsidR="000C5574" w:rsidRPr="00954F16" w:rsidRDefault="0037162E" w:rsidP="000C5574">
      <w:pPr>
        <w:pStyle w:val="ListParagraph"/>
        <w:numPr>
          <w:ilvl w:val="1"/>
          <w:numId w:val="5"/>
        </w:numPr>
        <w:rPr>
          <w:rFonts w:ascii="Calibri" w:hAnsi="Calibri" w:cs="Arial"/>
          <w:b/>
          <w:color w:val="000000"/>
        </w:rPr>
      </w:pPr>
      <w:r w:rsidRPr="00954F16">
        <w:rPr>
          <w:rFonts w:ascii="Calibri" w:hAnsi="Calibri" w:cs="Arial"/>
          <w:b/>
          <w:color w:val="000000"/>
        </w:rPr>
        <w:t>To what extent would</w:t>
      </w:r>
      <w:r w:rsidR="00213236" w:rsidRPr="00954F16">
        <w:rPr>
          <w:rFonts w:ascii="Calibri" w:hAnsi="Calibri" w:cs="Arial"/>
          <w:b/>
          <w:color w:val="000000"/>
        </w:rPr>
        <w:t xml:space="preserve"> </w:t>
      </w:r>
      <w:r w:rsidRPr="00954F16">
        <w:rPr>
          <w:rFonts w:ascii="Calibri" w:hAnsi="Calibri" w:cs="Arial"/>
          <w:b/>
          <w:color w:val="000000"/>
        </w:rPr>
        <w:t>non-statutory measures</w:t>
      </w:r>
      <w:r w:rsidR="00213236" w:rsidRPr="00954F16">
        <w:rPr>
          <w:rFonts w:ascii="Calibri" w:hAnsi="Calibri" w:cs="Arial"/>
          <w:b/>
          <w:color w:val="000000"/>
        </w:rPr>
        <w:t xml:space="preserve"> or amendments</w:t>
      </w:r>
      <w:r w:rsidRPr="00954F16">
        <w:rPr>
          <w:rFonts w:ascii="Calibri" w:hAnsi="Calibri" w:cs="Arial"/>
          <w:b/>
          <w:color w:val="000000"/>
        </w:rPr>
        <w:t xml:space="preserve"> </w:t>
      </w:r>
      <w:r w:rsidR="00386CEF" w:rsidRPr="00954F16">
        <w:rPr>
          <w:rFonts w:ascii="Calibri" w:hAnsi="Calibri" w:cs="Arial"/>
          <w:b/>
          <w:color w:val="000000"/>
        </w:rPr>
        <w:t>help the po</w:t>
      </w:r>
      <w:r w:rsidR="00E874E5" w:rsidRPr="00954F16">
        <w:rPr>
          <w:rFonts w:ascii="Calibri" w:hAnsi="Calibri" w:cs="Arial"/>
          <w:b/>
          <w:color w:val="000000"/>
        </w:rPr>
        <w:t xml:space="preserve">licy meet its objectives, </w:t>
      </w:r>
      <w:r w:rsidR="00386CEF" w:rsidRPr="00954F16">
        <w:rPr>
          <w:rFonts w:ascii="Calibri" w:hAnsi="Calibri" w:cs="Arial"/>
          <w:b/>
          <w:color w:val="000000"/>
        </w:rPr>
        <w:t>reduce the costs to business</w:t>
      </w:r>
      <w:r w:rsidR="00E874E5" w:rsidRPr="00954F16">
        <w:rPr>
          <w:rFonts w:ascii="Calibri" w:hAnsi="Calibri" w:cs="Arial"/>
          <w:b/>
          <w:color w:val="000000"/>
        </w:rPr>
        <w:t xml:space="preserve"> and/or have other advantages</w:t>
      </w:r>
      <w:r w:rsidR="00386CEF" w:rsidRPr="00954F16">
        <w:rPr>
          <w:rFonts w:ascii="Calibri" w:hAnsi="Calibri" w:cs="Arial"/>
          <w:b/>
          <w:color w:val="000000"/>
        </w:rPr>
        <w:t>?</w:t>
      </w:r>
    </w:p>
    <w:p w:rsidR="005821B6" w:rsidRPr="00954F16" w:rsidRDefault="005821B6" w:rsidP="00761F27">
      <w:pPr>
        <w:spacing w:after="0"/>
        <w:rPr>
          <w:rFonts w:ascii="Calibri" w:hAnsi="Calibri" w:cs="Arial"/>
          <w:i/>
          <w:color w:val="000000"/>
          <w:sz w:val="24"/>
          <w:szCs w:val="24"/>
        </w:rPr>
      </w:pPr>
    </w:p>
    <w:p w:rsidR="00954F16" w:rsidRDefault="00B51142" w:rsidP="00954F16">
      <w:pPr>
        <w:spacing w:after="0"/>
        <w:ind w:left="720"/>
        <w:rPr>
          <w:rFonts w:ascii="Calibri" w:hAnsi="Calibri" w:cs="Arial"/>
          <w:i/>
          <w:color w:val="000000"/>
          <w:sz w:val="24"/>
          <w:szCs w:val="24"/>
        </w:rPr>
      </w:pPr>
      <w:r w:rsidRPr="00954F16">
        <w:rPr>
          <w:rFonts w:ascii="Calibri" w:hAnsi="Calibri" w:cs="Arial"/>
          <w:i/>
          <w:color w:val="000000"/>
          <w:sz w:val="24"/>
          <w:szCs w:val="24"/>
        </w:rPr>
        <w:t>To consider whether the existing form of regulation remains</w:t>
      </w:r>
      <w:r w:rsidR="00C00FDB" w:rsidRPr="00954F16">
        <w:rPr>
          <w:rFonts w:ascii="Calibri" w:hAnsi="Calibri" w:cs="Arial"/>
          <w:i/>
          <w:color w:val="000000"/>
          <w:sz w:val="24"/>
          <w:szCs w:val="24"/>
        </w:rPr>
        <w:t xml:space="preserve"> </w:t>
      </w:r>
      <w:r w:rsidR="005821B6" w:rsidRPr="00954F16">
        <w:rPr>
          <w:rFonts w:ascii="Calibri" w:hAnsi="Calibri" w:cs="Arial"/>
          <w:i/>
          <w:color w:val="000000"/>
          <w:sz w:val="24"/>
          <w:szCs w:val="24"/>
        </w:rPr>
        <w:t>the most appropriate approach, d</w:t>
      </w:r>
      <w:r w:rsidR="00C00FDB" w:rsidRPr="00954F16">
        <w:rPr>
          <w:rFonts w:ascii="Calibri" w:hAnsi="Calibri" w:cs="Arial"/>
          <w:i/>
          <w:color w:val="000000"/>
          <w:sz w:val="24"/>
          <w:szCs w:val="24"/>
        </w:rPr>
        <w:t xml:space="preserve">epartments should reconsider the extent to which alternatives to regulation could be used to achieve the policy objectives. </w:t>
      </w:r>
      <w:r w:rsidR="00347A3E" w:rsidRPr="00954F16">
        <w:rPr>
          <w:rFonts w:ascii="Calibri" w:hAnsi="Calibri" w:cs="Arial"/>
          <w:i/>
          <w:color w:val="000000"/>
          <w:sz w:val="24"/>
          <w:szCs w:val="24"/>
        </w:rPr>
        <w:t>Department</w:t>
      </w:r>
      <w:r w:rsidR="00765002" w:rsidRPr="00954F16">
        <w:rPr>
          <w:rFonts w:ascii="Calibri" w:hAnsi="Calibri" w:cs="Arial"/>
          <w:i/>
          <w:color w:val="000000"/>
          <w:sz w:val="24"/>
          <w:szCs w:val="24"/>
        </w:rPr>
        <w:t>s</w:t>
      </w:r>
      <w:r w:rsidR="00347A3E" w:rsidRPr="00954F16">
        <w:rPr>
          <w:rFonts w:ascii="Calibri" w:hAnsi="Calibri" w:cs="Arial"/>
          <w:i/>
          <w:color w:val="000000"/>
          <w:sz w:val="24"/>
          <w:szCs w:val="24"/>
        </w:rPr>
        <w:t xml:space="preserve"> should consider whether the same objectives could be achieved through non-statutory measures</w:t>
      </w:r>
      <w:r w:rsidR="00246FF4" w:rsidRPr="00954F16">
        <w:rPr>
          <w:rFonts w:ascii="Calibri" w:hAnsi="Calibri" w:cs="Arial"/>
          <w:i/>
          <w:color w:val="000000"/>
          <w:sz w:val="24"/>
          <w:szCs w:val="24"/>
        </w:rPr>
        <w:t xml:space="preserve"> and/or</w:t>
      </w:r>
      <w:r w:rsidR="00213236" w:rsidRPr="00954F16">
        <w:rPr>
          <w:rFonts w:ascii="Calibri" w:hAnsi="Calibri" w:cs="Arial"/>
          <w:i/>
          <w:color w:val="000000"/>
          <w:sz w:val="24"/>
          <w:szCs w:val="24"/>
        </w:rPr>
        <w:t xml:space="preserve"> whether amendments could be made to reduce the cost to business</w:t>
      </w:r>
      <w:r w:rsidR="000005D1" w:rsidRPr="00954F16">
        <w:rPr>
          <w:rFonts w:ascii="Calibri" w:hAnsi="Calibri" w:cs="Arial"/>
          <w:i/>
          <w:color w:val="000000"/>
          <w:sz w:val="24"/>
          <w:szCs w:val="24"/>
        </w:rPr>
        <w:t>,</w:t>
      </w:r>
      <w:r w:rsidR="00213236" w:rsidRPr="00954F16">
        <w:rPr>
          <w:rFonts w:ascii="Calibri" w:hAnsi="Calibri" w:cs="Arial"/>
          <w:i/>
          <w:color w:val="000000"/>
          <w:sz w:val="24"/>
          <w:szCs w:val="24"/>
        </w:rPr>
        <w:t xml:space="preserve"> without damaging the policy objectives</w:t>
      </w:r>
      <w:r w:rsidR="005D405E" w:rsidRPr="00954F16">
        <w:rPr>
          <w:rFonts w:ascii="Calibri" w:hAnsi="Calibri" w:cs="Arial"/>
          <w:i/>
          <w:color w:val="000000"/>
          <w:sz w:val="24"/>
          <w:szCs w:val="24"/>
        </w:rPr>
        <w:t xml:space="preserve"> or increasing the </w:t>
      </w:r>
      <w:r w:rsidR="000005D1" w:rsidRPr="00954F16">
        <w:rPr>
          <w:rFonts w:ascii="Calibri" w:hAnsi="Calibri" w:cs="Arial"/>
          <w:i/>
          <w:color w:val="000000"/>
          <w:sz w:val="24"/>
          <w:szCs w:val="24"/>
        </w:rPr>
        <w:t xml:space="preserve">overall </w:t>
      </w:r>
      <w:r w:rsidR="005D405E" w:rsidRPr="00954F16">
        <w:rPr>
          <w:rFonts w:ascii="Calibri" w:hAnsi="Calibri" w:cs="Arial"/>
          <w:i/>
          <w:color w:val="000000"/>
          <w:sz w:val="24"/>
          <w:szCs w:val="24"/>
        </w:rPr>
        <w:t xml:space="preserve">cost to business. </w:t>
      </w:r>
      <w:r w:rsidR="00E874E5" w:rsidRPr="00954F16">
        <w:rPr>
          <w:rFonts w:ascii="Calibri" w:hAnsi="Calibri" w:cs="Arial"/>
          <w:i/>
          <w:color w:val="000000"/>
          <w:sz w:val="24"/>
          <w:szCs w:val="24"/>
        </w:rPr>
        <w:t xml:space="preserve">Departments should </w:t>
      </w:r>
      <w:r w:rsidR="00246FF4" w:rsidRPr="00954F16">
        <w:rPr>
          <w:rFonts w:ascii="Calibri" w:hAnsi="Calibri" w:cs="Arial"/>
          <w:i/>
          <w:color w:val="000000"/>
          <w:sz w:val="24"/>
          <w:szCs w:val="24"/>
        </w:rPr>
        <w:t xml:space="preserve">also </w:t>
      </w:r>
      <w:r w:rsidR="00E874E5" w:rsidRPr="00954F16">
        <w:rPr>
          <w:rFonts w:ascii="Calibri" w:hAnsi="Calibri" w:cs="Arial"/>
          <w:i/>
          <w:color w:val="000000"/>
          <w:sz w:val="24"/>
          <w:szCs w:val="24"/>
        </w:rPr>
        <w:t>consider whether the same objectives could be met through alternative measures that have additional advantages.</w:t>
      </w:r>
    </w:p>
    <w:p w:rsidR="00954F16" w:rsidRPr="00954F16" w:rsidRDefault="00954F16" w:rsidP="00954F16">
      <w:pPr>
        <w:spacing w:after="0"/>
        <w:rPr>
          <w:rFonts w:ascii="Calibri" w:hAnsi="Calibri" w:cs="Arial"/>
          <w:i/>
          <w:color w:val="000000"/>
          <w:sz w:val="24"/>
          <w:szCs w:val="24"/>
        </w:rPr>
      </w:pPr>
    </w:p>
    <w:p w:rsidR="00646689" w:rsidRPr="001D6E3C" w:rsidRDefault="00646689" w:rsidP="00646689">
      <w:pPr>
        <w:pStyle w:val="ListParagraph"/>
        <w:rPr>
          <w:rFonts w:ascii="Calibri" w:hAnsi="Calibri" w:cs="Arial"/>
          <w:b/>
          <w:color w:val="000000"/>
          <w:u w:val="single"/>
        </w:rPr>
      </w:pPr>
    </w:p>
    <w:p w:rsidR="00A2256F" w:rsidRPr="006F5C71" w:rsidRDefault="006F5C71" w:rsidP="006F5C71">
      <w:pPr>
        <w:pStyle w:val="ListParagraph"/>
        <w:numPr>
          <w:ilvl w:val="0"/>
          <w:numId w:val="5"/>
        </w:numPr>
        <w:rPr>
          <w:rFonts w:asciiTheme="minorHAnsi" w:hAnsiTheme="minorHAnsi" w:cstheme="minorHAnsi"/>
          <w:b/>
          <w:color w:val="984806" w:themeColor="accent6" w:themeShade="80"/>
          <w:sz w:val="28"/>
          <w:szCs w:val="28"/>
        </w:rPr>
      </w:pPr>
      <w:r w:rsidRPr="006F5C71">
        <w:rPr>
          <w:rFonts w:asciiTheme="minorHAnsi" w:hAnsiTheme="minorHAnsi" w:cstheme="minorHAnsi"/>
          <w:b/>
          <w:color w:val="984806" w:themeColor="accent6" w:themeShade="80"/>
          <w:sz w:val="28"/>
          <w:szCs w:val="28"/>
        </w:rPr>
        <w:t>What is the most appropriate option going forward?</w:t>
      </w:r>
    </w:p>
    <w:p w:rsidR="00BA0791" w:rsidRDefault="00BA0791" w:rsidP="006B1748">
      <w:pPr>
        <w:pStyle w:val="ListParagraph"/>
        <w:rPr>
          <w:rFonts w:ascii="Calibri" w:hAnsi="Calibri" w:cs="Arial"/>
          <w:b/>
          <w:color w:val="000000"/>
          <w:u w:val="single"/>
        </w:rPr>
      </w:pPr>
    </w:p>
    <w:p w:rsidR="00BA0791" w:rsidRDefault="00D71CE6" w:rsidP="000005D1">
      <w:pPr>
        <w:pStyle w:val="ListParagraph"/>
        <w:spacing w:line="276" w:lineRule="auto"/>
        <w:rPr>
          <w:rFonts w:ascii="Calibri" w:hAnsi="Calibri" w:cs="Arial"/>
          <w:color w:val="000000"/>
        </w:rPr>
      </w:pPr>
      <w:r w:rsidRPr="00954F16">
        <w:rPr>
          <w:rFonts w:ascii="Calibri" w:hAnsi="Calibri" w:cs="Arial"/>
          <w:color w:val="000000"/>
        </w:rPr>
        <w:t xml:space="preserve">The </w:t>
      </w:r>
      <w:r w:rsidR="00EC7811" w:rsidRPr="00954F16">
        <w:rPr>
          <w:rFonts w:ascii="Calibri" w:hAnsi="Calibri" w:cs="Arial"/>
          <w:color w:val="000000"/>
        </w:rPr>
        <w:t>questions above provi</w:t>
      </w:r>
      <w:r w:rsidR="0088728E" w:rsidRPr="00954F16">
        <w:rPr>
          <w:rFonts w:ascii="Calibri" w:hAnsi="Calibri" w:cs="Arial"/>
          <w:color w:val="000000"/>
        </w:rPr>
        <w:t xml:space="preserve">de guidance </w:t>
      </w:r>
      <w:r w:rsidR="00B012FE" w:rsidRPr="00954F16">
        <w:rPr>
          <w:rFonts w:ascii="Calibri" w:hAnsi="Calibri" w:cs="Arial"/>
          <w:color w:val="000000"/>
        </w:rPr>
        <w:t>on the analytical issues to</w:t>
      </w:r>
      <w:r w:rsidR="00EC7811" w:rsidRPr="00954F16">
        <w:rPr>
          <w:rFonts w:ascii="Calibri" w:hAnsi="Calibri" w:cs="Arial"/>
          <w:color w:val="000000"/>
        </w:rPr>
        <w:t xml:space="preserve"> consider </w:t>
      </w:r>
      <w:r w:rsidR="00246FF4" w:rsidRPr="00954F16">
        <w:rPr>
          <w:rFonts w:ascii="Calibri" w:hAnsi="Calibri" w:cs="Arial"/>
          <w:color w:val="000000"/>
        </w:rPr>
        <w:t xml:space="preserve">in </w:t>
      </w:r>
      <w:r w:rsidR="00D77943" w:rsidRPr="00954F16">
        <w:rPr>
          <w:rFonts w:ascii="Calibri" w:hAnsi="Calibri" w:cs="Arial"/>
          <w:color w:val="000000"/>
        </w:rPr>
        <w:t>decid</w:t>
      </w:r>
      <w:r w:rsidR="00246FF4" w:rsidRPr="00954F16">
        <w:rPr>
          <w:rFonts w:ascii="Calibri" w:hAnsi="Calibri" w:cs="Arial"/>
          <w:color w:val="000000"/>
        </w:rPr>
        <w:t>ing</w:t>
      </w:r>
      <w:r w:rsidR="00D77943" w:rsidRPr="00954F16">
        <w:rPr>
          <w:rFonts w:ascii="Calibri" w:hAnsi="Calibri" w:cs="Arial"/>
          <w:color w:val="000000"/>
        </w:rPr>
        <w:t xml:space="preserve"> whether to renew</w:t>
      </w:r>
      <w:r w:rsidR="00573799" w:rsidRPr="00954F16">
        <w:rPr>
          <w:rFonts w:ascii="Calibri" w:hAnsi="Calibri" w:cs="Arial"/>
          <w:color w:val="000000"/>
        </w:rPr>
        <w:t xml:space="preserve">, </w:t>
      </w:r>
      <w:r w:rsidR="00D77943" w:rsidRPr="00954F16">
        <w:rPr>
          <w:rFonts w:ascii="Calibri" w:hAnsi="Calibri" w:cs="Arial"/>
          <w:color w:val="000000"/>
        </w:rPr>
        <w:t>amend</w:t>
      </w:r>
      <w:r w:rsidR="00573799" w:rsidRPr="00954F16">
        <w:rPr>
          <w:rFonts w:ascii="Calibri" w:hAnsi="Calibri" w:cs="Arial"/>
          <w:color w:val="000000"/>
        </w:rPr>
        <w:t xml:space="preserve">, </w:t>
      </w:r>
      <w:r w:rsidR="00D77943" w:rsidRPr="00954F16">
        <w:rPr>
          <w:rFonts w:ascii="Calibri" w:hAnsi="Calibri" w:cs="Arial"/>
          <w:color w:val="000000"/>
        </w:rPr>
        <w:t>remove</w:t>
      </w:r>
      <w:r w:rsidR="00573799" w:rsidRPr="00954F16">
        <w:rPr>
          <w:rFonts w:ascii="Calibri" w:hAnsi="Calibri" w:cs="Arial"/>
          <w:color w:val="000000"/>
        </w:rPr>
        <w:t xml:space="preserve"> or </w:t>
      </w:r>
      <w:r w:rsidR="00E5482A" w:rsidRPr="00954F16">
        <w:rPr>
          <w:rFonts w:ascii="Calibri" w:hAnsi="Calibri" w:cs="Arial"/>
          <w:color w:val="000000"/>
        </w:rPr>
        <w:t xml:space="preserve">allow </w:t>
      </w:r>
      <w:proofErr w:type="gramStart"/>
      <w:r w:rsidR="00E5482A" w:rsidRPr="00954F16">
        <w:rPr>
          <w:rFonts w:ascii="Calibri" w:hAnsi="Calibri" w:cs="Arial"/>
          <w:color w:val="000000"/>
        </w:rPr>
        <w:t>to</w:t>
      </w:r>
      <w:r w:rsidR="00D77943" w:rsidRPr="00954F16">
        <w:rPr>
          <w:rFonts w:ascii="Calibri" w:hAnsi="Calibri" w:cs="Arial"/>
          <w:color w:val="000000"/>
        </w:rPr>
        <w:t xml:space="preserve"> expire</w:t>
      </w:r>
      <w:proofErr w:type="gramEnd"/>
      <w:r w:rsidR="00D77943" w:rsidRPr="00954F16">
        <w:rPr>
          <w:rFonts w:ascii="Calibri" w:hAnsi="Calibri" w:cs="Arial"/>
          <w:color w:val="000000"/>
        </w:rPr>
        <w:t>/replace</w:t>
      </w:r>
      <w:r w:rsidR="0088728E" w:rsidRPr="00954F16">
        <w:rPr>
          <w:rFonts w:ascii="Calibri" w:hAnsi="Calibri" w:cs="Arial"/>
          <w:color w:val="000000"/>
        </w:rPr>
        <w:t xml:space="preserve"> the existing</w:t>
      </w:r>
      <w:r w:rsidR="00B35871" w:rsidRPr="00954F16">
        <w:rPr>
          <w:rFonts w:ascii="Calibri" w:hAnsi="Calibri" w:cs="Arial"/>
          <w:color w:val="000000"/>
        </w:rPr>
        <w:t xml:space="preserve"> regulations</w:t>
      </w:r>
      <w:r w:rsidR="00D77943" w:rsidRPr="00954F16">
        <w:rPr>
          <w:rFonts w:ascii="Calibri" w:hAnsi="Calibri" w:cs="Arial"/>
          <w:color w:val="000000"/>
        </w:rPr>
        <w:t>.</w:t>
      </w:r>
      <w:r w:rsidRPr="00954F16">
        <w:rPr>
          <w:rFonts w:ascii="Calibri" w:hAnsi="Calibri" w:cs="Arial"/>
          <w:color w:val="000000"/>
        </w:rPr>
        <w:t xml:space="preserve"> The </w:t>
      </w:r>
      <w:r w:rsidR="00313DEF" w:rsidRPr="00954F16">
        <w:rPr>
          <w:rFonts w:ascii="Calibri" w:hAnsi="Calibri" w:cs="Arial"/>
          <w:color w:val="000000"/>
        </w:rPr>
        <w:t>following table</w:t>
      </w:r>
      <w:r w:rsidR="00702488" w:rsidRPr="00954F16">
        <w:rPr>
          <w:rFonts w:ascii="Calibri" w:hAnsi="Calibri" w:cs="Arial"/>
          <w:color w:val="000000"/>
        </w:rPr>
        <w:t xml:space="preserve">, taken from Figure 10 in the Cross-Whitehall Guidance </w:t>
      </w:r>
      <w:r w:rsidR="000F3F1C">
        <w:rPr>
          <w:rFonts w:ascii="Calibri" w:hAnsi="Calibri" w:cs="Arial"/>
          <w:color w:val="000000"/>
        </w:rPr>
        <w:t>(</w:t>
      </w:r>
      <w:r w:rsidR="00702488" w:rsidRPr="00954F16">
        <w:rPr>
          <w:rFonts w:ascii="Calibri" w:hAnsi="Calibri" w:cs="Arial"/>
          <w:color w:val="000000"/>
        </w:rPr>
        <w:t xml:space="preserve">which is also presented as Table 4.2A in the </w:t>
      </w:r>
      <w:r w:rsidR="00E5482A" w:rsidRPr="00954F16">
        <w:rPr>
          <w:rFonts w:ascii="Calibri" w:hAnsi="Calibri" w:cs="Arial"/>
          <w:color w:val="000000"/>
        </w:rPr>
        <w:t xml:space="preserve">draft new </w:t>
      </w:r>
      <w:r w:rsidR="00702488" w:rsidRPr="00954F16">
        <w:rPr>
          <w:rFonts w:ascii="Calibri" w:hAnsi="Calibri" w:cs="Arial"/>
          <w:color w:val="000000"/>
        </w:rPr>
        <w:t>BRFM</w:t>
      </w:r>
      <w:r w:rsidR="000F3F1C">
        <w:rPr>
          <w:rFonts w:ascii="Calibri" w:hAnsi="Calibri" w:cs="Arial"/>
          <w:color w:val="000000"/>
        </w:rPr>
        <w:t>)</w:t>
      </w:r>
      <w:r w:rsidR="00702488" w:rsidRPr="00954F16">
        <w:rPr>
          <w:rFonts w:ascii="Calibri" w:hAnsi="Calibri" w:cs="Arial"/>
          <w:color w:val="000000"/>
        </w:rPr>
        <w:t>,</w:t>
      </w:r>
      <w:r w:rsidR="00313DEF" w:rsidRPr="00954F16">
        <w:rPr>
          <w:rFonts w:ascii="Calibri" w:hAnsi="Calibri" w:cs="Arial"/>
          <w:color w:val="000000"/>
        </w:rPr>
        <w:t xml:space="preserve"> </w:t>
      </w:r>
      <w:r w:rsidR="00BA0791" w:rsidRPr="00954F16">
        <w:rPr>
          <w:rFonts w:ascii="Calibri" w:hAnsi="Calibri" w:cs="Arial"/>
          <w:color w:val="000000"/>
        </w:rPr>
        <w:t xml:space="preserve">provides </w:t>
      </w:r>
      <w:r w:rsidR="00911238" w:rsidRPr="00954F16">
        <w:rPr>
          <w:rFonts w:ascii="Calibri" w:hAnsi="Calibri" w:cs="Arial"/>
          <w:color w:val="000000"/>
        </w:rPr>
        <w:t>a</w:t>
      </w:r>
      <w:r w:rsidR="00F73B9B" w:rsidRPr="00954F16">
        <w:rPr>
          <w:rFonts w:ascii="Calibri" w:hAnsi="Calibri" w:cs="Arial"/>
          <w:color w:val="000000"/>
        </w:rPr>
        <w:t xml:space="preserve"> summary of </w:t>
      </w:r>
      <w:r w:rsidR="0088728E" w:rsidRPr="00954F16">
        <w:rPr>
          <w:rFonts w:ascii="Calibri" w:hAnsi="Calibri" w:cs="Arial"/>
          <w:color w:val="000000"/>
        </w:rPr>
        <w:t xml:space="preserve">how the answers to these questions relate to the </w:t>
      </w:r>
      <w:r w:rsidR="00246FF4" w:rsidRPr="00954F16">
        <w:rPr>
          <w:rFonts w:ascii="Calibri" w:hAnsi="Calibri" w:cs="Arial"/>
          <w:color w:val="000000"/>
        </w:rPr>
        <w:t xml:space="preserve">policy </w:t>
      </w:r>
      <w:r w:rsidR="0088728E" w:rsidRPr="00954F16">
        <w:rPr>
          <w:rFonts w:ascii="Calibri" w:hAnsi="Calibri" w:cs="Arial"/>
          <w:color w:val="000000"/>
        </w:rPr>
        <w:t>option chosen.</w:t>
      </w:r>
    </w:p>
    <w:tbl>
      <w:tblPr>
        <w:tblpPr w:leftFromText="180" w:rightFromText="180" w:vertAnchor="text" w:horzAnchor="margin" w:tblpY="210"/>
        <w:tblW w:w="0" w:type="auto"/>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ook w:val="04A0" w:firstRow="1" w:lastRow="0" w:firstColumn="1" w:lastColumn="0" w:noHBand="0" w:noVBand="1"/>
      </w:tblPr>
      <w:tblGrid>
        <w:gridCol w:w="1951"/>
        <w:gridCol w:w="6946"/>
      </w:tblGrid>
      <w:tr w:rsidR="00807960" w:rsidRPr="000C6115" w:rsidTr="00807960">
        <w:tc>
          <w:tcPr>
            <w:tcW w:w="1951" w:type="dxa"/>
            <w:shd w:val="clear" w:color="auto" w:fill="FABF8F" w:themeFill="accent6" w:themeFillTint="99"/>
          </w:tcPr>
          <w:p w:rsidR="00807960" w:rsidRPr="000C6115" w:rsidRDefault="00807960" w:rsidP="00807960">
            <w:pPr>
              <w:spacing w:after="0"/>
              <w:rPr>
                <w:rFonts w:ascii="Calibri" w:hAnsi="Calibri" w:cs="Arial"/>
                <w:b/>
              </w:rPr>
            </w:pPr>
            <w:r>
              <w:rPr>
                <w:rFonts w:ascii="Calibri" w:hAnsi="Calibri" w:cs="Arial"/>
                <w:b/>
              </w:rPr>
              <w:t>Option (and legislative label)</w:t>
            </w:r>
          </w:p>
        </w:tc>
        <w:tc>
          <w:tcPr>
            <w:tcW w:w="6946" w:type="dxa"/>
            <w:shd w:val="clear" w:color="auto" w:fill="FABF8F" w:themeFill="accent6" w:themeFillTint="99"/>
          </w:tcPr>
          <w:p w:rsidR="00807960" w:rsidRPr="000C6115" w:rsidRDefault="00807960" w:rsidP="00807960">
            <w:pPr>
              <w:spacing w:after="0"/>
              <w:rPr>
                <w:rFonts w:ascii="Calibri" w:hAnsi="Calibri" w:cs="Arial"/>
                <w:b/>
              </w:rPr>
            </w:pPr>
            <w:r>
              <w:rPr>
                <w:rFonts w:ascii="Calibri" w:hAnsi="Calibri" w:cs="Arial"/>
                <w:b/>
              </w:rPr>
              <w:t xml:space="preserve">Evidence in support of option </w:t>
            </w:r>
          </w:p>
        </w:tc>
      </w:tr>
      <w:tr w:rsidR="00807960" w:rsidRPr="000C6115" w:rsidTr="00807960">
        <w:tc>
          <w:tcPr>
            <w:tcW w:w="1951" w:type="dxa"/>
            <w:shd w:val="clear" w:color="auto" w:fill="auto"/>
          </w:tcPr>
          <w:p w:rsidR="00807960" w:rsidRPr="000C6115" w:rsidRDefault="00807960" w:rsidP="00807960">
            <w:pPr>
              <w:spacing w:after="0"/>
              <w:jc w:val="center"/>
              <w:rPr>
                <w:rFonts w:ascii="Calibri" w:hAnsi="Calibri" w:cs="Arial"/>
              </w:rPr>
            </w:pPr>
            <w:r w:rsidRPr="00807960">
              <w:rPr>
                <w:rFonts w:cstheme="minorHAnsi"/>
              </w:rPr>
              <w:t xml:space="preserve">1. Regulation should remain as is </w:t>
            </w:r>
            <w:r w:rsidRPr="00807960">
              <w:rPr>
                <w:rFonts w:cstheme="minorHAnsi"/>
              </w:rPr>
              <w:lastRenderedPageBreak/>
              <w:t>(</w:t>
            </w:r>
            <w:r w:rsidRPr="00807960">
              <w:rPr>
                <w:rFonts w:cstheme="minorHAnsi"/>
                <w:b/>
              </w:rPr>
              <w:t>Renew</w:t>
            </w:r>
            <w:r w:rsidRPr="00807960">
              <w:rPr>
                <w:rFonts w:cstheme="minorHAnsi"/>
              </w:rPr>
              <w:t>)</w:t>
            </w:r>
          </w:p>
        </w:tc>
        <w:tc>
          <w:tcPr>
            <w:tcW w:w="6946" w:type="dxa"/>
            <w:shd w:val="clear" w:color="auto" w:fill="auto"/>
          </w:tcPr>
          <w:p w:rsidR="00807960" w:rsidRPr="00807960" w:rsidRDefault="00807960" w:rsidP="00807960">
            <w:pPr>
              <w:spacing w:after="0"/>
              <w:rPr>
                <w:rFonts w:cstheme="minorHAnsi"/>
              </w:rPr>
            </w:pPr>
            <w:r w:rsidRPr="00807960">
              <w:rPr>
                <w:rFonts w:cstheme="minorHAnsi"/>
              </w:rPr>
              <w:lastRenderedPageBreak/>
              <w:t>Q1: To what extent is the existing regulation working?</w:t>
            </w:r>
          </w:p>
          <w:p w:rsidR="00807960" w:rsidRPr="00807960" w:rsidRDefault="00807960" w:rsidP="00807960">
            <w:pPr>
              <w:pStyle w:val="ListParagraph"/>
              <w:numPr>
                <w:ilvl w:val="0"/>
                <w:numId w:val="22"/>
              </w:numPr>
              <w:rPr>
                <w:rFonts w:asciiTheme="minorHAnsi" w:hAnsiTheme="minorHAnsi" w:cstheme="minorHAnsi"/>
                <w:sz w:val="22"/>
                <w:szCs w:val="22"/>
              </w:rPr>
            </w:pPr>
            <w:r w:rsidRPr="00807960">
              <w:rPr>
                <w:rFonts w:asciiTheme="minorHAnsi" w:hAnsiTheme="minorHAnsi" w:cstheme="minorHAnsi"/>
                <w:sz w:val="22"/>
                <w:szCs w:val="22"/>
              </w:rPr>
              <w:t>The policy is on course to achieve most or all of its objectives and key success criteria have been met</w:t>
            </w:r>
          </w:p>
          <w:p w:rsidR="00807960" w:rsidRPr="00807960" w:rsidRDefault="00807960" w:rsidP="00807960">
            <w:pPr>
              <w:pStyle w:val="ListParagraph"/>
              <w:numPr>
                <w:ilvl w:val="0"/>
                <w:numId w:val="22"/>
              </w:numPr>
              <w:rPr>
                <w:rFonts w:asciiTheme="minorHAnsi" w:hAnsiTheme="minorHAnsi" w:cstheme="minorHAnsi"/>
                <w:sz w:val="22"/>
                <w:szCs w:val="22"/>
              </w:rPr>
            </w:pPr>
            <w:r w:rsidRPr="00807960">
              <w:rPr>
                <w:rFonts w:asciiTheme="minorHAnsi" w:hAnsiTheme="minorHAnsi" w:cstheme="minorHAnsi"/>
                <w:sz w:val="22"/>
                <w:szCs w:val="22"/>
              </w:rPr>
              <w:lastRenderedPageBreak/>
              <w:t>Costs have been proportionate to benefits</w:t>
            </w:r>
          </w:p>
          <w:p w:rsidR="00807960" w:rsidRPr="00807960" w:rsidRDefault="00807960" w:rsidP="00807960">
            <w:pPr>
              <w:pStyle w:val="ListParagraph"/>
              <w:rPr>
                <w:rFonts w:asciiTheme="minorHAnsi" w:hAnsiTheme="minorHAnsi" w:cstheme="minorHAnsi"/>
                <w:sz w:val="22"/>
                <w:szCs w:val="22"/>
              </w:rPr>
            </w:pPr>
          </w:p>
          <w:p w:rsidR="00807960" w:rsidRPr="00807960" w:rsidRDefault="00807960" w:rsidP="00807960">
            <w:pPr>
              <w:spacing w:after="0"/>
              <w:rPr>
                <w:rFonts w:cstheme="minorHAnsi"/>
              </w:rPr>
            </w:pPr>
            <w:r w:rsidRPr="00807960">
              <w:rPr>
                <w:rFonts w:cstheme="minorHAnsi"/>
              </w:rPr>
              <w:t>Q2: Is government intervention still required?</w:t>
            </w:r>
          </w:p>
          <w:p w:rsidR="00807960" w:rsidRPr="00807960" w:rsidRDefault="00807960" w:rsidP="00807960">
            <w:pPr>
              <w:pStyle w:val="ListParagraph"/>
              <w:numPr>
                <w:ilvl w:val="0"/>
                <w:numId w:val="9"/>
              </w:numPr>
              <w:rPr>
                <w:rFonts w:asciiTheme="minorHAnsi" w:hAnsiTheme="minorHAnsi" w:cstheme="minorHAnsi"/>
                <w:sz w:val="22"/>
                <w:szCs w:val="22"/>
              </w:rPr>
            </w:pPr>
            <w:proofErr w:type="gramStart"/>
            <w:r w:rsidRPr="00807960">
              <w:rPr>
                <w:rFonts w:asciiTheme="minorHAnsi" w:hAnsiTheme="minorHAnsi" w:cstheme="minorHAnsi"/>
                <w:sz w:val="22"/>
                <w:szCs w:val="22"/>
              </w:rPr>
              <w:t>government</w:t>
            </w:r>
            <w:proofErr w:type="gramEnd"/>
            <w:r w:rsidRPr="00807960">
              <w:rPr>
                <w:rFonts w:asciiTheme="minorHAnsi" w:hAnsiTheme="minorHAnsi" w:cstheme="minorHAnsi"/>
                <w:sz w:val="22"/>
                <w:szCs w:val="22"/>
              </w:rPr>
              <w:t xml:space="preserve"> intervention is still required. (If the policy were withdrawn, the problem would return.) </w:t>
            </w:r>
          </w:p>
          <w:p w:rsidR="00807960" w:rsidRPr="00807960" w:rsidRDefault="00807960" w:rsidP="00807960">
            <w:pPr>
              <w:pStyle w:val="ListParagraph"/>
              <w:rPr>
                <w:rFonts w:asciiTheme="minorHAnsi" w:hAnsiTheme="minorHAnsi" w:cstheme="minorHAnsi"/>
                <w:sz w:val="22"/>
                <w:szCs w:val="22"/>
              </w:rPr>
            </w:pPr>
          </w:p>
          <w:p w:rsidR="00807960" w:rsidRPr="00807960" w:rsidRDefault="00807960" w:rsidP="00807960">
            <w:pPr>
              <w:spacing w:after="0"/>
              <w:rPr>
                <w:rFonts w:cstheme="minorHAnsi"/>
              </w:rPr>
            </w:pPr>
            <w:r w:rsidRPr="00807960">
              <w:rPr>
                <w:rFonts w:cstheme="minorHAnsi"/>
              </w:rPr>
              <w:t>Q3: Is the existing form of regulation still the most appropriate approach?</w:t>
            </w:r>
          </w:p>
          <w:p w:rsidR="00807960" w:rsidRPr="00807960" w:rsidRDefault="00807960" w:rsidP="00807960">
            <w:pPr>
              <w:pStyle w:val="ListParagraph"/>
              <w:numPr>
                <w:ilvl w:val="0"/>
                <w:numId w:val="9"/>
              </w:numPr>
              <w:rPr>
                <w:rFonts w:asciiTheme="minorHAnsi" w:hAnsiTheme="minorHAnsi" w:cstheme="minorHAnsi"/>
                <w:sz w:val="22"/>
                <w:szCs w:val="22"/>
              </w:rPr>
            </w:pPr>
            <w:r w:rsidRPr="00807960">
              <w:rPr>
                <w:rFonts w:asciiTheme="minorHAnsi" w:hAnsiTheme="minorHAnsi" w:cstheme="minorHAnsi"/>
                <w:sz w:val="22"/>
                <w:szCs w:val="22"/>
              </w:rPr>
              <w:t>compliance levels are sufficient to support achievement of objectives</w:t>
            </w:r>
          </w:p>
          <w:p w:rsidR="00807960" w:rsidRPr="000C6115" w:rsidRDefault="00807960" w:rsidP="00807960">
            <w:pPr>
              <w:numPr>
                <w:ilvl w:val="0"/>
                <w:numId w:val="27"/>
              </w:numPr>
              <w:spacing w:after="0"/>
              <w:contextualSpacing/>
              <w:rPr>
                <w:rFonts w:ascii="Calibri" w:hAnsi="Calibri"/>
              </w:rPr>
            </w:pPr>
            <w:r w:rsidRPr="00807960">
              <w:rPr>
                <w:rFonts w:cstheme="minorHAnsi"/>
              </w:rPr>
              <w:t>there are no alternatives that are less burdensome to business and/or overall</w:t>
            </w:r>
          </w:p>
        </w:tc>
      </w:tr>
      <w:tr w:rsidR="00807960" w:rsidRPr="000C6115" w:rsidTr="00807960">
        <w:tc>
          <w:tcPr>
            <w:tcW w:w="1951" w:type="dxa"/>
            <w:shd w:val="clear" w:color="auto" w:fill="auto"/>
          </w:tcPr>
          <w:p w:rsidR="00807960" w:rsidRPr="000C6115" w:rsidRDefault="00807960" w:rsidP="00807960">
            <w:pPr>
              <w:spacing w:after="0"/>
              <w:jc w:val="center"/>
              <w:rPr>
                <w:rFonts w:ascii="Calibri" w:hAnsi="Calibri" w:cs="Arial"/>
              </w:rPr>
            </w:pPr>
            <w:r w:rsidRPr="00807960">
              <w:rPr>
                <w:rFonts w:cstheme="minorHAnsi"/>
              </w:rPr>
              <w:lastRenderedPageBreak/>
              <w:t>2. Regulation should remain but implementation should be revised or improved (</w:t>
            </w:r>
            <w:r w:rsidRPr="00807960">
              <w:rPr>
                <w:rFonts w:cstheme="minorHAnsi"/>
                <w:b/>
              </w:rPr>
              <w:t>Amend</w:t>
            </w:r>
            <w:r w:rsidRPr="00807960">
              <w:rPr>
                <w:rFonts w:cstheme="minorHAnsi"/>
              </w:rPr>
              <w:t>)</w:t>
            </w:r>
          </w:p>
        </w:tc>
        <w:tc>
          <w:tcPr>
            <w:tcW w:w="6946" w:type="dxa"/>
            <w:shd w:val="clear" w:color="auto" w:fill="auto"/>
          </w:tcPr>
          <w:p w:rsidR="00807960" w:rsidRPr="00807960" w:rsidRDefault="00807960" w:rsidP="00807960">
            <w:pPr>
              <w:spacing w:after="0"/>
              <w:rPr>
                <w:rFonts w:cstheme="minorHAnsi"/>
              </w:rPr>
            </w:pPr>
            <w:r w:rsidRPr="00807960">
              <w:rPr>
                <w:rFonts w:cstheme="minorHAnsi"/>
              </w:rPr>
              <w:t>Q1: To what extent is the existing regulation working?</w:t>
            </w:r>
          </w:p>
          <w:p w:rsidR="00807960" w:rsidRPr="00807960" w:rsidRDefault="00807960" w:rsidP="00807960">
            <w:pPr>
              <w:pStyle w:val="ListParagraph"/>
              <w:numPr>
                <w:ilvl w:val="0"/>
                <w:numId w:val="23"/>
              </w:numPr>
              <w:rPr>
                <w:rFonts w:asciiTheme="minorHAnsi" w:hAnsiTheme="minorHAnsi" w:cstheme="minorHAnsi"/>
                <w:sz w:val="22"/>
                <w:szCs w:val="22"/>
              </w:rPr>
            </w:pPr>
            <w:r w:rsidRPr="00807960">
              <w:rPr>
                <w:rFonts w:asciiTheme="minorHAnsi" w:hAnsiTheme="minorHAnsi" w:cstheme="minorHAnsi"/>
                <w:sz w:val="22"/>
                <w:szCs w:val="22"/>
              </w:rPr>
              <w:t>The policy is achieving most or all of its objectives, and success criteria have been met</w:t>
            </w:r>
          </w:p>
          <w:p w:rsidR="00807960" w:rsidRPr="00807960" w:rsidRDefault="00807960" w:rsidP="00807960">
            <w:pPr>
              <w:pStyle w:val="ListParagraph"/>
              <w:rPr>
                <w:rFonts w:asciiTheme="minorHAnsi" w:hAnsiTheme="minorHAnsi" w:cstheme="minorHAnsi"/>
                <w:sz w:val="22"/>
                <w:szCs w:val="22"/>
              </w:rPr>
            </w:pPr>
          </w:p>
          <w:p w:rsidR="00807960" w:rsidRPr="00807960" w:rsidRDefault="00807960" w:rsidP="00807960">
            <w:pPr>
              <w:spacing w:after="0"/>
              <w:rPr>
                <w:rFonts w:cstheme="minorHAnsi"/>
              </w:rPr>
            </w:pPr>
            <w:r w:rsidRPr="00807960">
              <w:rPr>
                <w:rFonts w:cstheme="minorHAnsi"/>
              </w:rPr>
              <w:t>Q2: Is government intervention still required?</w:t>
            </w:r>
          </w:p>
          <w:p w:rsidR="00807960" w:rsidRPr="00807960" w:rsidRDefault="00807960" w:rsidP="00807960">
            <w:pPr>
              <w:pStyle w:val="ListParagraph"/>
              <w:numPr>
                <w:ilvl w:val="0"/>
                <w:numId w:val="9"/>
              </w:numPr>
              <w:rPr>
                <w:rFonts w:asciiTheme="minorHAnsi" w:hAnsiTheme="minorHAnsi" w:cstheme="minorHAnsi"/>
                <w:sz w:val="22"/>
                <w:szCs w:val="22"/>
              </w:rPr>
            </w:pPr>
            <w:proofErr w:type="gramStart"/>
            <w:r w:rsidRPr="00807960">
              <w:rPr>
                <w:rFonts w:asciiTheme="minorHAnsi" w:hAnsiTheme="minorHAnsi" w:cstheme="minorHAnsi"/>
                <w:sz w:val="22"/>
                <w:szCs w:val="22"/>
              </w:rPr>
              <w:t>government</w:t>
            </w:r>
            <w:proofErr w:type="gramEnd"/>
            <w:r w:rsidRPr="00807960">
              <w:rPr>
                <w:rFonts w:asciiTheme="minorHAnsi" w:hAnsiTheme="minorHAnsi" w:cstheme="minorHAnsi"/>
                <w:sz w:val="22"/>
                <w:szCs w:val="22"/>
              </w:rPr>
              <w:t xml:space="preserve"> intervention is still required. (If the policy were withdrawn, the problem would return.) </w:t>
            </w:r>
          </w:p>
          <w:p w:rsidR="00807960" w:rsidRPr="00807960" w:rsidRDefault="00807960" w:rsidP="00807960">
            <w:pPr>
              <w:spacing w:after="0"/>
              <w:rPr>
                <w:rFonts w:cstheme="minorHAnsi"/>
              </w:rPr>
            </w:pPr>
          </w:p>
          <w:p w:rsidR="00807960" w:rsidRPr="00807960" w:rsidRDefault="00807960" w:rsidP="00807960">
            <w:pPr>
              <w:spacing w:after="0"/>
              <w:rPr>
                <w:rFonts w:cstheme="minorHAnsi"/>
              </w:rPr>
            </w:pPr>
            <w:r w:rsidRPr="00807960">
              <w:rPr>
                <w:rFonts w:cstheme="minorHAnsi"/>
              </w:rPr>
              <w:t>Q3: Is the existing form of regulation still the most appropriate approach?</w:t>
            </w:r>
          </w:p>
          <w:p w:rsidR="00807960" w:rsidRPr="00807960" w:rsidRDefault="00807960" w:rsidP="00807960">
            <w:pPr>
              <w:spacing w:after="0"/>
              <w:rPr>
                <w:rFonts w:cstheme="minorHAnsi"/>
              </w:rPr>
            </w:pPr>
            <w:r w:rsidRPr="00807960">
              <w:rPr>
                <w:rFonts w:cstheme="minorHAnsi"/>
              </w:rPr>
              <w:t>Amendments could help to:</w:t>
            </w:r>
          </w:p>
          <w:p w:rsidR="00807960" w:rsidRPr="00807960" w:rsidRDefault="00807960" w:rsidP="00807960">
            <w:pPr>
              <w:pStyle w:val="ListParagraph"/>
              <w:numPr>
                <w:ilvl w:val="0"/>
                <w:numId w:val="9"/>
              </w:numPr>
              <w:rPr>
                <w:rFonts w:asciiTheme="minorHAnsi" w:hAnsiTheme="minorHAnsi" w:cstheme="minorHAnsi"/>
                <w:sz w:val="22"/>
                <w:szCs w:val="22"/>
              </w:rPr>
            </w:pPr>
            <w:r w:rsidRPr="00807960">
              <w:rPr>
                <w:rFonts w:asciiTheme="minorHAnsi" w:hAnsiTheme="minorHAnsi" w:cstheme="minorHAnsi"/>
                <w:sz w:val="22"/>
                <w:szCs w:val="22"/>
              </w:rPr>
              <w:t xml:space="preserve">achieve further benefits </w:t>
            </w:r>
          </w:p>
          <w:p w:rsidR="00807960" w:rsidRPr="00807960" w:rsidRDefault="00807960" w:rsidP="00807960">
            <w:pPr>
              <w:pStyle w:val="ListParagraph"/>
              <w:numPr>
                <w:ilvl w:val="0"/>
                <w:numId w:val="10"/>
              </w:numPr>
              <w:rPr>
                <w:rFonts w:asciiTheme="minorHAnsi" w:hAnsiTheme="minorHAnsi" w:cstheme="minorHAnsi"/>
                <w:sz w:val="22"/>
                <w:szCs w:val="22"/>
              </w:rPr>
            </w:pPr>
            <w:r w:rsidRPr="00807960">
              <w:rPr>
                <w:rFonts w:asciiTheme="minorHAnsi" w:hAnsiTheme="minorHAnsi" w:cstheme="minorHAnsi"/>
                <w:sz w:val="22"/>
                <w:szCs w:val="22"/>
              </w:rPr>
              <w:t>reduce costs or burdens on business and/or overall</w:t>
            </w:r>
          </w:p>
          <w:p w:rsidR="00807960" w:rsidRPr="00807960" w:rsidRDefault="00807960" w:rsidP="00807960">
            <w:pPr>
              <w:pStyle w:val="ListParagraph"/>
              <w:numPr>
                <w:ilvl w:val="0"/>
                <w:numId w:val="10"/>
              </w:numPr>
              <w:rPr>
                <w:rFonts w:asciiTheme="minorHAnsi" w:hAnsiTheme="minorHAnsi" w:cstheme="minorHAnsi"/>
                <w:sz w:val="22"/>
                <w:szCs w:val="22"/>
              </w:rPr>
            </w:pPr>
            <w:r w:rsidRPr="00807960">
              <w:rPr>
                <w:rFonts w:asciiTheme="minorHAnsi" w:hAnsiTheme="minorHAnsi" w:cstheme="minorHAnsi"/>
                <w:sz w:val="22"/>
                <w:szCs w:val="22"/>
              </w:rPr>
              <w:t xml:space="preserve">simplify the implementation processes </w:t>
            </w:r>
          </w:p>
          <w:p w:rsidR="00807960" w:rsidRPr="00807960" w:rsidRDefault="00807960" w:rsidP="00807960">
            <w:pPr>
              <w:pStyle w:val="ListParagraph"/>
              <w:numPr>
                <w:ilvl w:val="0"/>
                <w:numId w:val="10"/>
              </w:numPr>
              <w:rPr>
                <w:rFonts w:asciiTheme="minorHAnsi" w:hAnsiTheme="minorHAnsi" w:cstheme="minorHAnsi"/>
                <w:sz w:val="22"/>
                <w:szCs w:val="22"/>
              </w:rPr>
            </w:pPr>
            <w:r w:rsidRPr="00807960">
              <w:rPr>
                <w:rFonts w:asciiTheme="minorHAnsi" w:hAnsiTheme="minorHAnsi" w:cstheme="minorHAnsi"/>
                <w:sz w:val="22"/>
                <w:szCs w:val="22"/>
              </w:rPr>
              <w:t>improve compliance</w:t>
            </w:r>
          </w:p>
          <w:p w:rsidR="00807960" w:rsidRPr="000C6115" w:rsidRDefault="00807960" w:rsidP="00807960">
            <w:pPr>
              <w:numPr>
                <w:ilvl w:val="0"/>
                <w:numId w:val="27"/>
              </w:numPr>
              <w:spacing w:after="0"/>
              <w:contextualSpacing/>
              <w:rPr>
                <w:rFonts w:ascii="Calibri" w:hAnsi="Calibri" w:cs="Arial"/>
              </w:rPr>
            </w:pPr>
            <w:r w:rsidRPr="00807960">
              <w:rPr>
                <w:rFonts w:cstheme="minorHAnsi"/>
              </w:rPr>
              <w:t xml:space="preserve">reduce unintended or negative effects  </w:t>
            </w:r>
          </w:p>
        </w:tc>
      </w:tr>
      <w:tr w:rsidR="00807960" w:rsidRPr="000C6115" w:rsidTr="00807960">
        <w:tc>
          <w:tcPr>
            <w:tcW w:w="1951" w:type="dxa"/>
            <w:shd w:val="clear" w:color="auto" w:fill="auto"/>
          </w:tcPr>
          <w:p w:rsidR="00807960" w:rsidRPr="00807960" w:rsidRDefault="00807960" w:rsidP="00807960">
            <w:pPr>
              <w:spacing w:after="0"/>
              <w:rPr>
                <w:rFonts w:cstheme="minorHAnsi"/>
              </w:rPr>
            </w:pPr>
            <w:r w:rsidRPr="00807960">
              <w:rPr>
                <w:rFonts w:cstheme="minorHAnsi"/>
              </w:rPr>
              <w:t>3. Regulation should be removed without replacement</w:t>
            </w:r>
          </w:p>
          <w:p w:rsidR="00807960" w:rsidRPr="00807960" w:rsidRDefault="00807960" w:rsidP="00807960">
            <w:pPr>
              <w:spacing w:after="0"/>
              <w:rPr>
                <w:rFonts w:cstheme="minorHAnsi"/>
                <w:b/>
              </w:rPr>
            </w:pPr>
            <w:r w:rsidRPr="00807960">
              <w:rPr>
                <w:rFonts w:cstheme="minorHAnsi"/>
              </w:rPr>
              <w:t>(</w:t>
            </w:r>
            <w:r w:rsidRPr="00807960">
              <w:rPr>
                <w:rFonts w:cstheme="minorHAnsi"/>
                <w:b/>
              </w:rPr>
              <w:t>Remove or Expire</w:t>
            </w:r>
            <w:r w:rsidRPr="00807960">
              <w:rPr>
                <w:rFonts w:cstheme="minorHAnsi"/>
              </w:rPr>
              <w:t xml:space="preserve">) </w:t>
            </w:r>
          </w:p>
          <w:p w:rsidR="00807960" w:rsidRPr="000C6115" w:rsidRDefault="00807960" w:rsidP="00807960">
            <w:pPr>
              <w:spacing w:after="0"/>
              <w:jc w:val="center"/>
              <w:rPr>
                <w:rFonts w:ascii="Calibri" w:hAnsi="Calibri" w:cs="Arial"/>
              </w:rPr>
            </w:pPr>
          </w:p>
        </w:tc>
        <w:tc>
          <w:tcPr>
            <w:tcW w:w="6946" w:type="dxa"/>
            <w:shd w:val="clear" w:color="auto" w:fill="auto"/>
          </w:tcPr>
          <w:p w:rsidR="00807960" w:rsidRPr="00807960" w:rsidRDefault="00807960" w:rsidP="00807960">
            <w:pPr>
              <w:spacing w:after="0"/>
              <w:rPr>
                <w:rFonts w:cstheme="minorHAnsi"/>
              </w:rPr>
            </w:pPr>
            <w:r w:rsidRPr="00807960">
              <w:rPr>
                <w:rFonts w:cstheme="minorHAnsi"/>
                <w:i/>
              </w:rPr>
              <w:t>One or both of the following applies</w:t>
            </w:r>
            <w:r w:rsidRPr="00807960">
              <w:rPr>
                <w:rFonts w:cstheme="minorHAnsi"/>
              </w:rPr>
              <w:t>:</w:t>
            </w:r>
          </w:p>
          <w:p w:rsidR="00807960" w:rsidRPr="00807960" w:rsidRDefault="00807960" w:rsidP="00807960">
            <w:pPr>
              <w:numPr>
                <w:ilvl w:val="0"/>
                <w:numId w:val="12"/>
              </w:numPr>
              <w:spacing w:after="0" w:line="240" w:lineRule="auto"/>
              <w:contextualSpacing/>
              <w:rPr>
                <w:rFonts w:eastAsia="Arial" w:cstheme="minorHAnsi"/>
              </w:rPr>
            </w:pPr>
            <w:r w:rsidRPr="00807960">
              <w:rPr>
                <w:rFonts w:eastAsia="Arial" w:cstheme="minorHAnsi"/>
              </w:rPr>
              <w:t>The policy is not, or is no longer</w:t>
            </w:r>
            <w:r w:rsidR="000F3F1C">
              <w:rPr>
                <w:rFonts w:eastAsia="Arial" w:cstheme="minorHAnsi"/>
              </w:rPr>
              <w:t>,</w:t>
            </w:r>
            <w:r w:rsidRPr="00807960">
              <w:rPr>
                <w:rFonts w:eastAsia="Arial" w:cstheme="minorHAnsi"/>
              </w:rPr>
              <w:t xml:space="preserve"> achieving most of its objectives or key success criteria [Q1]</w:t>
            </w:r>
          </w:p>
          <w:p w:rsidR="00807960" w:rsidRPr="00807960" w:rsidRDefault="00807960" w:rsidP="00807960">
            <w:pPr>
              <w:numPr>
                <w:ilvl w:val="0"/>
                <w:numId w:val="12"/>
              </w:numPr>
              <w:spacing w:after="0" w:line="240" w:lineRule="auto"/>
              <w:contextualSpacing/>
              <w:rPr>
                <w:rFonts w:eastAsia="Arial" w:cstheme="minorHAnsi"/>
              </w:rPr>
            </w:pPr>
            <w:r w:rsidRPr="00807960">
              <w:rPr>
                <w:rFonts w:eastAsia="Arial" w:cstheme="minorHAnsi"/>
              </w:rPr>
              <w:t>costs are disproportionate compared to benefits [Q1]</w:t>
            </w:r>
          </w:p>
          <w:p w:rsidR="00807960" w:rsidRPr="00807960" w:rsidRDefault="00807960" w:rsidP="00807960">
            <w:pPr>
              <w:spacing w:after="0" w:line="240" w:lineRule="auto"/>
              <w:contextualSpacing/>
              <w:rPr>
                <w:rFonts w:eastAsia="Arial" w:cstheme="minorHAnsi"/>
              </w:rPr>
            </w:pPr>
          </w:p>
          <w:p w:rsidR="00807960" w:rsidRPr="00807960" w:rsidRDefault="00807960" w:rsidP="00807960">
            <w:pPr>
              <w:spacing w:after="0"/>
              <w:rPr>
                <w:rFonts w:cstheme="minorHAnsi"/>
              </w:rPr>
            </w:pPr>
            <w:r w:rsidRPr="00807960">
              <w:rPr>
                <w:rFonts w:cstheme="minorHAnsi"/>
                <w:i/>
                <w:u w:val="single"/>
              </w:rPr>
              <w:t>AND</w:t>
            </w:r>
            <w:r w:rsidRPr="00807960">
              <w:rPr>
                <w:rFonts w:cstheme="minorHAnsi"/>
                <w:i/>
              </w:rPr>
              <w:t xml:space="preserve"> one of the following applies</w:t>
            </w:r>
            <w:r w:rsidRPr="00807960">
              <w:rPr>
                <w:rFonts w:cstheme="minorHAnsi"/>
              </w:rPr>
              <w:t>:</w:t>
            </w:r>
          </w:p>
          <w:p w:rsidR="00807960" w:rsidRPr="00807960" w:rsidRDefault="00807960" w:rsidP="00807960">
            <w:pPr>
              <w:pStyle w:val="ListParagraph"/>
              <w:numPr>
                <w:ilvl w:val="0"/>
                <w:numId w:val="24"/>
              </w:numPr>
              <w:rPr>
                <w:rFonts w:asciiTheme="minorHAnsi" w:hAnsiTheme="minorHAnsi" w:cstheme="minorHAnsi"/>
                <w:sz w:val="22"/>
                <w:szCs w:val="22"/>
              </w:rPr>
            </w:pPr>
            <w:r w:rsidRPr="00807960">
              <w:rPr>
                <w:rFonts w:asciiTheme="minorHAnsi" w:hAnsiTheme="minorHAnsi" w:cstheme="minorHAnsi"/>
                <w:sz w:val="22"/>
                <w:szCs w:val="22"/>
              </w:rPr>
              <w:t xml:space="preserve">Government intervention is no longer required (the original policy objectives are no longer relevant </w:t>
            </w:r>
            <w:r w:rsidRPr="00807960">
              <w:rPr>
                <w:rFonts w:asciiTheme="minorHAnsi" w:hAnsiTheme="minorHAnsi" w:cstheme="minorHAnsi"/>
                <w:sz w:val="22"/>
                <w:szCs w:val="22"/>
                <w:u w:val="single"/>
              </w:rPr>
              <w:t>or</w:t>
            </w:r>
            <w:r w:rsidRPr="00807960">
              <w:rPr>
                <w:rFonts w:asciiTheme="minorHAnsi" w:hAnsiTheme="minorHAnsi" w:cstheme="minorHAnsi"/>
                <w:sz w:val="22"/>
                <w:szCs w:val="22"/>
              </w:rPr>
              <w:t xml:space="preserve"> it is clear that if the intervention was withdrawn the problem would not return)  [Q2]</w:t>
            </w:r>
          </w:p>
          <w:p w:rsidR="00807960" w:rsidRPr="00807960" w:rsidRDefault="00807960" w:rsidP="00807960">
            <w:pPr>
              <w:pStyle w:val="ListParagraph"/>
              <w:numPr>
                <w:ilvl w:val="0"/>
                <w:numId w:val="24"/>
              </w:numPr>
              <w:rPr>
                <w:rFonts w:asciiTheme="minorHAnsi" w:hAnsiTheme="minorHAnsi" w:cstheme="minorHAnsi"/>
                <w:sz w:val="22"/>
                <w:szCs w:val="22"/>
              </w:rPr>
            </w:pPr>
            <w:r w:rsidRPr="00807960">
              <w:rPr>
                <w:rFonts w:asciiTheme="minorHAnsi" w:hAnsiTheme="minorHAnsi" w:cstheme="minorHAnsi"/>
                <w:sz w:val="22"/>
                <w:szCs w:val="22"/>
              </w:rPr>
              <w:t>compliance levels are insufficient to support achievement of its objectives and are unlikely to be improved [Q3]</w:t>
            </w:r>
          </w:p>
          <w:p w:rsidR="00807960" w:rsidRPr="000C6115" w:rsidRDefault="00807960" w:rsidP="00807960">
            <w:pPr>
              <w:numPr>
                <w:ilvl w:val="0"/>
                <w:numId w:val="27"/>
              </w:numPr>
              <w:spacing w:after="0"/>
              <w:contextualSpacing/>
              <w:rPr>
                <w:rFonts w:ascii="Calibri" w:hAnsi="Calibri" w:cs="Arial"/>
              </w:rPr>
            </w:pPr>
            <w:r w:rsidRPr="00807960">
              <w:rPr>
                <w:rFonts w:cstheme="minorHAnsi"/>
              </w:rPr>
              <w:t>alternatives to regulation can now be considered to achieve the objectives [Q3]</w:t>
            </w:r>
          </w:p>
        </w:tc>
      </w:tr>
      <w:tr w:rsidR="00807960" w:rsidRPr="000C6115" w:rsidTr="00807960">
        <w:tc>
          <w:tcPr>
            <w:tcW w:w="1951" w:type="dxa"/>
            <w:shd w:val="clear" w:color="auto" w:fill="auto"/>
          </w:tcPr>
          <w:p w:rsidR="00807960" w:rsidRPr="00807960" w:rsidRDefault="00807960" w:rsidP="00807960">
            <w:pPr>
              <w:spacing w:after="0"/>
              <w:rPr>
                <w:rFonts w:cstheme="minorHAnsi"/>
              </w:rPr>
            </w:pPr>
            <w:r w:rsidRPr="00807960">
              <w:rPr>
                <w:rFonts w:cstheme="minorHAnsi"/>
              </w:rPr>
              <w:t>4. Regulation should be replaced or redesigned (</w:t>
            </w:r>
            <w:r w:rsidRPr="00807960">
              <w:rPr>
                <w:rFonts w:cstheme="minorHAnsi"/>
                <w:b/>
              </w:rPr>
              <w:t>Replace</w:t>
            </w:r>
            <w:r w:rsidRPr="00807960">
              <w:rPr>
                <w:rFonts w:cstheme="minorHAnsi"/>
              </w:rPr>
              <w:t>)</w:t>
            </w:r>
          </w:p>
        </w:tc>
        <w:tc>
          <w:tcPr>
            <w:tcW w:w="6946" w:type="dxa"/>
            <w:shd w:val="clear" w:color="auto" w:fill="auto"/>
          </w:tcPr>
          <w:p w:rsidR="00807960" w:rsidRPr="00807960" w:rsidRDefault="00807960" w:rsidP="00807960">
            <w:pPr>
              <w:spacing w:after="0"/>
              <w:rPr>
                <w:rFonts w:cstheme="minorHAnsi"/>
              </w:rPr>
            </w:pPr>
            <w:r w:rsidRPr="00807960">
              <w:rPr>
                <w:rFonts w:cstheme="minorHAnsi"/>
                <w:i/>
              </w:rPr>
              <w:t>One of the following applies</w:t>
            </w:r>
            <w:r w:rsidRPr="00807960">
              <w:rPr>
                <w:rFonts w:cstheme="minorHAnsi"/>
              </w:rPr>
              <w:t>:</w:t>
            </w:r>
          </w:p>
          <w:p w:rsidR="00807960" w:rsidRPr="00807960" w:rsidRDefault="00807960" w:rsidP="00807960">
            <w:pPr>
              <w:numPr>
                <w:ilvl w:val="0"/>
                <w:numId w:val="12"/>
              </w:numPr>
              <w:spacing w:after="0" w:line="240" w:lineRule="auto"/>
              <w:contextualSpacing/>
              <w:rPr>
                <w:rFonts w:eastAsia="Arial" w:cstheme="minorHAnsi"/>
              </w:rPr>
            </w:pPr>
            <w:r w:rsidRPr="00807960">
              <w:rPr>
                <w:rFonts w:eastAsia="Arial" w:cstheme="minorHAnsi"/>
              </w:rPr>
              <w:t>The policy is not, or is no longer</w:t>
            </w:r>
            <w:r w:rsidR="000F3F1C">
              <w:rPr>
                <w:rFonts w:eastAsia="Arial" w:cstheme="minorHAnsi"/>
              </w:rPr>
              <w:t>,</w:t>
            </w:r>
            <w:r w:rsidRPr="00807960">
              <w:rPr>
                <w:rFonts w:eastAsia="Arial" w:cstheme="minorHAnsi"/>
              </w:rPr>
              <w:t xml:space="preserve"> achieving most of its objectives or key success criteria [Q1]</w:t>
            </w:r>
          </w:p>
          <w:p w:rsidR="00807960" w:rsidRPr="00807960" w:rsidRDefault="00807960" w:rsidP="00807960">
            <w:pPr>
              <w:numPr>
                <w:ilvl w:val="0"/>
                <w:numId w:val="12"/>
              </w:numPr>
              <w:spacing w:after="0" w:line="240" w:lineRule="auto"/>
              <w:contextualSpacing/>
              <w:rPr>
                <w:rFonts w:eastAsia="Arial" w:cstheme="minorHAnsi"/>
              </w:rPr>
            </w:pPr>
            <w:r w:rsidRPr="00807960">
              <w:rPr>
                <w:rFonts w:eastAsia="Arial" w:cstheme="minorHAnsi"/>
              </w:rPr>
              <w:t>costs are disproportionate compared to benefits [Q1]</w:t>
            </w:r>
          </w:p>
          <w:p w:rsidR="00807960" w:rsidRPr="00807960" w:rsidRDefault="00807960" w:rsidP="00807960">
            <w:pPr>
              <w:pStyle w:val="ListParagraph"/>
              <w:numPr>
                <w:ilvl w:val="0"/>
                <w:numId w:val="24"/>
              </w:numPr>
              <w:rPr>
                <w:rFonts w:asciiTheme="minorHAnsi" w:hAnsiTheme="minorHAnsi" w:cstheme="minorHAnsi"/>
                <w:sz w:val="22"/>
                <w:szCs w:val="22"/>
              </w:rPr>
            </w:pPr>
            <w:r w:rsidRPr="00807960">
              <w:rPr>
                <w:rFonts w:asciiTheme="minorHAnsi" w:hAnsiTheme="minorHAnsi" w:cstheme="minorHAnsi"/>
                <w:sz w:val="22"/>
                <w:szCs w:val="22"/>
              </w:rPr>
              <w:t>compliance levels are insufficient to support achievement of its objectives and are unlikely to be improved [Q3]</w:t>
            </w:r>
          </w:p>
          <w:p w:rsidR="00807960" w:rsidRPr="00807960" w:rsidRDefault="00807960" w:rsidP="00807960">
            <w:pPr>
              <w:spacing w:after="0"/>
              <w:rPr>
                <w:rFonts w:cstheme="minorHAnsi"/>
              </w:rPr>
            </w:pPr>
          </w:p>
          <w:p w:rsidR="00807960" w:rsidRPr="00807960" w:rsidRDefault="00807960" w:rsidP="00807960">
            <w:pPr>
              <w:spacing w:after="0"/>
              <w:rPr>
                <w:rFonts w:cstheme="minorHAnsi"/>
                <w:i/>
              </w:rPr>
            </w:pPr>
            <w:r w:rsidRPr="00807960">
              <w:rPr>
                <w:rFonts w:cstheme="minorHAnsi"/>
                <w:i/>
                <w:u w:val="single"/>
              </w:rPr>
              <w:t>AND</w:t>
            </w:r>
            <w:r w:rsidRPr="00807960">
              <w:rPr>
                <w:rFonts w:cstheme="minorHAnsi"/>
                <w:i/>
              </w:rPr>
              <w:t xml:space="preserve">: </w:t>
            </w:r>
          </w:p>
          <w:p w:rsidR="00807960" w:rsidRPr="00807960" w:rsidRDefault="00807960" w:rsidP="00807960">
            <w:pPr>
              <w:pStyle w:val="ListParagraph"/>
              <w:numPr>
                <w:ilvl w:val="0"/>
                <w:numId w:val="24"/>
              </w:numPr>
              <w:rPr>
                <w:rFonts w:asciiTheme="minorHAnsi" w:hAnsiTheme="minorHAnsi" w:cstheme="minorHAnsi"/>
                <w:sz w:val="22"/>
                <w:szCs w:val="22"/>
              </w:rPr>
            </w:pPr>
            <w:r w:rsidRPr="00807960">
              <w:rPr>
                <w:rFonts w:asciiTheme="minorHAnsi" w:hAnsiTheme="minorHAnsi" w:cstheme="minorHAnsi"/>
                <w:sz w:val="22"/>
                <w:szCs w:val="22"/>
              </w:rPr>
              <w:lastRenderedPageBreak/>
              <w:t>Government intervention is still required to address the problem [Q2]</w:t>
            </w:r>
          </w:p>
          <w:p w:rsidR="00807960" w:rsidRPr="00807960" w:rsidRDefault="00807960" w:rsidP="00807960">
            <w:pPr>
              <w:pStyle w:val="ListParagraph"/>
              <w:rPr>
                <w:rFonts w:asciiTheme="minorHAnsi" w:hAnsiTheme="minorHAnsi" w:cstheme="minorHAnsi"/>
                <w:sz w:val="22"/>
                <w:szCs w:val="22"/>
              </w:rPr>
            </w:pPr>
          </w:p>
          <w:p w:rsidR="00807960" w:rsidRPr="00807960" w:rsidRDefault="00807960" w:rsidP="00807960">
            <w:pPr>
              <w:spacing w:after="0"/>
              <w:rPr>
                <w:rFonts w:cstheme="minorHAnsi"/>
                <w:i/>
              </w:rPr>
            </w:pPr>
            <w:r w:rsidRPr="00807960">
              <w:rPr>
                <w:rFonts w:cstheme="minorHAnsi"/>
                <w:i/>
                <w:u w:val="single"/>
              </w:rPr>
              <w:t>AND</w:t>
            </w:r>
            <w:r w:rsidRPr="00807960">
              <w:rPr>
                <w:rFonts w:cstheme="minorHAnsi"/>
                <w:i/>
              </w:rPr>
              <w:t xml:space="preserve">: </w:t>
            </w:r>
            <w:r w:rsidRPr="00807960">
              <w:rPr>
                <w:rFonts w:cstheme="minorHAnsi"/>
              </w:rPr>
              <w:t>The same or better performance could be achieved using a regulation</w:t>
            </w:r>
            <w:r w:rsidRPr="00807960">
              <w:rPr>
                <w:rFonts w:cstheme="minorHAnsi"/>
                <w:b/>
              </w:rPr>
              <w:t xml:space="preserve"> </w:t>
            </w:r>
            <w:r w:rsidRPr="00807960">
              <w:rPr>
                <w:rFonts w:cstheme="minorHAnsi"/>
              </w:rPr>
              <w:t xml:space="preserve">or alternative to regulation, which: </w:t>
            </w:r>
          </w:p>
          <w:p w:rsidR="00807960" w:rsidRPr="00807960" w:rsidRDefault="00807960" w:rsidP="00807960">
            <w:pPr>
              <w:pStyle w:val="ListParagraph"/>
              <w:numPr>
                <w:ilvl w:val="0"/>
                <w:numId w:val="15"/>
              </w:numPr>
              <w:rPr>
                <w:rFonts w:asciiTheme="minorHAnsi" w:hAnsiTheme="minorHAnsi" w:cstheme="minorHAnsi"/>
                <w:sz w:val="22"/>
                <w:szCs w:val="22"/>
              </w:rPr>
            </w:pPr>
            <w:r w:rsidRPr="00807960">
              <w:rPr>
                <w:rFonts w:asciiTheme="minorHAnsi" w:hAnsiTheme="minorHAnsi" w:cstheme="minorHAnsi"/>
                <w:sz w:val="22"/>
                <w:szCs w:val="22"/>
              </w:rPr>
              <w:t>costs less [Q3]</w:t>
            </w:r>
          </w:p>
          <w:p w:rsidR="00807960" w:rsidRPr="00807960" w:rsidRDefault="00807960" w:rsidP="00807960">
            <w:pPr>
              <w:pStyle w:val="ListParagraph"/>
              <w:numPr>
                <w:ilvl w:val="0"/>
                <w:numId w:val="15"/>
              </w:numPr>
              <w:rPr>
                <w:rFonts w:asciiTheme="minorHAnsi" w:hAnsiTheme="minorHAnsi" w:cstheme="minorHAnsi"/>
                <w:sz w:val="22"/>
                <w:szCs w:val="22"/>
              </w:rPr>
            </w:pPr>
            <w:r w:rsidRPr="00807960">
              <w:rPr>
                <w:rFonts w:asciiTheme="minorHAnsi" w:hAnsiTheme="minorHAnsi" w:cstheme="minorHAnsi"/>
                <w:sz w:val="22"/>
                <w:szCs w:val="22"/>
              </w:rPr>
              <w:t>creates less burden on business and/or overall [Q3]</w:t>
            </w:r>
          </w:p>
          <w:p w:rsidR="000F3F1C" w:rsidRPr="000F3F1C" w:rsidRDefault="00807960" w:rsidP="000F3F1C">
            <w:pPr>
              <w:pStyle w:val="ListParagraph"/>
              <w:numPr>
                <w:ilvl w:val="0"/>
                <w:numId w:val="15"/>
              </w:numPr>
              <w:rPr>
                <w:rFonts w:cstheme="minorHAnsi"/>
                <w:i/>
              </w:rPr>
            </w:pPr>
            <w:r w:rsidRPr="00807960">
              <w:rPr>
                <w:rFonts w:asciiTheme="minorHAnsi" w:hAnsiTheme="minorHAnsi" w:cstheme="minorHAnsi"/>
                <w:sz w:val="22"/>
                <w:szCs w:val="22"/>
              </w:rPr>
              <w:t>creates fewer negative impacts [Q3]</w:t>
            </w:r>
          </w:p>
          <w:p w:rsidR="00807960" w:rsidRPr="000F3F1C" w:rsidRDefault="00807960" w:rsidP="000F3F1C">
            <w:pPr>
              <w:pStyle w:val="ListParagraph"/>
              <w:numPr>
                <w:ilvl w:val="0"/>
                <w:numId w:val="15"/>
              </w:numPr>
              <w:rPr>
                <w:rFonts w:asciiTheme="minorHAnsi" w:hAnsiTheme="minorHAnsi" w:cstheme="minorHAnsi"/>
                <w:i/>
                <w:sz w:val="22"/>
                <w:szCs w:val="22"/>
              </w:rPr>
            </w:pPr>
            <w:r w:rsidRPr="000F3F1C">
              <w:rPr>
                <w:rFonts w:asciiTheme="minorHAnsi" w:hAnsiTheme="minorHAnsi" w:cstheme="minorHAnsi"/>
                <w:sz w:val="22"/>
                <w:szCs w:val="22"/>
              </w:rPr>
              <w:t>increases benefits [Q3]</w:t>
            </w:r>
          </w:p>
        </w:tc>
      </w:tr>
    </w:tbl>
    <w:p w:rsidR="00807960" w:rsidRDefault="00807960" w:rsidP="000005D1">
      <w:pPr>
        <w:pStyle w:val="ListParagraph"/>
        <w:spacing w:line="276" w:lineRule="auto"/>
        <w:rPr>
          <w:rFonts w:ascii="Calibri" w:hAnsi="Calibri" w:cs="Arial"/>
          <w:color w:val="000000"/>
        </w:rPr>
      </w:pPr>
    </w:p>
    <w:p w:rsidR="00200B57" w:rsidRPr="00807960" w:rsidRDefault="00200B57" w:rsidP="00200B57">
      <w:pPr>
        <w:autoSpaceDE w:val="0"/>
        <w:autoSpaceDN w:val="0"/>
        <w:adjustRightInd w:val="0"/>
        <w:spacing w:after="0" w:line="240" w:lineRule="auto"/>
        <w:rPr>
          <w:rFonts w:cstheme="minorHAnsi"/>
        </w:rPr>
      </w:pPr>
    </w:p>
    <w:p w:rsidR="005E3D74" w:rsidRPr="00807960" w:rsidRDefault="005E3D74" w:rsidP="00200B57">
      <w:pPr>
        <w:autoSpaceDE w:val="0"/>
        <w:autoSpaceDN w:val="0"/>
        <w:adjustRightInd w:val="0"/>
        <w:spacing w:after="0" w:line="240" w:lineRule="auto"/>
        <w:rPr>
          <w:rFonts w:cstheme="minorHAnsi"/>
          <w:color w:val="000000"/>
        </w:rPr>
      </w:pPr>
    </w:p>
    <w:p w:rsidR="00200B57" w:rsidRPr="00807960" w:rsidRDefault="00200B57" w:rsidP="00200B57">
      <w:pPr>
        <w:spacing w:after="0"/>
        <w:rPr>
          <w:rFonts w:cstheme="minorHAnsi"/>
          <w:i/>
        </w:rPr>
      </w:pPr>
    </w:p>
    <w:sectPr w:rsidR="00200B57" w:rsidRPr="008079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C9" w:rsidRDefault="002909C9" w:rsidP="00125470">
      <w:pPr>
        <w:spacing w:after="0" w:line="240" w:lineRule="auto"/>
      </w:pPr>
      <w:r>
        <w:separator/>
      </w:r>
    </w:p>
  </w:endnote>
  <w:endnote w:type="continuationSeparator" w:id="0">
    <w:p w:rsidR="002909C9" w:rsidRDefault="002909C9" w:rsidP="0012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C9" w:rsidRDefault="002909C9" w:rsidP="00125470">
      <w:pPr>
        <w:spacing w:after="0" w:line="240" w:lineRule="auto"/>
      </w:pPr>
      <w:r>
        <w:separator/>
      </w:r>
    </w:p>
  </w:footnote>
  <w:footnote w:type="continuationSeparator" w:id="0">
    <w:p w:rsidR="002909C9" w:rsidRDefault="002909C9" w:rsidP="00125470">
      <w:pPr>
        <w:spacing w:after="0" w:line="240" w:lineRule="auto"/>
      </w:pPr>
      <w:r>
        <w:continuationSeparator/>
      </w:r>
    </w:p>
  </w:footnote>
  <w:footnote w:id="1">
    <w:p w:rsidR="00240987" w:rsidRDefault="00240987">
      <w:pPr>
        <w:pStyle w:val="FootnoteText"/>
      </w:pPr>
      <w:r>
        <w:rPr>
          <w:rStyle w:val="FootnoteReference"/>
        </w:rPr>
        <w:footnoteRef/>
      </w:r>
      <w:r>
        <w:t xml:space="preserve"> </w:t>
      </w:r>
      <w:r w:rsidRPr="00F263B5">
        <w:rPr>
          <w:rFonts w:asciiTheme="minorHAnsi" w:hAnsiTheme="minorHAnsi" w:cstheme="minorHAnsi"/>
        </w:rPr>
        <w:t>Guide for Conducting Post Implementation Reviews, August 2015</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7B1"/>
    <w:multiLevelType w:val="hybridMultilevel"/>
    <w:tmpl w:val="DE8E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314A3"/>
    <w:multiLevelType w:val="multilevel"/>
    <w:tmpl w:val="151E9F20"/>
    <w:lvl w:ilvl="0">
      <w:start w:val="1"/>
      <w:numFmt w:val="decimal"/>
      <w:lvlText w:val="%1."/>
      <w:lvlJc w:val="left"/>
      <w:pPr>
        <w:ind w:left="720" w:hanging="360"/>
      </w:pPr>
      <w:rPr>
        <w:rFonts w:hint="default"/>
        <w:b/>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52F0A12"/>
    <w:multiLevelType w:val="hybridMultilevel"/>
    <w:tmpl w:val="F680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32781"/>
    <w:multiLevelType w:val="hybridMultilevel"/>
    <w:tmpl w:val="7B3C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75E6A"/>
    <w:multiLevelType w:val="hybridMultilevel"/>
    <w:tmpl w:val="9274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C12483"/>
    <w:multiLevelType w:val="hybridMultilevel"/>
    <w:tmpl w:val="D5DA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2753B"/>
    <w:multiLevelType w:val="hybridMultilevel"/>
    <w:tmpl w:val="B9C2FBA2"/>
    <w:lvl w:ilvl="0" w:tplc="ABC676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DC53F3"/>
    <w:multiLevelType w:val="hybridMultilevel"/>
    <w:tmpl w:val="2A5E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0F72D1"/>
    <w:multiLevelType w:val="hybridMultilevel"/>
    <w:tmpl w:val="BB50A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3E3C8E"/>
    <w:multiLevelType w:val="hybridMultilevel"/>
    <w:tmpl w:val="60C4DEE0"/>
    <w:lvl w:ilvl="0" w:tplc="4184DB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6C6665"/>
    <w:multiLevelType w:val="hybridMultilevel"/>
    <w:tmpl w:val="1800FA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976E60"/>
    <w:multiLevelType w:val="hybridMultilevel"/>
    <w:tmpl w:val="52F0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D01E03"/>
    <w:multiLevelType w:val="hybridMultilevel"/>
    <w:tmpl w:val="85C2090A"/>
    <w:lvl w:ilvl="0" w:tplc="8B62932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8EB59FD"/>
    <w:multiLevelType w:val="hybridMultilevel"/>
    <w:tmpl w:val="6A32A0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2C632B"/>
    <w:multiLevelType w:val="hybridMultilevel"/>
    <w:tmpl w:val="2A788C08"/>
    <w:lvl w:ilvl="0" w:tplc="B8D2C3B2">
      <w:start w:val="3"/>
      <w:numFmt w:val="bullet"/>
      <w:lvlText w:val="-"/>
      <w:lvlJc w:val="left"/>
      <w:pPr>
        <w:ind w:left="1440" w:hanging="360"/>
      </w:pPr>
      <w:rPr>
        <w:rFonts w:ascii="Calibri" w:eastAsia="Arial"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F380C11"/>
    <w:multiLevelType w:val="hybridMultilevel"/>
    <w:tmpl w:val="4FB4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1E0492"/>
    <w:multiLevelType w:val="hybridMultilevel"/>
    <w:tmpl w:val="B958E0C2"/>
    <w:lvl w:ilvl="0" w:tplc="37C01E46">
      <w:start w:val="1"/>
      <w:numFmt w:val="decimal"/>
      <w:lvlText w:val="%1."/>
      <w:lvlJc w:val="left"/>
      <w:pPr>
        <w:tabs>
          <w:tab w:val="num" w:pos="360"/>
        </w:tabs>
        <w:ind w:left="360" w:hanging="360"/>
      </w:pPr>
      <w:rPr>
        <w:rFonts w:asciiTheme="minorHAnsi" w:hAnsiTheme="minorHAnsi" w:cstheme="minorHAnsi" w:hint="default"/>
      </w:rPr>
    </w:lvl>
    <w:lvl w:ilvl="1" w:tplc="CBBA3ED0" w:tentative="1">
      <w:start w:val="1"/>
      <w:numFmt w:val="decimal"/>
      <w:lvlText w:val="%2."/>
      <w:lvlJc w:val="left"/>
      <w:pPr>
        <w:tabs>
          <w:tab w:val="num" w:pos="1440"/>
        </w:tabs>
        <w:ind w:left="1440" w:hanging="360"/>
      </w:pPr>
    </w:lvl>
    <w:lvl w:ilvl="2" w:tplc="31E8197E" w:tentative="1">
      <w:start w:val="1"/>
      <w:numFmt w:val="decimal"/>
      <w:lvlText w:val="%3."/>
      <w:lvlJc w:val="left"/>
      <w:pPr>
        <w:tabs>
          <w:tab w:val="num" w:pos="2160"/>
        </w:tabs>
        <w:ind w:left="2160" w:hanging="360"/>
      </w:pPr>
    </w:lvl>
    <w:lvl w:ilvl="3" w:tplc="66F688AC" w:tentative="1">
      <w:start w:val="1"/>
      <w:numFmt w:val="decimal"/>
      <w:lvlText w:val="%4."/>
      <w:lvlJc w:val="left"/>
      <w:pPr>
        <w:tabs>
          <w:tab w:val="num" w:pos="2880"/>
        </w:tabs>
        <w:ind w:left="2880" w:hanging="360"/>
      </w:pPr>
    </w:lvl>
    <w:lvl w:ilvl="4" w:tplc="CF4C0B2C" w:tentative="1">
      <w:start w:val="1"/>
      <w:numFmt w:val="decimal"/>
      <w:lvlText w:val="%5."/>
      <w:lvlJc w:val="left"/>
      <w:pPr>
        <w:tabs>
          <w:tab w:val="num" w:pos="3600"/>
        </w:tabs>
        <w:ind w:left="3600" w:hanging="360"/>
      </w:pPr>
    </w:lvl>
    <w:lvl w:ilvl="5" w:tplc="F094F25C" w:tentative="1">
      <w:start w:val="1"/>
      <w:numFmt w:val="decimal"/>
      <w:lvlText w:val="%6."/>
      <w:lvlJc w:val="left"/>
      <w:pPr>
        <w:tabs>
          <w:tab w:val="num" w:pos="4320"/>
        </w:tabs>
        <w:ind w:left="4320" w:hanging="360"/>
      </w:pPr>
    </w:lvl>
    <w:lvl w:ilvl="6" w:tplc="69488AF6" w:tentative="1">
      <w:start w:val="1"/>
      <w:numFmt w:val="decimal"/>
      <w:lvlText w:val="%7."/>
      <w:lvlJc w:val="left"/>
      <w:pPr>
        <w:tabs>
          <w:tab w:val="num" w:pos="5040"/>
        </w:tabs>
        <w:ind w:left="5040" w:hanging="360"/>
      </w:pPr>
    </w:lvl>
    <w:lvl w:ilvl="7" w:tplc="8BAE21CC" w:tentative="1">
      <w:start w:val="1"/>
      <w:numFmt w:val="decimal"/>
      <w:lvlText w:val="%8."/>
      <w:lvlJc w:val="left"/>
      <w:pPr>
        <w:tabs>
          <w:tab w:val="num" w:pos="5760"/>
        </w:tabs>
        <w:ind w:left="5760" w:hanging="360"/>
      </w:pPr>
    </w:lvl>
    <w:lvl w:ilvl="8" w:tplc="E152BDC6" w:tentative="1">
      <w:start w:val="1"/>
      <w:numFmt w:val="decimal"/>
      <w:lvlText w:val="%9."/>
      <w:lvlJc w:val="left"/>
      <w:pPr>
        <w:tabs>
          <w:tab w:val="num" w:pos="6480"/>
        </w:tabs>
        <w:ind w:left="6480" w:hanging="360"/>
      </w:pPr>
    </w:lvl>
  </w:abstractNum>
  <w:abstractNum w:abstractNumId="17">
    <w:nsid w:val="58841326"/>
    <w:multiLevelType w:val="hybridMultilevel"/>
    <w:tmpl w:val="4348A5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B30A7C"/>
    <w:multiLevelType w:val="hybridMultilevel"/>
    <w:tmpl w:val="F21E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206308"/>
    <w:multiLevelType w:val="hybridMultilevel"/>
    <w:tmpl w:val="C5EA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DE692A"/>
    <w:multiLevelType w:val="hybridMultilevel"/>
    <w:tmpl w:val="3438CB72"/>
    <w:lvl w:ilvl="0" w:tplc="D74610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565477"/>
    <w:multiLevelType w:val="hybridMultilevel"/>
    <w:tmpl w:val="392CDE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65FE2111"/>
    <w:multiLevelType w:val="hybridMultilevel"/>
    <w:tmpl w:val="61DCC3EC"/>
    <w:lvl w:ilvl="0" w:tplc="503466A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88B762F"/>
    <w:multiLevelType w:val="hybridMultilevel"/>
    <w:tmpl w:val="71BC947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8BC2FE7"/>
    <w:multiLevelType w:val="hybridMultilevel"/>
    <w:tmpl w:val="D0DE4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A4D560B"/>
    <w:multiLevelType w:val="hybridMultilevel"/>
    <w:tmpl w:val="D432FE4E"/>
    <w:lvl w:ilvl="0" w:tplc="5956D1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E100C0"/>
    <w:multiLevelType w:val="hybridMultilevel"/>
    <w:tmpl w:val="E354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172A29"/>
    <w:multiLevelType w:val="hybridMultilevel"/>
    <w:tmpl w:val="5B48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A8532A"/>
    <w:multiLevelType w:val="hybridMultilevel"/>
    <w:tmpl w:val="6C50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8D3B04"/>
    <w:multiLevelType w:val="hybridMultilevel"/>
    <w:tmpl w:val="A8F0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C4684"/>
    <w:multiLevelType w:val="hybridMultilevel"/>
    <w:tmpl w:val="EB50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6"/>
  </w:num>
  <w:num w:numId="4">
    <w:abstractNumId w:val="20"/>
  </w:num>
  <w:num w:numId="5">
    <w:abstractNumId w:val="1"/>
  </w:num>
  <w:num w:numId="6">
    <w:abstractNumId w:val="24"/>
  </w:num>
  <w:num w:numId="7">
    <w:abstractNumId w:val="27"/>
  </w:num>
  <w:num w:numId="8">
    <w:abstractNumId w:val="29"/>
  </w:num>
  <w:num w:numId="9">
    <w:abstractNumId w:val="3"/>
  </w:num>
  <w:num w:numId="10">
    <w:abstractNumId w:val="28"/>
  </w:num>
  <w:num w:numId="11">
    <w:abstractNumId w:val="11"/>
  </w:num>
  <w:num w:numId="12">
    <w:abstractNumId w:val="30"/>
  </w:num>
  <w:num w:numId="13">
    <w:abstractNumId w:val="4"/>
  </w:num>
  <w:num w:numId="14">
    <w:abstractNumId w:val="2"/>
  </w:num>
  <w:num w:numId="15">
    <w:abstractNumId w:val="19"/>
  </w:num>
  <w:num w:numId="16">
    <w:abstractNumId w:val="14"/>
  </w:num>
  <w:num w:numId="17">
    <w:abstractNumId w:val="21"/>
  </w:num>
  <w:num w:numId="18">
    <w:abstractNumId w:val="25"/>
  </w:num>
  <w:num w:numId="19">
    <w:abstractNumId w:val="16"/>
  </w:num>
  <w:num w:numId="20">
    <w:abstractNumId w:val="6"/>
  </w:num>
  <w:num w:numId="21">
    <w:abstractNumId w:val="9"/>
  </w:num>
  <w:num w:numId="22">
    <w:abstractNumId w:val="18"/>
  </w:num>
  <w:num w:numId="23">
    <w:abstractNumId w:val="0"/>
  </w:num>
  <w:num w:numId="24">
    <w:abstractNumId w:val="7"/>
  </w:num>
  <w:num w:numId="25">
    <w:abstractNumId w:val="22"/>
  </w:num>
  <w:num w:numId="26">
    <w:abstractNumId w:val="12"/>
  </w:num>
  <w:num w:numId="27">
    <w:abstractNumId w:val="5"/>
  </w:num>
  <w:num w:numId="28">
    <w:abstractNumId w:val="8"/>
  </w:num>
  <w:num w:numId="29">
    <w:abstractNumId w:val="13"/>
  </w:num>
  <w:num w:numId="30">
    <w:abstractNumId w:val="2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4E"/>
    <w:rsid w:val="000005D1"/>
    <w:rsid w:val="00013E81"/>
    <w:rsid w:val="00022BA2"/>
    <w:rsid w:val="00023FD9"/>
    <w:rsid w:val="00025394"/>
    <w:rsid w:val="00034F74"/>
    <w:rsid w:val="00037E0A"/>
    <w:rsid w:val="00040D6A"/>
    <w:rsid w:val="0004211D"/>
    <w:rsid w:val="0004656B"/>
    <w:rsid w:val="00053DC0"/>
    <w:rsid w:val="0006169E"/>
    <w:rsid w:val="000736FF"/>
    <w:rsid w:val="00074B1A"/>
    <w:rsid w:val="00074E6B"/>
    <w:rsid w:val="00080378"/>
    <w:rsid w:val="00086553"/>
    <w:rsid w:val="000931B6"/>
    <w:rsid w:val="00094080"/>
    <w:rsid w:val="000A77F2"/>
    <w:rsid w:val="000C342E"/>
    <w:rsid w:val="000C5574"/>
    <w:rsid w:val="000D5B25"/>
    <w:rsid w:val="000E570D"/>
    <w:rsid w:val="000F20FD"/>
    <w:rsid w:val="000F3F1C"/>
    <w:rsid w:val="0010209E"/>
    <w:rsid w:val="001063B5"/>
    <w:rsid w:val="001236FF"/>
    <w:rsid w:val="00125470"/>
    <w:rsid w:val="00134DA8"/>
    <w:rsid w:val="00137C12"/>
    <w:rsid w:val="0014685B"/>
    <w:rsid w:val="00151396"/>
    <w:rsid w:val="0015309B"/>
    <w:rsid w:val="00155B39"/>
    <w:rsid w:val="00163C96"/>
    <w:rsid w:val="00167555"/>
    <w:rsid w:val="00170142"/>
    <w:rsid w:val="00171229"/>
    <w:rsid w:val="001716BD"/>
    <w:rsid w:val="001735E6"/>
    <w:rsid w:val="0018025B"/>
    <w:rsid w:val="001823D1"/>
    <w:rsid w:val="00183F6C"/>
    <w:rsid w:val="00186ED7"/>
    <w:rsid w:val="0019117E"/>
    <w:rsid w:val="0019610A"/>
    <w:rsid w:val="001A189A"/>
    <w:rsid w:val="001A33C1"/>
    <w:rsid w:val="001C09AE"/>
    <w:rsid w:val="001D101D"/>
    <w:rsid w:val="001D6E3C"/>
    <w:rsid w:val="001E257C"/>
    <w:rsid w:val="001E70B3"/>
    <w:rsid w:val="001E777D"/>
    <w:rsid w:val="001E7B9C"/>
    <w:rsid w:val="001F25FC"/>
    <w:rsid w:val="001F3999"/>
    <w:rsid w:val="00200B57"/>
    <w:rsid w:val="00201E1F"/>
    <w:rsid w:val="002047B2"/>
    <w:rsid w:val="00213236"/>
    <w:rsid w:val="00221A60"/>
    <w:rsid w:val="00240987"/>
    <w:rsid w:val="00246B72"/>
    <w:rsid w:val="00246FF4"/>
    <w:rsid w:val="00263B66"/>
    <w:rsid w:val="00266E3D"/>
    <w:rsid w:val="002909C9"/>
    <w:rsid w:val="002929B6"/>
    <w:rsid w:val="002A0370"/>
    <w:rsid w:val="002A3643"/>
    <w:rsid w:val="002A5340"/>
    <w:rsid w:val="002B6FF3"/>
    <w:rsid w:val="002B7C31"/>
    <w:rsid w:val="002B7EE2"/>
    <w:rsid w:val="002D25A5"/>
    <w:rsid w:val="002E2B19"/>
    <w:rsid w:val="002F10CC"/>
    <w:rsid w:val="00300531"/>
    <w:rsid w:val="00310690"/>
    <w:rsid w:val="0031163D"/>
    <w:rsid w:val="00313DEF"/>
    <w:rsid w:val="0031614A"/>
    <w:rsid w:val="00326FB4"/>
    <w:rsid w:val="003306AC"/>
    <w:rsid w:val="00333130"/>
    <w:rsid w:val="0034596C"/>
    <w:rsid w:val="00347A3E"/>
    <w:rsid w:val="003574B3"/>
    <w:rsid w:val="00360814"/>
    <w:rsid w:val="00370463"/>
    <w:rsid w:val="0037162E"/>
    <w:rsid w:val="00381E92"/>
    <w:rsid w:val="0038247A"/>
    <w:rsid w:val="00386CEF"/>
    <w:rsid w:val="00391716"/>
    <w:rsid w:val="003947EF"/>
    <w:rsid w:val="00396D45"/>
    <w:rsid w:val="003A3E23"/>
    <w:rsid w:val="003C0137"/>
    <w:rsid w:val="003D30E6"/>
    <w:rsid w:val="003D7535"/>
    <w:rsid w:val="003D7CFD"/>
    <w:rsid w:val="003D7E06"/>
    <w:rsid w:val="003E6582"/>
    <w:rsid w:val="003E787E"/>
    <w:rsid w:val="003F04F5"/>
    <w:rsid w:val="003F6688"/>
    <w:rsid w:val="0040113F"/>
    <w:rsid w:val="0040561E"/>
    <w:rsid w:val="00412795"/>
    <w:rsid w:val="004239A3"/>
    <w:rsid w:val="00426B0C"/>
    <w:rsid w:val="004416AE"/>
    <w:rsid w:val="00442815"/>
    <w:rsid w:val="00442BDB"/>
    <w:rsid w:val="0044567C"/>
    <w:rsid w:val="0045381D"/>
    <w:rsid w:val="00456DBF"/>
    <w:rsid w:val="00460383"/>
    <w:rsid w:val="00461361"/>
    <w:rsid w:val="004660CD"/>
    <w:rsid w:val="00475672"/>
    <w:rsid w:val="00487AAA"/>
    <w:rsid w:val="00491700"/>
    <w:rsid w:val="00492847"/>
    <w:rsid w:val="004937EF"/>
    <w:rsid w:val="004966D7"/>
    <w:rsid w:val="004966FB"/>
    <w:rsid w:val="0049784C"/>
    <w:rsid w:val="004A76F7"/>
    <w:rsid w:val="004B352E"/>
    <w:rsid w:val="004B56DA"/>
    <w:rsid w:val="004B600F"/>
    <w:rsid w:val="004B6842"/>
    <w:rsid w:val="004C083A"/>
    <w:rsid w:val="004C0B97"/>
    <w:rsid w:val="004D16E0"/>
    <w:rsid w:val="004D1F78"/>
    <w:rsid w:val="004D4F43"/>
    <w:rsid w:val="004E2CE5"/>
    <w:rsid w:val="004E5551"/>
    <w:rsid w:val="004F0272"/>
    <w:rsid w:val="004F2AB6"/>
    <w:rsid w:val="00503C11"/>
    <w:rsid w:val="0050444B"/>
    <w:rsid w:val="005077EF"/>
    <w:rsid w:val="00522C51"/>
    <w:rsid w:val="00527DF0"/>
    <w:rsid w:val="00530F3A"/>
    <w:rsid w:val="005357A7"/>
    <w:rsid w:val="00540E10"/>
    <w:rsid w:val="0054568E"/>
    <w:rsid w:val="0056460E"/>
    <w:rsid w:val="0056571C"/>
    <w:rsid w:val="00565BDF"/>
    <w:rsid w:val="005666B0"/>
    <w:rsid w:val="00573799"/>
    <w:rsid w:val="00575AF6"/>
    <w:rsid w:val="00575F87"/>
    <w:rsid w:val="00580520"/>
    <w:rsid w:val="005821B6"/>
    <w:rsid w:val="005922A0"/>
    <w:rsid w:val="00595D79"/>
    <w:rsid w:val="00596DEF"/>
    <w:rsid w:val="005A4F9C"/>
    <w:rsid w:val="005C5899"/>
    <w:rsid w:val="005D405E"/>
    <w:rsid w:val="005D689B"/>
    <w:rsid w:val="005D6B23"/>
    <w:rsid w:val="005E01C3"/>
    <w:rsid w:val="005E181C"/>
    <w:rsid w:val="005E3D74"/>
    <w:rsid w:val="005E51AC"/>
    <w:rsid w:val="005E6722"/>
    <w:rsid w:val="005E6D9E"/>
    <w:rsid w:val="005F284D"/>
    <w:rsid w:val="005F3610"/>
    <w:rsid w:val="00602451"/>
    <w:rsid w:val="006031E4"/>
    <w:rsid w:val="00604B27"/>
    <w:rsid w:val="006104B2"/>
    <w:rsid w:val="00616589"/>
    <w:rsid w:val="006229F9"/>
    <w:rsid w:val="00632AD3"/>
    <w:rsid w:val="00634C61"/>
    <w:rsid w:val="006424D3"/>
    <w:rsid w:val="0064636C"/>
    <w:rsid w:val="00646689"/>
    <w:rsid w:val="006471D6"/>
    <w:rsid w:val="00671896"/>
    <w:rsid w:val="006849C5"/>
    <w:rsid w:val="00695E59"/>
    <w:rsid w:val="006A7D44"/>
    <w:rsid w:val="006A7FFE"/>
    <w:rsid w:val="006B1748"/>
    <w:rsid w:val="006C1129"/>
    <w:rsid w:val="006E12E4"/>
    <w:rsid w:val="006E5826"/>
    <w:rsid w:val="006E5C3A"/>
    <w:rsid w:val="006F2B73"/>
    <w:rsid w:val="006F5C71"/>
    <w:rsid w:val="00700BD7"/>
    <w:rsid w:val="0070137F"/>
    <w:rsid w:val="00702488"/>
    <w:rsid w:val="00703C62"/>
    <w:rsid w:val="007117D7"/>
    <w:rsid w:val="007146CD"/>
    <w:rsid w:val="00715D77"/>
    <w:rsid w:val="00716430"/>
    <w:rsid w:val="00716819"/>
    <w:rsid w:val="00721162"/>
    <w:rsid w:val="00721DF7"/>
    <w:rsid w:val="007441F7"/>
    <w:rsid w:val="00745824"/>
    <w:rsid w:val="00747C79"/>
    <w:rsid w:val="00755DBC"/>
    <w:rsid w:val="00761748"/>
    <w:rsid w:val="00761F27"/>
    <w:rsid w:val="00765002"/>
    <w:rsid w:val="00771831"/>
    <w:rsid w:val="00774116"/>
    <w:rsid w:val="0078660D"/>
    <w:rsid w:val="00791DCF"/>
    <w:rsid w:val="007949CA"/>
    <w:rsid w:val="007B0286"/>
    <w:rsid w:val="007B66BE"/>
    <w:rsid w:val="007F1688"/>
    <w:rsid w:val="007F1F65"/>
    <w:rsid w:val="007F6BB0"/>
    <w:rsid w:val="00807960"/>
    <w:rsid w:val="008103BA"/>
    <w:rsid w:val="008124D7"/>
    <w:rsid w:val="00822147"/>
    <w:rsid w:val="008234D8"/>
    <w:rsid w:val="00824ED7"/>
    <w:rsid w:val="008323B5"/>
    <w:rsid w:val="00834F13"/>
    <w:rsid w:val="0083782A"/>
    <w:rsid w:val="008453B8"/>
    <w:rsid w:val="00846AA4"/>
    <w:rsid w:val="0086200A"/>
    <w:rsid w:val="00866197"/>
    <w:rsid w:val="00880AFF"/>
    <w:rsid w:val="008814DA"/>
    <w:rsid w:val="00885F36"/>
    <w:rsid w:val="0088728E"/>
    <w:rsid w:val="00895EAB"/>
    <w:rsid w:val="008A0EDB"/>
    <w:rsid w:val="008A29A5"/>
    <w:rsid w:val="008D3643"/>
    <w:rsid w:val="008D6BBF"/>
    <w:rsid w:val="008E0642"/>
    <w:rsid w:val="008E50A1"/>
    <w:rsid w:val="008E5EF0"/>
    <w:rsid w:val="008F0247"/>
    <w:rsid w:val="008F60C7"/>
    <w:rsid w:val="008F6C1D"/>
    <w:rsid w:val="00910F1F"/>
    <w:rsid w:val="00911238"/>
    <w:rsid w:val="0091707F"/>
    <w:rsid w:val="00920E0C"/>
    <w:rsid w:val="00921933"/>
    <w:rsid w:val="00923455"/>
    <w:rsid w:val="00930538"/>
    <w:rsid w:val="00941753"/>
    <w:rsid w:val="00946F04"/>
    <w:rsid w:val="00954DB0"/>
    <w:rsid w:val="00954F16"/>
    <w:rsid w:val="00955EB4"/>
    <w:rsid w:val="00956F7D"/>
    <w:rsid w:val="00957A26"/>
    <w:rsid w:val="0096307B"/>
    <w:rsid w:val="009644A7"/>
    <w:rsid w:val="009660FD"/>
    <w:rsid w:val="00967FD2"/>
    <w:rsid w:val="009709F9"/>
    <w:rsid w:val="009721A6"/>
    <w:rsid w:val="00975E97"/>
    <w:rsid w:val="009770C4"/>
    <w:rsid w:val="00980626"/>
    <w:rsid w:val="009840A1"/>
    <w:rsid w:val="00985AE7"/>
    <w:rsid w:val="00986A26"/>
    <w:rsid w:val="009944AF"/>
    <w:rsid w:val="009A14F4"/>
    <w:rsid w:val="009B05D5"/>
    <w:rsid w:val="009B565B"/>
    <w:rsid w:val="009C6188"/>
    <w:rsid w:val="009D5445"/>
    <w:rsid w:val="009E00E7"/>
    <w:rsid w:val="009E344D"/>
    <w:rsid w:val="009E6820"/>
    <w:rsid w:val="009E6FD4"/>
    <w:rsid w:val="009E7F27"/>
    <w:rsid w:val="00A02FF8"/>
    <w:rsid w:val="00A13F33"/>
    <w:rsid w:val="00A1539F"/>
    <w:rsid w:val="00A2256F"/>
    <w:rsid w:val="00A25AB3"/>
    <w:rsid w:val="00A27ADA"/>
    <w:rsid w:val="00A35C09"/>
    <w:rsid w:val="00A35E05"/>
    <w:rsid w:val="00A461F0"/>
    <w:rsid w:val="00A51AE1"/>
    <w:rsid w:val="00A525A4"/>
    <w:rsid w:val="00A72721"/>
    <w:rsid w:val="00A76387"/>
    <w:rsid w:val="00A84E3D"/>
    <w:rsid w:val="00A9140E"/>
    <w:rsid w:val="00AA2B89"/>
    <w:rsid w:val="00AB59F8"/>
    <w:rsid w:val="00AB767E"/>
    <w:rsid w:val="00AC2B33"/>
    <w:rsid w:val="00AE03AA"/>
    <w:rsid w:val="00AF181D"/>
    <w:rsid w:val="00AF4DCA"/>
    <w:rsid w:val="00AF54E9"/>
    <w:rsid w:val="00B012FE"/>
    <w:rsid w:val="00B05356"/>
    <w:rsid w:val="00B06B88"/>
    <w:rsid w:val="00B16467"/>
    <w:rsid w:val="00B16939"/>
    <w:rsid w:val="00B207A4"/>
    <w:rsid w:val="00B2145E"/>
    <w:rsid w:val="00B22CB6"/>
    <w:rsid w:val="00B25C62"/>
    <w:rsid w:val="00B26F03"/>
    <w:rsid w:val="00B27EF3"/>
    <w:rsid w:val="00B34D86"/>
    <w:rsid w:val="00B35871"/>
    <w:rsid w:val="00B3628C"/>
    <w:rsid w:val="00B5047E"/>
    <w:rsid w:val="00B51142"/>
    <w:rsid w:val="00B540A7"/>
    <w:rsid w:val="00B56770"/>
    <w:rsid w:val="00B604EF"/>
    <w:rsid w:val="00B64D3A"/>
    <w:rsid w:val="00B64ED7"/>
    <w:rsid w:val="00B67B11"/>
    <w:rsid w:val="00B76737"/>
    <w:rsid w:val="00B808B0"/>
    <w:rsid w:val="00B83B20"/>
    <w:rsid w:val="00B83C3E"/>
    <w:rsid w:val="00B85811"/>
    <w:rsid w:val="00B859C1"/>
    <w:rsid w:val="00BA0791"/>
    <w:rsid w:val="00BA4D6F"/>
    <w:rsid w:val="00BA7BF8"/>
    <w:rsid w:val="00BB63DD"/>
    <w:rsid w:val="00BC5523"/>
    <w:rsid w:val="00BC749F"/>
    <w:rsid w:val="00BD701F"/>
    <w:rsid w:val="00BD71F5"/>
    <w:rsid w:val="00BE3C8B"/>
    <w:rsid w:val="00BE7EEC"/>
    <w:rsid w:val="00BF7E8B"/>
    <w:rsid w:val="00C00FDB"/>
    <w:rsid w:val="00C07557"/>
    <w:rsid w:val="00C13BAB"/>
    <w:rsid w:val="00C240AA"/>
    <w:rsid w:val="00C3034E"/>
    <w:rsid w:val="00C36FEA"/>
    <w:rsid w:val="00C4534A"/>
    <w:rsid w:val="00C45FC5"/>
    <w:rsid w:val="00C52239"/>
    <w:rsid w:val="00C5356D"/>
    <w:rsid w:val="00C56C6D"/>
    <w:rsid w:val="00C62B7C"/>
    <w:rsid w:val="00C6515F"/>
    <w:rsid w:val="00C672B9"/>
    <w:rsid w:val="00C72E18"/>
    <w:rsid w:val="00C731C7"/>
    <w:rsid w:val="00C74268"/>
    <w:rsid w:val="00C8025C"/>
    <w:rsid w:val="00C82784"/>
    <w:rsid w:val="00C86140"/>
    <w:rsid w:val="00CC7FEF"/>
    <w:rsid w:val="00CD3329"/>
    <w:rsid w:val="00CD59A8"/>
    <w:rsid w:val="00CD671C"/>
    <w:rsid w:val="00CE19A6"/>
    <w:rsid w:val="00CE36D7"/>
    <w:rsid w:val="00CF19AE"/>
    <w:rsid w:val="00D03BE4"/>
    <w:rsid w:val="00D062E6"/>
    <w:rsid w:val="00D1101F"/>
    <w:rsid w:val="00D21E9E"/>
    <w:rsid w:val="00D25A89"/>
    <w:rsid w:val="00D36E36"/>
    <w:rsid w:val="00D419CD"/>
    <w:rsid w:val="00D43518"/>
    <w:rsid w:val="00D56882"/>
    <w:rsid w:val="00D718CC"/>
    <w:rsid w:val="00D71CE6"/>
    <w:rsid w:val="00D73254"/>
    <w:rsid w:val="00D77943"/>
    <w:rsid w:val="00D8122B"/>
    <w:rsid w:val="00D830CB"/>
    <w:rsid w:val="00D851CF"/>
    <w:rsid w:val="00D86394"/>
    <w:rsid w:val="00D9105A"/>
    <w:rsid w:val="00D93BAB"/>
    <w:rsid w:val="00D95195"/>
    <w:rsid w:val="00DA2622"/>
    <w:rsid w:val="00DB124E"/>
    <w:rsid w:val="00DC3393"/>
    <w:rsid w:val="00DC521E"/>
    <w:rsid w:val="00DD3526"/>
    <w:rsid w:val="00DD3545"/>
    <w:rsid w:val="00DD596A"/>
    <w:rsid w:val="00DE0D99"/>
    <w:rsid w:val="00DE48EE"/>
    <w:rsid w:val="00DE4EF0"/>
    <w:rsid w:val="00DE50E9"/>
    <w:rsid w:val="00DF579D"/>
    <w:rsid w:val="00E07EF5"/>
    <w:rsid w:val="00E109C5"/>
    <w:rsid w:val="00E24297"/>
    <w:rsid w:val="00E26267"/>
    <w:rsid w:val="00E26D66"/>
    <w:rsid w:val="00E31687"/>
    <w:rsid w:val="00E32C0E"/>
    <w:rsid w:val="00E34C42"/>
    <w:rsid w:val="00E37720"/>
    <w:rsid w:val="00E41259"/>
    <w:rsid w:val="00E5482A"/>
    <w:rsid w:val="00E6081C"/>
    <w:rsid w:val="00E66599"/>
    <w:rsid w:val="00E703AF"/>
    <w:rsid w:val="00E736A7"/>
    <w:rsid w:val="00E836B5"/>
    <w:rsid w:val="00E874E5"/>
    <w:rsid w:val="00E9062F"/>
    <w:rsid w:val="00E906B6"/>
    <w:rsid w:val="00E91BC8"/>
    <w:rsid w:val="00E93BB5"/>
    <w:rsid w:val="00EA2CFC"/>
    <w:rsid w:val="00EA39B8"/>
    <w:rsid w:val="00EA5BDB"/>
    <w:rsid w:val="00EB49C0"/>
    <w:rsid w:val="00EC06DB"/>
    <w:rsid w:val="00EC155D"/>
    <w:rsid w:val="00EC50C6"/>
    <w:rsid w:val="00EC7811"/>
    <w:rsid w:val="00ED3EB9"/>
    <w:rsid w:val="00ED7482"/>
    <w:rsid w:val="00EE5BA1"/>
    <w:rsid w:val="00EF3291"/>
    <w:rsid w:val="00F1498D"/>
    <w:rsid w:val="00F263B5"/>
    <w:rsid w:val="00F36CA9"/>
    <w:rsid w:val="00F44D6A"/>
    <w:rsid w:val="00F525E6"/>
    <w:rsid w:val="00F558DE"/>
    <w:rsid w:val="00F56176"/>
    <w:rsid w:val="00F65684"/>
    <w:rsid w:val="00F73B9B"/>
    <w:rsid w:val="00F81CED"/>
    <w:rsid w:val="00F82F9F"/>
    <w:rsid w:val="00F83824"/>
    <w:rsid w:val="00F83A5E"/>
    <w:rsid w:val="00F854F4"/>
    <w:rsid w:val="00FB58C6"/>
    <w:rsid w:val="00FB7E3B"/>
    <w:rsid w:val="00FC0AB6"/>
    <w:rsid w:val="00FC53DC"/>
    <w:rsid w:val="00FD0CEF"/>
    <w:rsid w:val="00FD58F5"/>
    <w:rsid w:val="00FD720D"/>
    <w:rsid w:val="00FE1222"/>
    <w:rsid w:val="00FE1AEC"/>
    <w:rsid w:val="00FE4E01"/>
    <w:rsid w:val="00FF0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F1F"/>
    <w:pPr>
      <w:spacing w:after="0" w:line="240" w:lineRule="auto"/>
      <w:ind w:left="720"/>
      <w:contextualSpacing/>
    </w:pPr>
    <w:rPr>
      <w:rFonts w:ascii="Arial" w:eastAsia="Arial" w:hAnsi="Arial" w:cs="Times New Roman"/>
      <w:sz w:val="24"/>
      <w:szCs w:val="24"/>
    </w:rPr>
  </w:style>
  <w:style w:type="paragraph" w:styleId="BalloonText">
    <w:name w:val="Balloon Text"/>
    <w:basedOn w:val="Normal"/>
    <w:link w:val="BalloonTextChar"/>
    <w:uiPriority w:val="99"/>
    <w:semiHidden/>
    <w:unhideWhenUsed/>
    <w:rsid w:val="00DB1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4E"/>
    <w:rPr>
      <w:rFonts w:ascii="Tahoma" w:hAnsi="Tahoma" w:cs="Tahoma"/>
      <w:sz w:val="16"/>
      <w:szCs w:val="16"/>
    </w:rPr>
  </w:style>
  <w:style w:type="paragraph" w:styleId="FootnoteText">
    <w:name w:val="footnote text"/>
    <w:basedOn w:val="Normal"/>
    <w:link w:val="FootnoteTextChar"/>
    <w:uiPriority w:val="99"/>
    <w:semiHidden/>
    <w:rsid w:val="0012547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25470"/>
    <w:rPr>
      <w:rFonts w:ascii="Times New Roman" w:eastAsia="Times New Roman" w:hAnsi="Times New Roman" w:cs="Times New Roman"/>
      <w:sz w:val="20"/>
      <w:szCs w:val="20"/>
      <w:lang w:eastAsia="en-GB"/>
    </w:rPr>
  </w:style>
  <w:style w:type="character" w:styleId="FootnoteReference">
    <w:name w:val="footnote reference"/>
    <w:uiPriority w:val="99"/>
    <w:semiHidden/>
    <w:rsid w:val="00125470"/>
    <w:rPr>
      <w:vertAlign w:val="superscript"/>
    </w:rPr>
  </w:style>
  <w:style w:type="character" w:styleId="Hyperlink">
    <w:name w:val="Hyperlink"/>
    <w:uiPriority w:val="99"/>
    <w:unhideWhenUsed/>
    <w:rsid w:val="00125470"/>
    <w:rPr>
      <w:color w:val="0000FF"/>
      <w:u w:val="single"/>
    </w:rPr>
  </w:style>
  <w:style w:type="character" w:styleId="CommentReference">
    <w:name w:val="annotation reference"/>
    <w:basedOn w:val="DefaultParagraphFont"/>
    <w:uiPriority w:val="99"/>
    <w:semiHidden/>
    <w:unhideWhenUsed/>
    <w:rsid w:val="00745824"/>
    <w:rPr>
      <w:sz w:val="16"/>
      <w:szCs w:val="16"/>
    </w:rPr>
  </w:style>
  <w:style w:type="paragraph" w:styleId="CommentText">
    <w:name w:val="annotation text"/>
    <w:basedOn w:val="Normal"/>
    <w:link w:val="CommentTextChar"/>
    <w:uiPriority w:val="99"/>
    <w:semiHidden/>
    <w:unhideWhenUsed/>
    <w:rsid w:val="00745824"/>
    <w:pPr>
      <w:spacing w:line="240" w:lineRule="auto"/>
    </w:pPr>
    <w:rPr>
      <w:sz w:val="20"/>
      <w:szCs w:val="20"/>
    </w:rPr>
  </w:style>
  <w:style w:type="character" w:customStyle="1" w:styleId="CommentTextChar">
    <w:name w:val="Comment Text Char"/>
    <w:basedOn w:val="DefaultParagraphFont"/>
    <w:link w:val="CommentText"/>
    <w:uiPriority w:val="99"/>
    <w:semiHidden/>
    <w:rsid w:val="00745824"/>
    <w:rPr>
      <w:sz w:val="20"/>
      <w:szCs w:val="20"/>
    </w:rPr>
  </w:style>
  <w:style w:type="paragraph" w:styleId="CommentSubject">
    <w:name w:val="annotation subject"/>
    <w:basedOn w:val="CommentText"/>
    <w:next w:val="CommentText"/>
    <w:link w:val="CommentSubjectChar"/>
    <w:uiPriority w:val="99"/>
    <w:semiHidden/>
    <w:unhideWhenUsed/>
    <w:rsid w:val="00745824"/>
    <w:rPr>
      <w:b/>
      <w:bCs/>
    </w:rPr>
  </w:style>
  <w:style w:type="character" w:customStyle="1" w:styleId="CommentSubjectChar">
    <w:name w:val="Comment Subject Char"/>
    <w:basedOn w:val="CommentTextChar"/>
    <w:link w:val="CommentSubject"/>
    <w:uiPriority w:val="99"/>
    <w:semiHidden/>
    <w:rsid w:val="007458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F1F"/>
    <w:pPr>
      <w:spacing w:after="0" w:line="240" w:lineRule="auto"/>
      <w:ind w:left="720"/>
      <w:contextualSpacing/>
    </w:pPr>
    <w:rPr>
      <w:rFonts w:ascii="Arial" w:eastAsia="Arial" w:hAnsi="Arial" w:cs="Times New Roman"/>
      <w:sz w:val="24"/>
      <w:szCs w:val="24"/>
    </w:rPr>
  </w:style>
  <w:style w:type="paragraph" w:styleId="BalloonText">
    <w:name w:val="Balloon Text"/>
    <w:basedOn w:val="Normal"/>
    <w:link w:val="BalloonTextChar"/>
    <w:uiPriority w:val="99"/>
    <w:semiHidden/>
    <w:unhideWhenUsed/>
    <w:rsid w:val="00DB1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24E"/>
    <w:rPr>
      <w:rFonts w:ascii="Tahoma" w:hAnsi="Tahoma" w:cs="Tahoma"/>
      <w:sz w:val="16"/>
      <w:szCs w:val="16"/>
    </w:rPr>
  </w:style>
  <w:style w:type="paragraph" w:styleId="FootnoteText">
    <w:name w:val="footnote text"/>
    <w:basedOn w:val="Normal"/>
    <w:link w:val="FootnoteTextChar"/>
    <w:uiPriority w:val="99"/>
    <w:semiHidden/>
    <w:rsid w:val="0012547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125470"/>
    <w:rPr>
      <w:rFonts w:ascii="Times New Roman" w:eastAsia="Times New Roman" w:hAnsi="Times New Roman" w:cs="Times New Roman"/>
      <w:sz w:val="20"/>
      <w:szCs w:val="20"/>
      <w:lang w:eastAsia="en-GB"/>
    </w:rPr>
  </w:style>
  <w:style w:type="character" w:styleId="FootnoteReference">
    <w:name w:val="footnote reference"/>
    <w:uiPriority w:val="99"/>
    <w:semiHidden/>
    <w:rsid w:val="00125470"/>
    <w:rPr>
      <w:vertAlign w:val="superscript"/>
    </w:rPr>
  </w:style>
  <w:style w:type="character" w:styleId="Hyperlink">
    <w:name w:val="Hyperlink"/>
    <w:uiPriority w:val="99"/>
    <w:unhideWhenUsed/>
    <w:rsid w:val="00125470"/>
    <w:rPr>
      <w:color w:val="0000FF"/>
      <w:u w:val="single"/>
    </w:rPr>
  </w:style>
  <w:style w:type="character" w:styleId="CommentReference">
    <w:name w:val="annotation reference"/>
    <w:basedOn w:val="DefaultParagraphFont"/>
    <w:uiPriority w:val="99"/>
    <w:semiHidden/>
    <w:unhideWhenUsed/>
    <w:rsid w:val="00745824"/>
    <w:rPr>
      <w:sz w:val="16"/>
      <w:szCs w:val="16"/>
    </w:rPr>
  </w:style>
  <w:style w:type="paragraph" w:styleId="CommentText">
    <w:name w:val="annotation text"/>
    <w:basedOn w:val="Normal"/>
    <w:link w:val="CommentTextChar"/>
    <w:uiPriority w:val="99"/>
    <w:semiHidden/>
    <w:unhideWhenUsed/>
    <w:rsid w:val="00745824"/>
    <w:pPr>
      <w:spacing w:line="240" w:lineRule="auto"/>
    </w:pPr>
    <w:rPr>
      <w:sz w:val="20"/>
      <w:szCs w:val="20"/>
    </w:rPr>
  </w:style>
  <w:style w:type="character" w:customStyle="1" w:styleId="CommentTextChar">
    <w:name w:val="Comment Text Char"/>
    <w:basedOn w:val="DefaultParagraphFont"/>
    <w:link w:val="CommentText"/>
    <w:uiPriority w:val="99"/>
    <w:semiHidden/>
    <w:rsid w:val="00745824"/>
    <w:rPr>
      <w:sz w:val="20"/>
      <w:szCs w:val="20"/>
    </w:rPr>
  </w:style>
  <w:style w:type="paragraph" w:styleId="CommentSubject">
    <w:name w:val="annotation subject"/>
    <w:basedOn w:val="CommentText"/>
    <w:next w:val="CommentText"/>
    <w:link w:val="CommentSubjectChar"/>
    <w:uiPriority w:val="99"/>
    <w:semiHidden/>
    <w:unhideWhenUsed/>
    <w:rsid w:val="00745824"/>
    <w:rPr>
      <w:b/>
      <w:bCs/>
    </w:rPr>
  </w:style>
  <w:style w:type="character" w:customStyle="1" w:styleId="CommentSubjectChar">
    <w:name w:val="Comment Subject Char"/>
    <w:basedOn w:val="CommentTextChar"/>
    <w:link w:val="CommentSubject"/>
    <w:uiPriority w:val="99"/>
    <w:semiHidden/>
    <w:rsid w:val="007458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6205A-BF72-4C90-804D-9E7F9E92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2400</Words>
  <Characters>13682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Lenoach Ciara (Regulatory Policy Committee (RPC))</dc:creator>
  <cp:lastModifiedBy>Lenoach Ciara (Regulatory Policy Committee (RPC))</cp:lastModifiedBy>
  <cp:revision>2</cp:revision>
  <cp:lastPrinted>2016-04-14T08:08:00Z</cp:lastPrinted>
  <dcterms:created xsi:type="dcterms:W3CDTF">2016-04-21T12:23:00Z</dcterms:created>
  <dcterms:modified xsi:type="dcterms:W3CDTF">2016-04-21T12:23:00Z</dcterms:modified>
</cp:coreProperties>
</file>