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94" w:rsidRPr="00FC5D60" w:rsidRDefault="009F0294" w:rsidP="009F0294">
      <w:pPr>
        <w:spacing w:after="300" w:line="240" w:lineRule="auto"/>
        <w:contextualSpacing/>
        <w:rPr>
          <w:rFonts w:eastAsiaTheme="majorEastAsia" w:cstheme="minorHAnsi"/>
          <w:b/>
          <w:color w:val="984806" w:themeColor="accent6" w:themeShade="80"/>
          <w:spacing w:val="5"/>
          <w:kern w:val="28"/>
          <w:sz w:val="28"/>
          <w:szCs w:val="28"/>
        </w:rPr>
      </w:pPr>
      <w:bookmarkStart w:id="0" w:name="_GoBack"/>
      <w:bookmarkEnd w:id="0"/>
      <w:r>
        <w:rPr>
          <w:rFonts w:eastAsiaTheme="majorEastAsia" w:cstheme="minorHAnsi"/>
          <w:b/>
          <w:color w:val="984806" w:themeColor="accent6" w:themeShade="80"/>
          <w:spacing w:val="5"/>
          <w:kern w:val="28"/>
          <w:sz w:val="28"/>
          <w:szCs w:val="28"/>
        </w:rPr>
        <w:t>4.1</w:t>
      </w:r>
      <w:r w:rsidRPr="00FC5D60">
        <w:rPr>
          <w:rFonts w:eastAsiaTheme="majorEastAsia" w:cstheme="minorHAnsi"/>
          <w:b/>
          <w:color w:val="984806" w:themeColor="accent6" w:themeShade="80"/>
          <w:spacing w:val="5"/>
          <w:kern w:val="28"/>
          <w:sz w:val="28"/>
          <w:szCs w:val="28"/>
        </w:rPr>
        <w:t xml:space="preserve"> Guidance on direct </w:t>
      </w:r>
      <w:r>
        <w:rPr>
          <w:rFonts w:eastAsiaTheme="majorEastAsia" w:cstheme="minorHAnsi"/>
          <w:b/>
          <w:color w:val="984806" w:themeColor="accent6" w:themeShade="80"/>
          <w:spacing w:val="5"/>
          <w:kern w:val="28"/>
          <w:sz w:val="28"/>
          <w:szCs w:val="28"/>
        </w:rPr>
        <w:t xml:space="preserve">versus </w:t>
      </w:r>
      <w:r w:rsidRPr="00FC5D60">
        <w:rPr>
          <w:rFonts w:eastAsiaTheme="majorEastAsia" w:cstheme="minorHAnsi"/>
          <w:b/>
          <w:color w:val="984806" w:themeColor="accent6" w:themeShade="80"/>
          <w:spacing w:val="5"/>
          <w:kern w:val="28"/>
          <w:sz w:val="28"/>
          <w:szCs w:val="28"/>
        </w:rPr>
        <w:t xml:space="preserve">indirect impacts </w:t>
      </w:r>
    </w:p>
    <w:p w:rsidR="009F0294" w:rsidRDefault="009F0294" w:rsidP="009F0294">
      <w:pPr>
        <w:autoSpaceDE w:val="0"/>
        <w:autoSpaceDN w:val="0"/>
        <w:adjustRightInd w:val="0"/>
        <w:spacing w:after="166" w:line="240" w:lineRule="auto"/>
        <w:rPr>
          <w:rFonts w:eastAsiaTheme="majorEastAsia" w:cstheme="minorHAnsi"/>
          <w:b/>
          <w:bCs/>
          <w:color w:val="E36C0A" w:themeColor="accent6" w:themeShade="BF"/>
          <w:sz w:val="24"/>
          <w:szCs w:val="24"/>
        </w:rPr>
      </w:pPr>
    </w:p>
    <w:p w:rsidR="009F0294" w:rsidRDefault="009F0294" w:rsidP="009F0294">
      <w:pPr>
        <w:spacing w:after="288"/>
        <w:rPr>
          <w:rFonts w:eastAsia="Times New Roman" w:cstheme="minorHAnsi"/>
          <w:sz w:val="24"/>
          <w:szCs w:val="24"/>
        </w:rPr>
      </w:pPr>
      <w:r w:rsidRPr="00165D14">
        <w:rPr>
          <w:rFonts w:eastAsia="Times New Roman" w:cstheme="minorHAnsi"/>
          <w:sz w:val="24"/>
          <w:szCs w:val="24"/>
        </w:rPr>
        <w:t>The E</w:t>
      </w:r>
      <w:r w:rsidR="0012524A">
        <w:rPr>
          <w:rFonts w:eastAsia="Times New Roman" w:cstheme="minorHAnsi"/>
          <w:sz w:val="24"/>
          <w:szCs w:val="24"/>
        </w:rPr>
        <w:t xml:space="preserve">quivalent </w:t>
      </w:r>
      <w:r w:rsidRPr="00165D14">
        <w:rPr>
          <w:rFonts w:eastAsia="Times New Roman" w:cstheme="minorHAnsi"/>
          <w:sz w:val="24"/>
          <w:szCs w:val="24"/>
        </w:rPr>
        <w:t>A</w:t>
      </w:r>
      <w:r w:rsidR="0012524A">
        <w:rPr>
          <w:rFonts w:eastAsia="Times New Roman" w:cstheme="minorHAnsi"/>
          <w:sz w:val="24"/>
          <w:szCs w:val="24"/>
        </w:rPr>
        <w:t xml:space="preserve">nnual </w:t>
      </w:r>
      <w:r w:rsidRPr="00165D14">
        <w:rPr>
          <w:rFonts w:eastAsia="Times New Roman" w:cstheme="minorHAnsi"/>
          <w:sz w:val="24"/>
          <w:szCs w:val="24"/>
        </w:rPr>
        <w:t>N</w:t>
      </w:r>
      <w:r w:rsidR="0012524A">
        <w:rPr>
          <w:rFonts w:eastAsia="Times New Roman" w:cstheme="minorHAnsi"/>
          <w:sz w:val="24"/>
          <w:szCs w:val="24"/>
        </w:rPr>
        <w:t xml:space="preserve">et </w:t>
      </w:r>
      <w:r>
        <w:rPr>
          <w:rFonts w:eastAsia="Times New Roman" w:cstheme="minorHAnsi"/>
          <w:sz w:val="24"/>
          <w:szCs w:val="24"/>
        </w:rPr>
        <w:t>D</w:t>
      </w:r>
      <w:r w:rsidR="0012524A">
        <w:rPr>
          <w:rFonts w:eastAsia="Times New Roman" w:cstheme="minorHAnsi"/>
          <w:sz w:val="24"/>
          <w:szCs w:val="24"/>
        </w:rPr>
        <w:t xml:space="preserve">irect </w:t>
      </w:r>
      <w:r w:rsidRPr="00165D14">
        <w:rPr>
          <w:rFonts w:eastAsia="Times New Roman" w:cstheme="minorHAnsi"/>
          <w:sz w:val="24"/>
          <w:szCs w:val="24"/>
        </w:rPr>
        <w:t>C</w:t>
      </w:r>
      <w:r w:rsidR="0012524A">
        <w:rPr>
          <w:rFonts w:eastAsia="Times New Roman" w:cstheme="minorHAnsi"/>
          <w:sz w:val="24"/>
          <w:szCs w:val="24"/>
        </w:rPr>
        <w:t xml:space="preserve">ost to </w:t>
      </w:r>
      <w:r w:rsidRPr="00165D14">
        <w:rPr>
          <w:rFonts w:eastAsia="Times New Roman" w:cstheme="minorHAnsi"/>
          <w:sz w:val="24"/>
          <w:szCs w:val="24"/>
        </w:rPr>
        <w:t>B</w:t>
      </w:r>
      <w:r w:rsidR="0012524A">
        <w:rPr>
          <w:rFonts w:eastAsia="Times New Roman" w:cstheme="minorHAnsi"/>
          <w:sz w:val="24"/>
          <w:szCs w:val="24"/>
        </w:rPr>
        <w:t>usiness (EANDCB)</w:t>
      </w:r>
      <w:r w:rsidRPr="00165D14">
        <w:rPr>
          <w:rFonts w:eastAsia="Times New Roman" w:cstheme="minorHAnsi"/>
          <w:sz w:val="24"/>
          <w:szCs w:val="24"/>
        </w:rPr>
        <w:t xml:space="preserve"> only measures the direct costs and benefits to business</w:t>
      </w:r>
      <w:r>
        <w:rPr>
          <w:rFonts w:eastAsia="Times New Roman" w:cstheme="minorHAnsi"/>
          <w:sz w:val="24"/>
          <w:szCs w:val="24"/>
        </w:rPr>
        <w:t xml:space="preserve"> or civil society organisations</w:t>
      </w:r>
      <w:r w:rsidRPr="00165D14">
        <w:rPr>
          <w:rFonts w:eastAsia="Times New Roman" w:cstheme="minorHAnsi"/>
          <w:sz w:val="24"/>
          <w:szCs w:val="24"/>
        </w:rPr>
        <w:t xml:space="preserve">.  It focusses on those </w:t>
      </w:r>
      <w:r>
        <w:rPr>
          <w:rFonts w:eastAsia="Times New Roman" w:cstheme="minorHAnsi"/>
          <w:sz w:val="24"/>
          <w:szCs w:val="24"/>
        </w:rPr>
        <w:t xml:space="preserve">impacts </w:t>
      </w:r>
      <w:r w:rsidRPr="00165D14">
        <w:rPr>
          <w:rFonts w:eastAsia="Times New Roman" w:cstheme="minorHAnsi"/>
          <w:sz w:val="24"/>
          <w:szCs w:val="24"/>
        </w:rPr>
        <w:t>immediately felt by those businesses directly impacted by the regulatory change.</w:t>
      </w:r>
      <w:r>
        <w:rPr>
          <w:rFonts w:eastAsia="Times New Roman" w:cstheme="minorHAnsi"/>
          <w:sz w:val="24"/>
          <w:szCs w:val="24"/>
        </w:rPr>
        <w:t xml:space="preserve"> The need to distinguish between direct impacts and other (indirect) impacts can prove challenging. </w:t>
      </w:r>
      <w:r w:rsidR="0012524A">
        <w:rPr>
          <w:rFonts w:eastAsia="Times New Roman" w:cstheme="minorHAnsi"/>
          <w:sz w:val="24"/>
          <w:szCs w:val="24"/>
        </w:rPr>
        <w:t>T</w:t>
      </w:r>
      <w:r>
        <w:rPr>
          <w:rFonts w:eastAsia="Times New Roman" w:cstheme="minorHAnsi"/>
          <w:sz w:val="24"/>
          <w:szCs w:val="24"/>
        </w:rPr>
        <w:t>his section provides further information to help guide th</w:t>
      </w:r>
      <w:r w:rsidR="0012524A">
        <w:rPr>
          <w:rFonts w:eastAsia="Times New Roman" w:cstheme="minorHAnsi"/>
          <w:sz w:val="24"/>
          <w:szCs w:val="24"/>
        </w:rPr>
        <w:t>is.</w:t>
      </w:r>
    </w:p>
    <w:p w:rsidR="009F0294" w:rsidRDefault="009F0294" w:rsidP="009F0294">
      <w:pPr>
        <w:spacing w:after="288"/>
        <w:rPr>
          <w:rFonts w:eastAsia="Times New Roman" w:cstheme="minorHAnsi"/>
          <w:sz w:val="24"/>
          <w:szCs w:val="24"/>
        </w:rPr>
      </w:pPr>
      <w:r w:rsidRPr="00DB0DD3">
        <w:rPr>
          <w:rFonts w:eastAsia="Times New Roman" w:cstheme="minorHAnsi"/>
          <w:sz w:val="24"/>
          <w:szCs w:val="24"/>
        </w:rPr>
        <w:t xml:space="preserve">In early 2015, the Department for Business, Innovation and Skills (BIS) and the </w:t>
      </w:r>
      <w:r>
        <w:rPr>
          <w:rFonts w:eastAsia="Times New Roman" w:cstheme="minorHAnsi"/>
          <w:sz w:val="24"/>
          <w:szCs w:val="24"/>
        </w:rPr>
        <w:t>RPC commissioned an independent</w:t>
      </w:r>
      <w:r w:rsidRPr="00DB0DD3">
        <w:rPr>
          <w:rFonts w:eastAsia="Times New Roman" w:cstheme="minorHAnsi"/>
          <w:sz w:val="24"/>
          <w:szCs w:val="24"/>
        </w:rPr>
        <w:t xml:space="preserve"> research project</w:t>
      </w:r>
      <w:r>
        <w:rPr>
          <w:rFonts w:eastAsia="Times New Roman" w:cstheme="minorHAnsi"/>
          <w:sz w:val="24"/>
          <w:szCs w:val="24"/>
        </w:rPr>
        <w:t xml:space="preserve">, which aimed </w:t>
      </w:r>
      <w:r w:rsidRPr="00DB0DD3">
        <w:rPr>
          <w:rFonts w:eastAsia="Times New Roman" w:cstheme="minorHAnsi"/>
          <w:sz w:val="24"/>
          <w:szCs w:val="24"/>
        </w:rPr>
        <w:t>to</w:t>
      </w:r>
      <w:r>
        <w:rPr>
          <w:rFonts w:eastAsia="Times New Roman" w:cstheme="minorHAnsi"/>
          <w:sz w:val="24"/>
          <w:szCs w:val="24"/>
        </w:rPr>
        <w:t>:</w:t>
      </w:r>
      <w:r w:rsidRPr="00DB0DD3">
        <w:rPr>
          <w:rFonts w:eastAsia="Times New Roman" w:cstheme="minorHAnsi"/>
          <w:sz w:val="24"/>
          <w:szCs w:val="24"/>
        </w:rPr>
        <w:t xml:space="preserve"> </w:t>
      </w:r>
    </w:p>
    <w:p w:rsidR="009F0294" w:rsidRDefault="009F0294" w:rsidP="009F0294">
      <w:pPr>
        <w:pStyle w:val="ListParagraph"/>
        <w:numPr>
          <w:ilvl w:val="0"/>
          <w:numId w:val="3"/>
        </w:numPr>
        <w:spacing w:after="288"/>
        <w:rPr>
          <w:rFonts w:eastAsia="Times New Roman" w:cstheme="minorHAnsi"/>
          <w:sz w:val="24"/>
          <w:szCs w:val="24"/>
        </w:rPr>
      </w:pPr>
      <w:r w:rsidRPr="00DE1C8B">
        <w:rPr>
          <w:rFonts w:eastAsia="Times New Roman" w:cstheme="minorHAnsi"/>
          <w:sz w:val="24"/>
          <w:szCs w:val="24"/>
        </w:rPr>
        <w:t>set out the different definitions of direct and indirect impacts in the literature</w:t>
      </w:r>
      <w:r>
        <w:rPr>
          <w:rFonts w:eastAsia="Times New Roman" w:cstheme="minorHAnsi"/>
          <w:sz w:val="24"/>
          <w:szCs w:val="24"/>
        </w:rPr>
        <w:t>;</w:t>
      </w:r>
    </w:p>
    <w:p w:rsidR="009F0294" w:rsidRDefault="009F0294" w:rsidP="009F0294">
      <w:pPr>
        <w:pStyle w:val="ListParagraph"/>
        <w:numPr>
          <w:ilvl w:val="0"/>
          <w:numId w:val="3"/>
        </w:numPr>
        <w:spacing w:after="288"/>
        <w:rPr>
          <w:rFonts w:eastAsia="Times New Roman" w:cstheme="minorHAnsi"/>
          <w:sz w:val="24"/>
          <w:szCs w:val="24"/>
        </w:rPr>
      </w:pPr>
      <w:r w:rsidRPr="00DE1C8B">
        <w:rPr>
          <w:rFonts w:eastAsia="Times New Roman" w:cstheme="minorHAnsi"/>
          <w:sz w:val="24"/>
          <w:szCs w:val="24"/>
        </w:rPr>
        <w:t>present a microeconomic framework for thinking about the treatment of direct impacts within the OIOO/OITO system</w:t>
      </w:r>
      <w:r>
        <w:rPr>
          <w:rFonts w:eastAsia="Times New Roman" w:cstheme="minorHAnsi"/>
          <w:sz w:val="24"/>
          <w:szCs w:val="24"/>
        </w:rPr>
        <w:t>;</w:t>
      </w:r>
      <w:r w:rsidRPr="00DE1C8B">
        <w:rPr>
          <w:rFonts w:eastAsia="Times New Roman" w:cstheme="minorHAnsi"/>
          <w:sz w:val="24"/>
          <w:szCs w:val="24"/>
        </w:rPr>
        <w:t xml:space="preserve"> and </w:t>
      </w:r>
    </w:p>
    <w:p w:rsidR="009F0294" w:rsidRDefault="009F0294" w:rsidP="009F0294">
      <w:pPr>
        <w:pStyle w:val="ListParagraph"/>
        <w:numPr>
          <w:ilvl w:val="0"/>
          <w:numId w:val="3"/>
        </w:numPr>
        <w:spacing w:after="288"/>
        <w:rPr>
          <w:rFonts w:eastAsia="Times New Roman" w:cstheme="minorHAnsi"/>
          <w:sz w:val="24"/>
          <w:szCs w:val="24"/>
        </w:rPr>
      </w:pPr>
      <w:r w:rsidRPr="00DE1C8B">
        <w:rPr>
          <w:rFonts w:eastAsia="Times New Roman" w:cstheme="minorHAnsi"/>
          <w:sz w:val="24"/>
          <w:szCs w:val="24"/>
        </w:rPr>
        <w:t xml:space="preserve">develop some criteria that could be used to help officials classify direct and indirect impacts. </w:t>
      </w:r>
    </w:p>
    <w:p w:rsidR="009F0294" w:rsidRPr="00DE1C8B" w:rsidRDefault="009F0294" w:rsidP="009F0294">
      <w:pPr>
        <w:spacing w:after="288"/>
        <w:rPr>
          <w:rFonts w:eastAsia="Times New Roman" w:cstheme="minorHAnsi"/>
          <w:sz w:val="24"/>
          <w:szCs w:val="24"/>
        </w:rPr>
      </w:pPr>
      <w:r w:rsidRPr="00DE1C8B">
        <w:rPr>
          <w:rFonts w:eastAsia="Times New Roman" w:cstheme="minorHAnsi"/>
          <w:sz w:val="24"/>
          <w:szCs w:val="24"/>
        </w:rPr>
        <w:t>The research</w:t>
      </w:r>
      <w:r w:rsidR="00BF302B">
        <w:rPr>
          <w:rFonts w:eastAsia="Times New Roman" w:cstheme="minorHAnsi"/>
          <w:sz w:val="24"/>
          <w:szCs w:val="24"/>
        </w:rPr>
        <w:t>, which was</w:t>
      </w:r>
      <w:r w:rsidRPr="00DE1C8B">
        <w:rPr>
          <w:rFonts w:eastAsia="Times New Roman" w:cstheme="minorHAnsi"/>
          <w:sz w:val="24"/>
          <w:szCs w:val="24"/>
        </w:rPr>
        <w:t xml:space="preserve"> </w:t>
      </w:r>
      <w:r w:rsidR="00BF302B">
        <w:rPr>
          <w:rFonts w:eastAsia="Times New Roman" w:cstheme="minorHAnsi"/>
          <w:sz w:val="24"/>
          <w:szCs w:val="24"/>
        </w:rPr>
        <w:t xml:space="preserve">undertaken by </w:t>
      </w:r>
      <w:r w:rsidR="00BF302B" w:rsidRPr="00DE1C8B">
        <w:rPr>
          <w:rFonts w:eastAsia="Times New Roman" w:cstheme="minorHAnsi"/>
          <w:sz w:val="24"/>
          <w:szCs w:val="24"/>
        </w:rPr>
        <w:t>Brian Titley Consulting Ltd</w:t>
      </w:r>
      <w:r w:rsidR="00BF302B">
        <w:rPr>
          <w:rFonts w:eastAsia="Times New Roman" w:cstheme="minorHAnsi"/>
          <w:sz w:val="24"/>
          <w:szCs w:val="24"/>
        </w:rPr>
        <w:t xml:space="preserve">, </w:t>
      </w:r>
      <w:r w:rsidRPr="00DE1C8B">
        <w:rPr>
          <w:rFonts w:eastAsia="Times New Roman" w:cstheme="minorHAnsi"/>
          <w:sz w:val="24"/>
          <w:szCs w:val="24"/>
        </w:rPr>
        <w:t>was commissioned in the context of the OIOO/OITO rules that operated within the last Parliament but is also relevant to the methodology for the Business Impact Target</w:t>
      </w:r>
      <w:r w:rsidR="0012524A">
        <w:rPr>
          <w:rFonts w:eastAsia="Times New Roman" w:cstheme="minorHAnsi"/>
          <w:sz w:val="24"/>
          <w:szCs w:val="24"/>
        </w:rPr>
        <w:t xml:space="preserve"> (BIT)</w:t>
      </w:r>
      <w:r w:rsidRPr="00DE1C8B">
        <w:rPr>
          <w:rFonts w:eastAsia="Times New Roman" w:cstheme="minorHAnsi"/>
          <w:sz w:val="24"/>
          <w:szCs w:val="24"/>
        </w:rPr>
        <w:t xml:space="preserve">. </w:t>
      </w:r>
    </w:p>
    <w:p w:rsidR="009F0294" w:rsidRPr="0085039B" w:rsidRDefault="009F0294" w:rsidP="009F0294">
      <w:pPr>
        <w:spacing w:after="288"/>
        <w:rPr>
          <w:rFonts w:eastAsia="Times New Roman" w:cstheme="minorHAnsi"/>
          <w:sz w:val="24"/>
          <w:szCs w:val="24"/>
        </w:rPr>
      </w:pPr>
      <w:r>
        <w:rPr>
          <w:rFonts w:eastAsia="Times New Roman" w:cstheme="minorHAnsi"/>
          <w:sz w:val="24"/>
          <w:szCs w:val="24"/>
        </w:rPr>
        <w:t xml:space="preserve">This guidance builds on the findings of this research project. </w:t>
      </w:r>
      <w:r w:rsidR="00BA7727">
        <w:rPr>
          <w:rFonts w:eastAsia="Times New Roman" w:cstheme="minorHAnsi"/>
          <w:sz w:val="24"/>
          <w:szCs w:val="24"/>
        </w:rPr>
        <w:t xml:space="preserve"> </w:t>
      </w:r>
      <w:r>
        <w:rPr>
          <w:rFonts w:eastAsia="Times New Roman" w:cstheme="minorHAnsi"/>
          <w:sz w:val="24"/>
          <w:szCs w:val="24"/>
        </w:rPr>
        <w:t>A summary of practical steps and criteria to distinguish be</w:t>
      </w:r>
      <w:r w:rsidR="00DD457A">
        <w:rPr>
          <w:rFonts w:eastAsia="Times New Roman" w:cstheme="minorHAnsi"/>
          <w:sz w:val="24"/>
          <w:szCs w:val="24"/>
        </w:rPr>
        <w:t>tween</w:t>
      </w:r>
      <w:r>
        <w:rPr>
          <w:rFonts w:eastAsia="Times New Roman" w:cstheme="minorHAnsi"/>
          <w:sz w:val="24"/>
          <w:szCs w:val="24"/>
        </w:rPr>
        <w:t xml:space="preserve"> direct and indirect impacts of regulation on business is presented below.</w:t>
      </w:r>
    </w:p>
    <w:p w:rsidR="009F0294" w:rsidRPr="00FC09EC" w:rsidRDefault="009F0294" w:rsidP="009F0294">
      <w:pPr>
        <w:autoSpaceDE w:val="0"/>
        <w:autoSpaceDN w:val="0"/>
        <w:adjustRightInd w:val="0"/>
        <w:spacing w:after="166" w:line="240" w:lineRule="auto"/>
        <w:rPr>
          <w:rFonts w:eastAsiaTheme="majorEastAsia" w:cstheme="minorHAnsi"/>
          <w:b/>
          <w:bCs/>
          <w:color w:val="000000" w:themeColor="text1"/>
          <w:sz w:val="24"/>
          <w:szCs w:val="24"/>
        </w:rPr>
      </w:pPr>
      <w:r>
        <w:rPr>
          <w:rFonts w:eastAsiaTheme="majorEastAsia" w:cstheme="minorHAnsi"/>
          <w:b/>
          <w:bCs/>
          <w:color w:val="000000" w:themeColor="text1"/>
          <w:sz w:val="24"/>
          <w:szCs w:val="24"/>
        </w:rPr>
        <w:t>4.1</w:t>
      </w:r>
      <w:r w:rsidRPr="00FC09EC">
        <w:rPr>
          <w:rFonts w:eastAsiaTheme="majorEastAsia" w:cstheme="minorHAnsi"/>
          <w:b/>
          <w:bCs/>
          <w:color w:val="000000" w:themeColor="text1"/>
          <w:sz w:val="24"/>
          <w:szCs w:val="24"/>
        </w:rPr>
        <w:t>.1 Definition, criteria and practical steps to distinguish between direct /indirect impacts</w:t>
      </w:r>
    </w:p>
    <w:p w:rsidR="009F0294" w:rsidRPr="00E96C4C" w:rsidRDefault="009F0294" w:rsidP="009F0294">
      <w:pPr>
        <w:autoSpaceDE w:val="0"/>
        <w:autoSpaceDN w:val="0"/>
        <w:adjustRightInd w:val="0"/>
        <w:spacing w:after="166" w:line="240" w:lineRule="auto"/>
        <w:rPr>
          <w:rFonts w:eastAsia="Times New Roman" w:cstheme="minorHAnsi"/>
          <w:color w:val="000000"/>
          <w:sz w:val="24"/>
          <w:szCs w:val="24"/>
          <w:lang w:eastAsia="en-GB"/>
        </w:rPr>
      </w:pPr>
      <w:r w:rsidRPr="00E96C4C">
        <w:rPr>
          <w:rFonts w:eastAsia="Times New Roman" w:cstheme="minorHAnsi"/>
          <w:color w:val="000000"/>
          <w:sz w:val="24"/>
          <w:szCs w:val="24"/>
          <w:lang w:eastAsia="en-GB"/>
        </w:rPr>
        <w:t>Only direct impacts on business should be scored for inclusion in the B</w:t>
      </w:r>
      <w:r w:rsidR="00DD457A">
        <w:rPr>
          <w:rFonts w:eastAsia="Times New Roman" w:cstheme="minorHAnsi"/>
          <w:color w:val="000000"/>
          <w:sz w:val="24"/>
          <w:szCs w:val="24"/>
          <w:lang w:eastAsia="en-GB"/>
        </w:rPr>
        <w:t>IT</w:t>
      </w:r>
      <w:r w:rsidRPr="00E96C4C">
        <w:rPr>
          <w:rFonts w:eastAsia="Times New Roman" w:cstheme="minorHAnsi"/>
          <w:color w:val="000000"/>
          <w:sz w:val="24"/>
          <w:szCs w:val="24"/>
          <w:lang w:eastAsia="en-GB"/>
        </w:rPr>
        <w:t xml:space="preserve">. </w:t>
      </w:r>
    </w:p>
    <w:p w:rsidR="009F0294" w:rsidRPr="00E96C4C" w:rsidRDefault="009F0294" w:rsidP="009F0294">
      <w:pPr>
        <w:autoSpaceDE w:val="0"/>
        <w:autoSpaceDN w:val="0"/>
        <w:adjustRightInd w:val="0"/>
        <w:spacing w:after="166" w:line="240" w:lineRule="auto"/>
        <w:rPr>
          <w:rFonts w:eastAsia="Times New Roman" w:cstheme="minorHAnsi"/>
          <w:color w:val="000000"/>
          <w:sz w:val="24"/>
          <w:szCs w:val="24"/>
          <w:lang w:eastAsia="en-GB"/>
        </w:rPr>
      </w:pPr>
      <w:r w:rsidRPr="00E96C4C">
        <w:rPr>
          <w:rFonts w:eastAsia="Times New Roman" w:cstheme="minorHAnsi"/>
          <w:color w:val="000000"/>
          <w:sz w:val="24"/>
          <w:szCs w:val="24"/>
          <w:lang w:eastAsia="en-GB"/>
        </w:rPr>
        <w:t xml:space="preserve">A direct impact on business is defined as: </w:t>
      </w:r>
    </w:p>
    <w:p w:rsidR="009F0294" w:rsidRPr="00E96C4C" w:rsidRDefault="009F0294" w:rsidP="009F0294">
      <w:pPr>
        <w:autoSpaceDE w:val="0"/>
        <w:autoSpaceDN w:val="0"/>
        <w:adjustRightInd w:val="0"/>
        <w:spacing w:after="240" w:line="240" w:lineRule="auto"/>
        <w:ind w:left="360"/>
        <w:jc w:val="both"/>
        <w:rPr>
          <w:rFonts w:eastAsia="Calibri" w:cstheme="minorHAnsi"/>
          <w:i/>
          <w:iCs/>
          <w:color w:val="000000"/>
          <w:sz w:val="24"/>
          <w:szCs w:val="24"/>
        </w:rPr>
      </w:pPr>
      <w:r w:rsidRPr="00E96C4C">
        <w:rPr>
          <w:rFonts w:eastAsia="Calibri" w:cstheme="minorHAnsi"/>
          <w:i/>
          <w:iCs/>
          <w:color w:val="000000"/>
          <w:sz w:val="24"/>
          <w:szCs w:val="24"/>
        </w:rPr>
        <w:t>“an impact that can be identified as resulting directly from the implementation or removal/simplification of the measure”</w:t>
      </w:r>
      <w:r>
        <w:rPr>
          <w:rFonts w:eastAsia="Calibri" w:cstheme="minorHAnsi"/>
          <w:i/>
          <w:iCs/>
          <w:color w:val="000000"/>
          <w:sz w:val="24"/>
          <w:szCs w:val="24"/>
        </w:rPr>
        <w:t>.</w:t>
      </w:r>
      <w:r w:rsidRPr="00E96C4C">
        <w:rPr>
          <w:rFonts w:eastAsia="Calibri" w:cstheme="minorHAnsi"/>
          <w:i/>
          <w:iCs/>
          <w:color w:val="000000"/>
          <w:sz w:val="24"/>
          <w:szCs w:val="24"/>
          <w:vertAlign w:val="superscript"/>
        </w:rPr>
        <w:footnoteReference w:id="1"/>
      </w:r>
    </w:p>
    <w:p w:rsidR="009F0294" w:rsidRPr="00A97AFE" w:rsidRDefault="009F0294" w:rsidP="009F0294">
      <w:pPr>
        <w:autoSpaceDE w:val="0"/>
        <w:autoSpaceDN w:val="0"/>
        <w:adjustRightInd w:val="0"/>
        <w:spacing w:after="0"/>
        <w:rPr>
          <w:rFonts w:eastAsia="Times New Roman" w:cstheme="minorHAnsi"/>
          <w:color w:val="000000"/>
          <w:sz w:val="24"/>
          <w:szCs w:val="24"/>
          <w:lang w:eastAsia="en-GB"/>
        </w:rPr>
      </w:pPr>
      <w:r w:rsidRPr="00A97AFE">
        <w:rPr>
          <w:rFonts w:eastAsia="Times New Roman" w:cstheme="minorHAnsi"/>
          <w:color w:val="000000"/>
          <w:sz w:val="24"/>
          <w:szCs w:val="24"/>
          <w:lang w:eastAsia="en-GB"/>
        </w:rPr>
        <w:t xml:space="preserve">Subsequent effects that occur as a result of the direct impacts are indirect. These are not scored in the </w:t>
      </w:r>
      <w:r>
        <w:rPr>
          <w:rFonts w:eastAsia="Times New Roman" w:cstheme="minorHAnsi"/>
          <w:color w:val="000000"/>
          <w:sz w:val="24"/>
          <w:szCs w:val="24"/>
          <w:lang w:eastAsia="en-GB"/>
        </w:rPr>
        <w:t>B</w:t>
      </w:r>
      <w:r w:rsidR="00DD457A">
        <w:rPr>
          <w:rFonts w:eastAsia="Times New Roman" w:cstheme="minorHAnsi"/>
          <w:color w:val="000000"/>
          <w:sz w:val="24"/>
          <w:szCs w:val="24"/>
          <w:lang w:eastAsia="en-GB"/>
        </w:rPr>
        <w:t>IT</w:t>
      </w:r>
      <w:r w:rsidRPr="00A97AFE">
        <w:rPr>
          <w:rFonts w:eastAsia="Times New Roman" w:cstheme="minorHAnsi"/>
          <w:color w:val="000000"/>
          <w:sz w:val="24"/>
          <w:szCs w:val="24"/>
          <w:lang w:eastAsia="en-GB"/>
        </w:rPr>
        <w:t xml:space="preserve"> but could be included in the net present value of the policy to society as a whole.</w:t>
      </w:r>
    </w:p>
    <w:p w:rsidR="009F0294" w:rsidRPr="00A97AFE" w:rsidRDefault="009F0294" w:rsidP="009F0294">
      <w:pPr>
        <w:autoSpaceDE w:val="0"/>
        <w:autoSpaceDN w:val="0"/>
        <w:adjustRightInd w:val="0"/>
        <w:spacing w:after="0" w:line="240" w:lineRule="auto"/>
        <w:rPr>
          <w:rFonts w:eastAsia="Times New Roman" w:cstheme="minorHAnsi"/>
          <w:color w:val="000000"/>
          <w:sz w:val="24"/>
          <w:szCs w:val="24"/>
          <w:lang w:eastAsia="en-GB"/>
        </w:rPr>
      </w:pPr>
    </w:p>
    <w:p w:rsidR="009F0294" w:rsidRPr="00A97AFE" w:rsidRDefault="009F0294" w:rsidP="009F0294">
      <w:pPr>
        <w:rPr>
          <w:rFonts w:cstheme="minorHAnsi"/>
          <w:sz w:val="24"/>
          <w:szCs w:val="24"/>
        </w:rPr>
      </w:pPr>
      <w:r w:rsidRPr="00A97AFE">
        <w:rPr>
          <w:rFonts w:cstheme="minorHAnsi"/>
          <w:sz w:val="24"/>
          <w:szCs w:val="24"/>
        </w:rPr>
        <w:t>There is n</w:t>
      </w:r>
      <w:r w:rsidR="00DD457A">
        <w:rPr>
          <w:rFonts w:cstheme="minorHAnsi"/>
          <w:sz w:val="24"/>
          <w:szCs w:val="24"/>
        </w:rPr>
        <w:t xml:space="preserve">o clear economic definition of </w:t>
      </w:r>
      <w:r w:rsidRPr="00A97AFE">
        <w:rPr>
          <w:rFonts w:cstheme="minorHAnsi"/>
          <w:sz w:val="24"/>
          <w:szCs w:val="24"/>
        </w:rPr>
        <w:t>direct</w:t>
      </w:r>
      <w:r w:rsidR="00DD457A">
        <w:rPr>
          <w:rFonts w:cstheme="minorHAnsi"/>
          <w:sz w:val="24"/>
          <w:szCs w:val="24"/>
        </w:rPr>
        <w:t xml:space="preserve"> and indirect</w:t>
      </w:r>
      <w:r w:rsidRPr="00A97AFE">
        <w:rPr>
          <w:rFonts w:cstheme="minorHAnsi"/>
          <w:sz w:val="24"/>
          <w:szCs w:val="24"/>
        </w:rPr>
        <w:t xml:space="preserve"> effects</w:t>
      </w:r>
      <w:r>
        <w:rPr>
          <w:rFonts w:eastAsia="Times New Roman" w:cstheme="minorHAnsi"/>
          <w:sz w:val="24"/>
          <w:szCs w:val="24"/>
        </w:rPr>
        <w:t xml:space="preserve"> and t</w:t>
      </w:r>
      <w:r>
        <w:rPr>
          <w:rFonts w:eastAsia="Times New Roman" w:cstheme="minorHAnsi"/>
          <w:color w:val="000000"/>
          <w:sz w:val="24"/>
          <w:szCs w:val="24"/>
          <w:lang w:eastAsia="en-GB"/>
        </w:rPr>
        <w:t xml:space="preserve">here is no such distinction in the HM Treasury Green Book. </w:t>
      </w:r>
      <w:r w:rsidRPr="00A97AFE">
        <w:rPr>
          <w:rFonts w:cstheme="minorHAnsi"/>
          <w:sz w:val="24"/>
          <w:szCs w:val="24"/>
        </w:rPr>
        <w:t xml:space="preserve"> It is often difficult to judge when economic impacts on business are direct or indirect and where the boundary lies between the two. The following section provides guidance to assist departments in distinguishing between </w:t>
      </w:r>
      <w:r w:rsidRPr="00A97AFE">
        <w:rPr>
          <w:rFonts w:cstheme="minorHAnsi"/>
          <w:sz w:val="24"/>
          <w:szCs w:val="24"/>
        </w:rPr>
        <w:lastRenderedPageBreak/>
        <w:t>direct and indirect effects</w:t>
      </w:r>
      <w:r w:rsidR="00DD457A">
        <w:rPr>
          <w:rFonts w:cstheme="minorHAnsi"/>
          <w:sz w:val="24"/>
          <w:szCs w:val="24"/>
        </w:rPr>
        <w:t>,</w:t>
      </w:r>
      <w:r w:rsidRPr="00A97AFE">
        <w:rPr>
          <w:rFonts w:cstheme="minorHAnsi"/>
          <w:sz w:val="24"/>
          <w:szCs w:val="24"/>
        </w:rPr>
        <w:t xml:space="preserve"> along with some examples from the previous parliament. However, this will always be a matter of judgement and</w:t>
      </w:r>
      <w:r w:rsidR="00D60E16">
        <w:rPr>
          <w:rFonts w:cstheme="minorHAnsi"/>
          <w:sz w:val="24"/>
          <w:szCs w:val="24"/>
        </w:rPr>
        <w:t xml:space="preserve">, therefore, this guidance </w:t>
      </w:r>
      <w:r w:rsidRPr="00A97AFE">
        <w:rPr>
          <w:rFonts w:cstheme="minorHAnsi"/>
          <w:sz w:val="24"/>
          <w:szCs w:val="24"/>
        </w:rPr>
        <w:t xml:space="preserve">should </w:t>
      </w:r>
      <w:r w:rsidR="00D60E16">
        <w:rPr>
          <w:rFonts w:cstheme="minorHAnsi"/>
          <w:sz w:val="24"/>
          <w:szCs w:val="24"/>
        </w:rPr>
        <w:t xml:space="preserve">not </w:t>
      </w:r>
      <w:r w:rsidRPr="00A97AFE">
        <w:rPr>
          <w:rFonts w:cstheme="minorHAnsi"/>
          <w:sz w:val="24"/>
          <w:szCs w:val="24"/>
        </w:rPr>
        <w:t>be treated as</w:t>
      </w:r>
      <w:r w:rsidR="00D60E16">
        <w:rPr>
          <w:rFonts w:cstheme="minorHAnsi"/>
          <w:sz w:val="24"/>
          <w:szCs w:val="24"/>
        </w:rPr>
        <w:t xml:space="preserve"> definitive.</w:t>
      </w:r>
      <w:r w:rsidRPr="00A97AFE">
        <w:rPr>
          <w:rFonts w:cstheme="minorHAnsi"/>
          <w:sz w:val="24"/>
          <w:szCs w:val="24"/>
        </w:rPr>
        <w:t xml:space="preserve"> </w:t>
      </w:r>
    </w:p>
    <w:p w:rsidR="009F0294" w:rsidRPr="00A97AFE" w:rsidRDefault="009F0294" w:rsidP="009F0294">
      <w:pPr>
        <w:keepNext/>
        <w:keepLines/>
        <w:spacing w:before="200" w:after="240"/>
        <w:outlineLvl w:val="2"/>
        <w:rPr>
          <w:rFonts w:eastAsiaTheme="majorEastAsia" w:cstheme="minorHAnsi"/>
          <w:b/>
          <w:bCs/>
          <w:color w:val="E36C0A" w:themeColor="accent6" w:themeShade="BF"/>
          <w:sz w:val="26"/>
          <w:szCs w:val="26"/>
        </w:rPr>
      </w:pPr>
      <w:r w:rsidRPr="00A97AFE">
        <w:rPr>
          <w:rFonts w:eastAsiaTheme="majorEastAsia" w:cstheme="minorHAnsi"/>
          <w:b/>
          <w:bCs/>
          <w:color w:val="E36C0A" w:themeColor="accent6" w:themeShade="BF"/>
          <w:sz w:val="26"/>
          <w:szCs w:val="26"/>
        </w:rPr>
        <w:t>Step 1- Identify the broad type and scope of the regulatory measure</w:t>
      </w:r>
    </w:p>
    <w:p w:rsidR="009F0294" w:rsidRPr="00E96C4C" w:rsidRDefault="009F0294" w:rsidP="009F0294">
      <w:pPr>
        <w:rPr>
          <w:rFonts w:cstheme="minorHAnsi"/>
          <w:sz w:val="24"/>
          <w:szCs w:val="24"/>
        </w:rPr>
      </w:pPr>
      <w:r w:rsidRPr="00E96C4C">
        <w:rPr>
          <w:rFonts w:cstheme="minorHAnsi"/>
          <w:sz w:val="24"/>
          <w:szCs w:val="24"/>
        </w:rPr>
        <w:t>Departments should consider whether the anticipated impacts are consistent with the type of measure being proposed. For instance</w:t>
      </w:r>
      <w:r w:rsidR="00DD457A">
        <w:rPr>
          <w:rFonts w:cstheme="minorHAnsi"/>
          <w:sz w:val="24"/>
          <w:szCs w:val="24"/>
        </w:rPr>
        <w:t>,</w:t>
      </w:r>
      <w:r w:rsidRPr="00E96C4C">
        <w:rPr>
          <w:rFonts w:cstheme="minorHAnsi"/>
          <w:sz w:val="24"/>
          <w:szCs w:val="24"/>
        </w:rPr>
        <w:t xml:space="preserve"> an impact is more likely to be direct if it:</w:t>
      </w:r>
    </w:p>
    <w:p w:rsidR="009F0294" w:rsidRPr="00E96C4C" w:rsidRDefault="009F0294" w:rsidP="009F0294">
      <w:pPr>
        <w:numPr>
          <w:ilvl w:val="0"/>
          <w:numId w:val="1"/>
        </w:numPr>
        <w:spacing w:line="360" w:lineRule="auto"/>
        <w:contextualSpacing/>
        <w:rPr>
          <w:rFonts w:cstheme="minorHAnsi"/>
          <w:sz w:val="24"/>
          <w:szCs w:val="24"/>
        </w:rPr>
      </w:pPr>
      <w:r w:rsidRPr="00E96C4C">
        <w:rPr>
          <w:rFonts w:cstheme="minorHAnsi"/>
          <w:sz w:val="24"/>
          <w:szCs w:val="24"/>
        </w:rPr>
        <w:t>bans, restricts</w:t>
      </w:r>
      <w:r w:rsidR="00647387">
        <w:rPr>
          <w:rFonts w:cstheme="minorHAnsi"/>
          <w:sz w:val="24"/>
          <w:szCs w:val="24"/>
        </w:rPr>
        <w:t>, liberalises,</w:t>
      </w:r>
      <w:r w:rsidRPr="00E96C4C">
        <w:rPr>
          <w:rFonts w:cstheme="minorHAnsi"/>
          <w:sz w:val="24"/>
          <w:szCs w:val="24"/>
        </w:rPr>
        <w:t xml:space="preserve"> increases </w:t>
      </w:r>
      <w:r w:rsidR="00647387">
        <w:rPr>
          <w:rFonts w:cstheme="minorHAnsi"/>
          <w:sz w:val="24"/>
          <w:szCs w:val="24"/>
        </w:rPr>
        <w:t xml:space="preserve">or decreases </w:t>
      </w:r>
      <w:r w:rsidRPr="00E96C4C">
        <w:rPr>
          <w:rFonts w:cstheme="minorHAnsi"/>
          <w:sz w:val="24"/>
          <w:szCs w:val="24"/>
        </w:rPr>
        <w:t>the cost of a particular activity; and/or</w:t>
      </w:r>
    </w:p>
    <w:p w:rsidR="009F0294" w:rsidRPr="00E96C4C" w:rsidRDefault="009F0294" w:rsidP="009F0294">
      <w:pPr>
        <w:numPr>
          <w:ilvl w:val="0"/>
          <w:numId w:val="1"/>
        </w:numPr>
        <w:contextualSpacing/>
        <w:rPr>
          <w:rFonts w:cstheme="minorHAnsi"/>
          <w:sz w:val="24"/>
          <w:szCs w:val="24"/>
        </w:rPr>
      </w:pPr>
      <w:r w:rsidRPr="00E96C4C">
        <w:rPr>
          <w:rFonts w:cstheme="minorHAnsi"/>
          <w:sz w:val="24"/>
          <w:szCs w:val="24"/>
        </w:rPr>
        <w:t>displaces or restricts specific business activities designed to maintain or create sales</w:t>
      </w:r>
      <w:r w:rsidR="00DD457A">
        <w:rPr>
          <w:rFonts w:cstheme="minorHAnsi"/>
          <w:sz w:val="24"/>
          <w:szCs w:val="24"/>
        </w:rPr>
        <w:t>,</w:t>
      </w:r>
      <w:r w:rsidRPr="00E96C4C">
        <w:rPr>
          <w:rFonts w:cstheme="minorHAnsi"/>
          <w:sz w:val="24"/>
          <w:szCs w:val="24"/>
        </w:rPr>
        <w:t xml:space="preserve"> e.g. product differentiation and promotional activities.</w:t>
      </w:r>
    </w:p>
    <w:p w:rsidR="009F0294" w:rsidRDefault="009F0294" w:rsidP="009F0294">
      <w:pPr>
        <w:rPr>
          <w:rFonts w:cstheme="minorHAnsi"/>
          <w:sz w:val="24"/>
          <w:szCs w:val="24"/>
        </w:rPr>
      </w:pPr>
    </w:p>
    <w:p w:rsidR="009F0294" w:rsidRDefault="009F0294" w:rsidP="009F0294">
      <w:pPr>
        <w:rPr>
          <w:rFonts w:cstheme="minorHAnsi"/>
          <w:sz w:val="24"/>
          <w:szCs w:val="24"/>
        </w:rPr>
      </w:pPr>
      <w:r w:rsidRPr="00E96C4C">
        <w:rPr>
          <w:rFonts w:cstheme="minorHAnsi"/>
          <w:sz w:val="24"/>
          <w:szCs w:val="24"/>
        </w:rPr>
        <w:t xml:space="preserve">In addition, if the impacts fall on those businesses subject to the regulation and accountable for compliance, they are more likely to be direct than impacts on businesses further down the </w:t>
      </w:r>
      <w:r w:rsidR="008A2EED">
        <w:rPr>
          <w:rFonts w:cstheme="minorHAnsi"/>
          <w:sz w:val="24"/>
          <w:szCs w:val="24"/>
        </w:rPr>
        <w:t>supply</w:t>
      </w:r>
      <w:r w:rsidRPr="00E96C4C">
        <w:rPr>
          <w:rFonts w:cstheme="minorHAnsi"/>
          <w:sz w:val="24"/>
          <w:szCs w:val="24"/>
        </w:rPr>
        <w:t xml:space="preserve"> chain.</w:t>
      </w:r>
    </w:p>
    <w:p w:rsidR="0087055B" w:rsidRDefault="0087055B" w:rsidP="0087055B">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0149D">
        <w:rPr>
          <w:rFonts w:eastAsia="Times New Roman" w:cstheme="minorHAnsi"/>
          <w:b/>
          <w:sz w:val="24"/>
          <w:szCs w:val="24"/>
          <w:lang w:eastAsia="en-GB"/>
        </w:rPr>
        <w:t>Banning of Inducements to Make Personal Injury Claims (RPC14-FT-MOJ-2125)</w:t>
      </w:r>
      <w:r>
        <w:rPr>
          <w:rFonts w:eastAsia="Times New Roman" w:cstheme="minorHAnsi"/>
          <w:b/>
          <w:sz w:val="24"/>
          <w:szCs w:val="24"/>
          <w:lang w:eastAsia="en-GB"/>
        </w:rPr>
        <w:t xml:space="preserve">: </w:t>
      </w:r>
    </w:p>
    <w:p w:rsidR="0087055B" w:rsidRPr="00DA3490" w:rsidRDefault="0087055B" w:rsidP="0087055B">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0149D">
        <w:rPr>
          <w:rFonts w:eastAsia="Times New Roman" w:cstheme="minorHAnsi"/>
          <w:sz w:val="24"/>
          <w:szCs w:val="24"/>
          <w:lang w:eastAsia="en-GB"/>
        </w:rPr>
        <w:t>This proposal ban</w:t>
      </w:r>
      <w:r>
        <w:rPr>
          <w:rFonts w:eastAsia="Times New Roman" w:cstheme="minorHAnsi"/>
          <w:sz w:val="24"/>
          <w:szCs w:val="24"/>
          <w:lang w:eastAsia="en-GB"/>
        </w:rPr>
        <w:t>ned</w:t>
      </w:r>
      <w:r w:rsidRPr="0020149D">
        <w:rPr>
          <w:rFonts w:eastAsia="Times New Roman" w:cstheme="minorHAnsi"/>
          <w:sz w:val="24"/>
          <w:szCs w:val="24"/>
          <w:lang w:eastAsia="en-GB"/>
        </w:rPr>
        <w:t xml:space="preserve"> lawyers from offering claimants financial inducements, or similar rewards, in return for making a claim.  The objectives were to discourage weaker personal injury compensation claims from being made and to prevent claimants from being misled by offers of inducements which do not materialise in practice. The IA estimated that the policy would result in a reduction in the overall volume of claims. However, the IA asserted that the subsequent reduction i</w:t>
      </w:r>
      <w:r>
        <w:rPr>
          <w:rFonts w:eastAsia="Times New Roman" w:cstheme="minorHAnsi"/>
          <w:sz w:val="24"/>
          <w:szCs w:val="24"/>
          <w:lang w:eastAsia="en-GB"/>
        </w:rPr>
        <w:t xml:space="preserve">n income to lawyers would be </w:t>
      </w:r>
      <w:r w:rsidRPr="0020149D">
        <w:rPr>
          <w:rFonts w:eastAsia="Times New Roman" w:cstheme="minorHAnsi"/>
          <w:sz w:val="24"/>
          <w:szCs w:val="24"/>
          <w:lang w:eastAsia="en-GB"/>
        </w:rPr>
        <w:t xml:space="preserve">a result of behavioural change on behalf of the claimant, and </w:t>
      </w:r>
      <w:r>
        <w:rPr>
          <w:rFonts w:eastAsia="Times New Roman" w:cstheme="minorHAnsi"/>
          <w:sz w:val="24"/>
          <w:szCs w:val="24"/>
          <w:lang w:eastAsia="en-GB"/>
        </w:rPr>
        <w:t xml:space="preserve">therefore </w:t>
      </w:r>
      <w:r w:rsidRPr="0020149D">
        <w:rPr>
          <w:rFonts w:eastAsia="Times New Roman" w:cstheme="minorHAnsi"/>
          <w:sz w:val="24"/>
          <w:szCs w:val="24"/>
          <w:lang w:eastAsia="en-GB"/>
        </w:rPr>
        <w:t xml:space="preserve">should be considered to be indirect.  </w:t>
      </w:r>
    </w:p>
    <w:p w:rsidR="0087055B" w:rsidRPr="0020149D" w:rsidRDefault="0087055B" w:rsidP="0087055B">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87055B" w:rsidRPr="0020149D" w:rsidRDefault="0087055B" w:rsidP="0087055B">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20149D">
        <w:rPr>
          <w:rFonts w:eastAsia="Times New Roman" w:cstheme="minorHAnsi"/>
          <w:sz w:val="24"/>
          <w:szCs w:val="24"/>
          <w:lang w:eastAsia="en-GB"/>
        </w:rPr>
        <w:t xml:space="preserve">The </w:t>
      </w:r>
      <w:r>
        <w:rPr>
          <w:rFonts w:eastAsia="Times New Roman" w:cstheme="minorHAnsi"/>
          <w:sz w:val="24"/>
          <w:szCs w:val="24"/>
          <w:lang w:eastAsia="en-GB"/>
        </w:rPr>
        <w:t>RPC</w:t>
      </w:r>
      <w:r w:rsidRPr="0020149D">
        <w:rPr>
          <w:rFonts w:eastAsia="Times New Roman" w:cstheme="minorHAnsi"/>
          <w:sz w:val="24"/>
          <w:szCs w:val="24"/>
          <w:lang w:eastAsia="en-GB"/>
        </w:rPr>
        <w:t xml:space="preserve"> rejected the behavioural change argument and concluded that the reduced volume of claims would be a direct impact of the regulation</w:t>
      </w:r>
      <w:r>
        <w:rPr>
          <w:rFonts w:eastAsia="Times New Roman" w:cstheme="minorHAnsi"/>
          <w:sz w:val="24"/>
          <w:szCs w:val="24"/>
          <w:lang w:eastAsia="en-GB"/>
        </w:rPr>
        <w:t>. This is bec</w:t>
      </w:r>
      <w:r w:rsidRPr="0020149D">
        <w:rPr>
          <w:rFonts w:eastAsia="Times New Roman" w:cstheme="minorHAnsi"/>
          <w:sz w:val="24"/>
          <w:szCs w:val="24"/>
          <w:lang w:eastAsia="en-GB"/>
        </w:rPr>
        <w:t>a</w:t>
      </w:r>
      <w:r>
        <w:rPr>
          <w:rFonts w:eastAsia="Times New Roman" w:cstheme="minorHAnsi"/>
          <w:sz w:val="24"/>
          <w:szCs w:val="24"/>
          <w:lang w:eastAsia="en-GB"/>
        </w:rPr>
        <w:t>u</w:t>
      </w:r>
      <w:r w:rsidRPr="0020149D">
        <w:rPr>
          <w:rFonts w:eastAsia="Times New Roman" w:cstheme="minorHAnsi"/>
          <w:sz w:val="24"/>
          <w:szCs w:val="24"/>
          <w:lang w:eastAsia="en-GB"/>
        </w:rPr>
        <w:t>s</w:t>
      </w:r>
      <w:r>
        <w:rPr>
          <w:rFonts w:eastAsia="Times New Roman" w:cstheme="minorHAnsi"/>
          <w:sz w:val="24"/>
          <w:szCs w:val="24"/>
          <w:lang w:eastAsia="en-GB"/>
        </w:rPr>
        <w:t>e</w:t>
      </w:r>
      <w:r w:rsidRPr="0020149D">
        <w:rPr>
          <w:rFonts w:eastAsia="Times New Roman" w:cstheme="minorHAnsi"/>
          <w:sz w:val="24"/>
          <w:szCs w:val="24"/>
          <w:lang w:eastAsia="en-GB"/>
        </w:rPr>
        <w:t xml:space="preserve"> the proposal introduces a direct ban on an activity</w:t>
      </w:r>
      <w:r>
        <w:rPr>
          <w:rFonts w:eastAsia="Times New Roman" w:cstheme="minorHAnsi"/>
          <w:sz w:val="24"/>
          <w:szCs w:val="24"/>
          <w:lang w:eastAsia="en-GB"/>
        </w:rPr>
        <w:t xml:space="preserve">, </w:t>
      </w:r>
      <w:r w:rsidRPr="0020149D">
        <w:rPr>
          <w:rFonts w:eastAsia="Times New Roman" w:cstheme="minorHAnsi"/>
          <w:sz w:val="24"/>
          <w:szCs w:val="24"/>
          <w:lang w:eastAsia="en-GB"/>
        </w:rPr>
        <w:t>result</w:t>
      </w:r>
      <w:r>
        <w:rPr>
          <w:rFonts w:eastAsia="Times New Roman" w:cstheme="minorHAnsi"/>
          <w:sz w:val="24"/>
          <w:szCs w:val="24"/>
          <w:lang w:eastAsia="en-GB"/>
        </w:rPr>
        <w:t>ing in a loss of</w:t>
      </w:r>
      <w:r w:rsidRPr="0020149D">
        <w:rPr>
          <w:rFonts w:eastAsia="Times New Roman" w:cstheme="minorHAnsi"/>
          <w:sz w:val="24"/>
          <w:szCs w:val="24"/>
          <w:lang w:eastAsia="en-GB"/>
        </w:rPr>
        <w:t xml:space="preserve"> profit to business. </w:t>
      </w:r>
      <w:r>
        <w:rPr>
          <w:rFonts w:eastAsia="Times New Roman" w:cstheme="minorHAnsi"/>
          <w:sz w:val="24"/>
          <w:szCs w:val="24"/>
          <w:lang w:eastAsia="en-GB"/>
        </w:rPr>
        <w:t>T</w:t>
      </w:r>
      <w:r w:rsidRPr="0020149D">
        <w:rPr>
          <w:rFonts w:eastAsia="Times New Roman" w:cstheme="minorHAnsi"/>
          <w:sz w:val="24"/>
          <w:szCs w:val="24"/>
          <w:lang w:eastAsia="en-GB"/>
        </w:rPr>
        <w:t xml:space="preserve">he ability of lawyers to attract customers, who would have used their service in return for an inducement, has now been banned. </w:t>
      </w:r>
      <w:r>
        <w:rPr>
          <w:rFonts w:eastAsia="Times New Roman" w:cstheme="minorHAnsi"/>
          <w:sz w:val="24"/>
          <w:szCs w:val="24"/>
          <w:lang w:eastAsia="en-GB"/>
        </w:rPr>
        <w:t>T</w:t>
      </w:r>
      <w:r w:rsidRPr="0020149D">
        <w:rPr>
          <w:rFonts w:eastAsia="Times New Roman" w:cstheme="minorHAnsi"/>
          <w:sz w:val="24"/>
          <w:szCs w:val="24"/>
          <w:lang w:eastAsia="en-GB"/>
        </w:rPr>
        <w:t>he lost profit to solicitors from a reduction in these cases should</w:t>
      </w:r>
      <w:r>
        <w:rPr>
          <w:rFonts w:eastAsia="Times New Roman" w:cstheme="minorHAnsi"/>
          <w:sz w:val="24"/>
          <w:szCs w:val="24"/>
          <w:lang w:eastAsia="en-GB"/>
        </w:rPr>
        <w:t>, therefore,</w:t>
      </w:r>
      <w:r w:rsidRPr="0020149D">
        <w:rPr>
          <w:rFonts w:eastAsia="Times New Roman" w:cstheme="minorHAnsi"/>
          <w:sz w:val="24"/>
          <w:szCs w:val="24"/>
          <w:lang w:eastAsia="en-GB"/>
        </w:rPr>
        <w:t xml:space="preserve"> be considered to be a direct impact of the proposal. (IA)</w:t>
      </w:r>
    </w:p>
    <w:p w:rsidR="00207442" w:rsidRPr="00207442" w:rsidRDefault="00207442" w:rsidP="0087055B">
      <w:r w:rsidRPr="00207442">
        <w:rPr>
          <w:rFonts w:eastAsia="Times New Roman" w:cstheme="minorHAnsi"/>
          <w:sz w:val="24"/>
          <w:szCs w:val="24"/>
          <w:lang w:eastAsia="en-GB"/>
        </w:rPr>
        <w:t>See also case study ‘Standardised Packaging of Tobacco Products’.</w:t>
      </w:r>
    </w:p>
    <w:p w:rsidR="00BF302B" w:rsidRDefault="00BF302B" w:rsidP="009F0294">
      <w:pPr>
        <w:keepNext/>
        <w:keepLines/>
        <w:spacing w:before="200" w:after="240"/>
        <w:outlineLvl w:val="2"/>
        <w:rPr>
          <w:rFonts w:eastAsiaTheme="majorEastAsia" w:cstheme="minorHAnsi"/>
          <w:b/>
          <w:bCs/>
          <w:color w:val="E36C0A" w:themeColor="accent6" w:themeShade="BF"/>
          <w:sz w:val="26"/>
          <w:szCs w:val="26"/>
        </w:rPr>
      </w:pPr>
    </w:p>
    <w:p w:rsidR="009F0294" w:rsidRPr="00A97AFE" w:rsidRDefault="009F0294" w:rsidP="009F0294">
      <w:pPr>
        <w:keepNext/>
        <w:keepLines/>
        <w:spacing w:before="200" w:after="240"/>
        <w:outlineLvl w:val="2"/>
        <w:rPr>
          <w:rFonts w:eastAsiaTheme="majorEastAsia" w:cstheme="minorHAnsi"/>
          <w:b/>
          <w:bCs/>
          <w:color w:val="E36C0A" w:themeColor="accent6" w:themeShade="BF"/>
          <w:sz w:val="26"/>
          <w:szCs w:val="26"/>
        </w:rPr>
      </w:pPr>
      <w:r w:rsidRPr="00A97AFE">
        <w:rPr>
          <w:rFonts w:eastAsiaTheme="majorEastAsia" w:cstheme="minorHAnsi"/>
          <w:b/>
          <w:bCs/>
          <w:color w:val="E36C0A" w:themeColor="accent6" w:themeShade="BF"/>
          <w:sz w:val="26"/>
          <w:szCs w:val="26"/>
        </w:rPr>
        <w:t>Step 2 - Distinguish between first round and subsequent impacts</w:t>
      </w:r>
    </w:p>
    <w:p w:rsidR="009F0294" w:rsidRPr="00E96C4C" w:rsidRDefault="009F0294" w:rsidP="009F0294">
      <w:pPr>
        <w:rPr>
          <w:rFonts w:cstheme="minorHAnsi"/>
          <w:sz w:val="24"/>
          <w:szCs w:val="24"/>
        </w:rPr>
      </w:pPr>
      <w:r w:rsidRPr="00E96C4C">
        <w:rPr>
          <w:rFonts w:cstheme="minorHAnsi"/>
          <w:sz w:val="24"/>
          <w:szCs w:val="24"/>
        </w:rPr>
        <w:t>Immediate and unavoidable (first round) effects of a measure in the affected market are more likely to be direct. This could involve a shift in either the supply curve (</w:t>
      </w:r>
      <w:r w:rsidR="00D6467B">
        <w:rPr>
          <w:rFonts w:cstheme="minorHAnsi"/>
          <w:sz w:val="24"/>
          <w:szCs w:val="24"/>
        </w:rPr>
        <w:t>e.g.</w:t>
      </w:r>
      <w:r w:rsidRPr="00E96C4C">
        <w:rPr>
          <w:rFonts w:cstheme="minorHAnsi"/>
          <w:sz w:val="24"/>
          <w:szCs w:val="24"/>
        </w:rPr>
        <w:t xml:space="preserve"> due to a change in production costs) and/or demand curve (e.g. </w:t>
      </w:r>
      <w:r w:rsidR="00D6467B">
        <w:rPr>
          <w:rFonts w:cstheme="minorHAnsi"/>
          <w:sz w:val="24"/>
          <w:szCs w:val="24"/>
        </w:rPr>
        <w:t xml:space="preserve">from </w:t>
      </w:r>
      <w:r w:rsidRPr="00E96C4C">
        <w:rPr>
          <w:rFonts w:cstheme="minorHAnsi"/>
          <w:sz w:val="24"/>
          <w:szCs w:val="24"/>
        </w:rPr>
        <w:t xml:space="preserve">removing a restriction on </w:t>
      </w:r>
      <w:r w:rsidRPr="00E96C4C">
        <w:rPr>
          <w:rFonts w:cstheme="minorHAnsi"/>
          <w:sz w:val="24"/>
          <w:szCs w:val="24"/>
        </w:rPr>
        <w:lastRenderedPageBreak/>
        <w:t>purchasing a product) or a regulated change in the market price</w:t>
      </w:r>
      <w:r w:rsidRPr="00E96C4C">
        <w:rPr>
          <w:rFonts w:cstheme="minorHAnsi"/>
          <w:sz w:val="24"/>
          <w:szCs w:val="24"/>
          <w:vertAlign w:val="superscript"/>
        </w:rPr>
        <w:footnoteReference w:id="2"/>
      </w:r>
      <w:r w:rsidRPr="00E96C4C">
        <w:rPr>
          <w:rFonts w:cstheme="minorHAnsi"/>
          <w:sz w:val="24"/>
          <w:szCs w:val="24"/>
        </w:rPr>
        <w:t xml:space="preserve"> (e.g. </w:t>
      </w:r>
      <w:r w:rsidR="00D6467B">
        <w:rPr>
          <w:rFonts w:cstheme="minorHAnsi"/>
          <w:sz w:val="24"/>
          <w:szCs w:val="24"/>
        </w:rPr>
        <w:t xml:space="preserve">imposing </w:t>
      </w:r>
      <w:r w:rsidRPr="00E96C4C">
        <w:rPr>
          <w:rFonts w:cstheme="minorHAnsi"/>
          <w:sz w:val="24"/>
          <w:szCs w:val="24"/>
        </w:rPr>
        <w:t xml:space="preserve">a minimum price which moves </w:t>
      </w:r>
      <w:r w:rsidR="00D6467B">
        <w:rPr>
          <w:rFonts w:cstheme="minorHAnsi"/>
          <w:sz w:val="24"/>
          <w:szCs w:val="24"/>
        </w:rPr>
        <w:t xml:space="preserve">price </w:t>
      </w:r>
      <w:r w:rsidRPr="00E96C4C">
        <w:rPr>
          <w:rFonts w:cstheme="minorHAnsi"/>
          <w:sz w:val="24"/>
          <w:szCs w:val="24"/>
        </w:rPr>
        <w:t>away from the market clearing price).</w:t>
      </w:r>
    </w:p>
    <w:p w:rsidR="009F0294" w:rsidRPr="00E96C4C" w:rsidRDefault="009F0294" w:rsidP="009F0294">
      <w:pPr>
        <w:rPr>
          <w:rFonts w:cstheme="minorHAnsi"/>
          <w:sz w:val="24"/>
          <w:szCs w:val="24"/>
        </w:rPr>
      </w:pPr>
      <w:r w:rsidRPr="00E96C4C">
        <w:rPr>
          <w:rFonts w:cstheme="minorHAnsi"/>
          <w:sz w:val="24"/>
          <w:szCs w:val="24"/>
        </w:rPr>
        <w:t xml:space="preserve">Subsequent effects in the regulated market beyond the immediate implications of the measure are likely to be indirect. These effects occur subsequent to the adjustment to a new equilibrium immediately following the measure. For example, it could be the result of: </w:t>
      </w:r>
    </w:p>
    <w:p w:rsidR="009F0294" w:rsidRPr="00E96C4C" w:rsidRDefault="009F0294" w:rsidP="009F0294">
      <w:pPr>
        <w:numPr>
          <w:ilvl w:val="0"/>
          <w:numId w:val="2"/>
        </w:numPr>
        <w:contextualSpacing/>
        <w:rPr>
          <w:rFonts w:cstheme="minorHAnsi"/>
          <w:sz w:val="24"/>
          <w:szCs w:val="24"/>
        </w:rPr>
      </w:pPr>
      <w:r w:rsidRPr="00E96C4C">
        <w:rPr>
          <w:rFonts w:cstheme="minorHAnsi"/>
          <w:sz w:val="24"/>
          <w:szCs w:val="24"/>
        </w:rPr>
        <w:t xml:space="preserve">a significant reallocation of resources; </w:t>
      </w:r>
    </w:p>
    <w:p w:rsidR="009F0294" w:rsidRPr="00E96C4C" w:rsidRDefault="009F0294" w:rsidP="009F0294">
      <w:pPr>
        <w:numPr>
          <w:ilvl w:val="0"/>
          <w:numId w:val="2"/>
        </w:numPr>
        <w:contextualSpacing/>
        <w:rPr>
          <w:rFonts w:cstheme="minorHAnsi"/>
          <w:sz w:val="24"/>
          <w:szCs w:val="24"/>
        </w:rPr>
      </w:pPr>
      <w:r w:rsidRPr="00E96C4C">
        <w:rPr>
          <w:rFonts w:cstheme="minorHAnsi"/>
          <w:sz w:val="24"/>
          <w:szCs w:val="24"/>
        </w:rPr>
        <w:t>product and/or process innovation by existing businesses;</w:t>
      </w:r>
    </w:p>
    <w:p w:rsidR="009F0294" w:rsidRPr="00E96C4C" w:rsidRDefault="009F0294" w:rsidP="009F0294">
      <w:pPr>
        <w:numPr>
          <w:ilvl w:val="0"/>
          <w:numId w:val="2"/>
        </w:numPr>
        <w:contextualSpacing/>
        <w:rPr>
          <w:rFonts w:cstheme="minorHAnsi"/>
          <w:sz w:val="24"/>
          <w:szCs w:val="24"/>
        </w:rPr>
      </w:pPr>
      <w:r w:rsidRPr="00E96C4C">
        <w:rPr>
          <w:rFonts w:cstheme="minorHAnsi"/>
          <w:sz w:val="24"/>
          <w:szCs w:val="24"/>
        </w:rPr>
        <w:t xml:space="preserve">the creation of new firms/institutions; and/or </w:t>
      </w:r>
    </w:p>
    <w:p w:rsidR="009F0294" w:rsidRDefault="009F0294" w:rsidP="009F0294">
      <w:pPr>
        <w:numPr>
          <w:ilvl w:val="0"/>
          <w:numId w:val="2"/>
        </w:numPr>
        <w:contextualSpacing/>
        <w:rPr>
          <w:rFonts w:cstheme="minorHAnsi"/>
          <w:sz w:val="24"/>
          <w:szCs w:val="24"/>
        </w:rPr>
      </w:pPr>
      <w:r w:rsidRPr="00E96C4C">
        <w:rPr>
          <w:rFonts w:cstheme="minorHAnsi"/>
          <w:sz w:val="24"/>
          <w:szCs w:val="24"/>
        </w:rPr>
        <w:t>productivity gains due to changes in business models or working practices.</w:t>
      </w:r>
    </w:p>
    <w:p w:rsidR="009F0294" w:rsidRDefault="009F0294" w:rsidP="009F0294">
      <w:pPr>
        <w:contextualSpacing/>
        <w:rPr>
          <w:rFonts w:cstheme="minorHAnsi"/>
          <w:sz w:val="24"/>
          <w:szCs w:val="24"/>
        </w:rPr>
      </w:pPr>
    </w:p>
    <w:p w:rsidR="0087055B" w:rsidRDefault="0087055B" w:rsidP="0087055B">
      <w:pPr>
        <w:jc w:val="both"/>
        <w:rPr>
          <w:b/>
        </w:rPr>
      </w:pPr>
    </w:p>
    <w:p w:rsidR="0087055B" w:rsidRPr="00DA3490" w:rsidRDefault="0087055B" w:rsidP="0087055B">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0149D">
        <w:rPr>
          <w:rFonts w:eastAsia="Times New Roman" w:cstheme="minorHAnsi"/>
          <w:b/>
          <w:sz w:val="24"/>
          <w:szCs w:val="24"/>
          <w:lang w:eastAsia="en-GB"/>
        </w:rPr>
        <w:t>Proposed changes to Part L of the Building Reg</w:t>
      </w:r>
      <w:r>
        <w:rPr>
          <w:rFonts w:eastAsia="Times New Roman" w:cstheme="minorHAnsi"/>
          <w:b/>
          <w:sz w:val="24"/>
          <w:szCs w:val="24"/>
          <w:lang w:eastAsia="en-GB"/>
        </w:rPr>
        <w:t xml:space="preserve">ulations 2013 (RPC11-CLG-1130): </w:t>
      </w:r>
      <w:r w:rsidRPr="0020149D">
        <w:rPr>
          <w:rFonts w:eastAsia="Times New Roman" w:cstheme="minorHAnsi"/>
          <w:sz w:val="24"/>
          <w:szCs w:val="24"/>
          <w:lang w:eastAsia="en-GB"/>
        </w:rPr>
        <w:t xml:space="preserve">The policy amended the building regulations to increase energy efficiency standards. The measure imposed a cost </w:t>
      </w:r>
      <w:r>
        <w:rPr>
          <w:rFonts w:eastAsia="Times New Roman" w:cstheme="minorHAnsi"/>
          <w:sz w:val="24"/>
          <w:szCs w:val="24"/>
          <w:lang w:eastAsia="en-GB"/>
        </w:rPr>
        <w:t>on</w:t>
      </w:r>
      <w:r w:rsidRPr="0020149D">
        <w:rPr>
          <w:rFonts w:eastAsia="Times New Roman" w:cstheme="minorHAnsi"/>
          <w:sz w:val="24"/>
          <w:szCs w:val="24"/>
          <w:lang w:eastAsia="en-GB"/>
        </w:rPr>
        <w:t xml:space="preserve"> builders, but </w:t>
      </w:r>
      <w:r>
        <w:rPr>
          <w:rFonts w:eastAsia="Times New Roman" w:cstheme="minorHAnsi"/>
          <w:sz w:val="24"/>
          <w:szCs w:val="24"/>
          <w:lang w:eastAsia="en-GB"/>
        </w:rPr>
        <w:t>was</w:t>
      </w:r>
      <w:r w:rsidRPr="0020149D">
        <w:rPr>
          <w:rFonts w:eastAsia="Times New Roman" w:cstheme="minorHAnsi"/>
          <w:sz w:val="24"/>
          <w:szCs w:val="24"/>
          <w:lang w:eastAsia="en-GB"/>
        </w:rPr>
        <w:t xml:space="preserve"> benefi</w:t>
      </w:r>
      <w:r>
        <w:rPr>
          <w:rFonts w:eastAsia="Times New Roman" w:cstheme="minorHAnsi"/>
          <w:sz w:val="24"/>
          <w:szCs w:val="24"/>
          <w:lang w:eastAsia="en-GB"/>
        </w:rPr>
        <w:t>cial</w:t>
      </w:r>
      <w:r w:rsidRPr="0020149D">
        <w:rPr>
          <w:rFonts w:eastAsia="Times New Roman" w:cstheme="minorHAnsi"/>
          <w:sz w:val="24"/>
          <w:szCs w:val="24"/>
          <w:lang w:eastAsia="en-GB"/>
        </w:rPr>
        <w:t xml:space="preserve"> to the eventual occupants of buildings </w:t>
      </w:r>
      <w:r>
        <w:rPr>
          <w:rFonts w:eastAsia="Times New Roman" w:cstheme="minorHAnsi"/>
          <w:sz w:val="24"/>
          <w:szCs w:val="24"/>
          <w:lang w:eastAsia="en-GB"/>
        </w:rPr>
        <w:t xml:space="preserve">because </w:t>
      </w:r>
      <w:r w:rsidRPr="0020149D">
        <w:rPr>
          <w:rFonts w:eastAsia="Times New Roman" w:cstheme="minorHAnsi"/>
          <w:sz w:val="24"/>
          <w:szCs w:val="24"/>
          <w:lang w:eastAsia="en-GB"/>
        </w:rPr>
        <w:t>of lower heating costs. As the lower costs would be an automatic result of the more efficient buildings and not require a change in behaviour</w:t>
      </w:r>
      <w:r>
        <w:rPr>
          <w:rFonts w:eastAsia="Times New Roman" w:cstheme="minorHAnsi"/>
          <w:sz w:val="24"/>
          <w:szCs w:val="24"/>
          <w:lang w:eastAsia="en-GB"/>
        </w:rPr>
        <w:t>,</w:t>
      </w:r>
      <w:r w:rsidRPr="0020149D">
        <w:rPr>
          <w:rFonts w:eastAsia="Times New Roman" w:cstheme="minorHAnsi"/>
          <w:sz w:val="24"/>
          <w:szCs w:val="24"/>
          <w:lang w:eastAsia="en-GB"/>
        </w:rPr>
        <w:t xml:space="preserve"> they were considered to be direct. The policy was</w:t>
      </w:r>
      <w:r>
        <w:rPr>
          <w:rFonts w:eastAsia="Times New Roman" w:cstheme="minorHAnsi"/>
          <w:sz w:val="24"/>
          <w:szCs w:val="24"/>
          <w:lang w:eastAsia="en-GB"/>
        </w:rPr>
        <w:t>,</w:t>
      </w:r>
      <w:r w:rsidRPr="0020149D">
        <w:rPr>
          <w:rFonts w:eastAsia="Times New Roman" w:cstheme="minorHAnsi"/>
          <w:sz w:val="24"/>
          <w:szCs w:val="24"/>
          <w:lang w:eastAsia="en-GB"/>
        </w:rPr>
        <w:t xml:space="preserve"> therefore</w:t>
      </w:r>
      <w:r>
        <w:rPr>
          <w:rFonts w:eastAsia="Times New Roman" w:cstheme="minorHAnsi"/>
          <w:sz w:val="24"/>
          <w:szCs w:val="24"/>
          <w:lang w:eastAsia="en-GB"/>
        </w:rPr>
        <w:t>,</w:t>
      </w:r>
      <w:r w:rsidRPr="0020149D">
        <w:rPr>
          <w:rFonts w:eastAsia="Times New Roman" w:cstheme="minorHAnsi"/>
          <w:sz w:val="24"/>
          <w:szCs w:val="24"/>
          <w:lang w:eastAsia="en-GB"/>
        </w:rPr>
        <w:t xml:space="preserve"> considered to be zero net cost </w:t>
      </w:r>
      <w:r>
        <w:rPr>
          <w:rFonts w:eastAsia="Times New Roman" w:cstheme="minorHAnsi"/>
          <w:sz w:val="24"/>
          <w:szCs w:val="24"/>
          <w:lang w:eastAsia="en-GB"/>
        </w:rPr>
        <w:t xml:space="preserve">under OITO, </w:t>
      </w:r>
      <w:r w:rsidRPr="0020149D">
        <w:rPr>
          <w:rFonts w:eastAsia="Times New Roman" w:cstheme="minorHAnsi"/>
          <w:sz w:val="24"/>
          <w:szCs w:val="24"/>
          <w:lang w:eastAsia="en-GB"/>
        </w:rPr>
        <w:t>as the energy savings to non-domestic consumers were expected to exceed the costs to developers. (IA) (Opinion)</w:t>
      </w:r>
    </w:p>
    <w:p w:rsidR="009F0294" w:rsidRPr="00E96C4C" w:rsidRDefault="009F0294" w:rsidP="009F0294">
      <w:pPr>
        <w:contextualSpacing/>
        <w:rPr>
          <w:rFonts w:cstheme="minorHAnsi"/>
          <w:sz w:val="24"/>
          <w:szCs w:val="24"/>
        </w:rPr>
      </w:pPr>
    </w:p>
    <w:p w:rsidR="0087055B" w:rsidRDefault="0087055B" w:rsidP="0087055B">
      <w:pPr>
        <w:rPr>
          <w:b/>
        </w:rPr>
      </w:pPr>
    </w:p>
    <w:p w:rsidR="0087055B" w:rsidRPr="00DA3490" w:rsidRDefault="0087055B" w:rsidP="0087055B">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5E1706">
        <w:rPr>
          <w:rFonts w:eastAsia="Times New Roman" w:cstheme="minorHAnsi"/>
          <w:b/>
          <w:sz w:val="24"/>
          <w:szCs w:val="24"/>
          <w:lang w:eastAsia="en-GB"/>
        </w:rPr>
        <w:t>Amendment to the Energy Act 2008 Powers to Implement and Direct the Rollout of Smart Meters (RPC10-DECC-0558)</w:t>
      </w:r>
      <w:r>
        <w:rPr>
          <w:rFonts w:eastAsia="Times New Roman" w:cstheme="minorHAnsi"/>
          <w:b/>
          <w:sz w:val="24"/>
          <w:szCs w:val="24"/>
          <w:lang w:eastAsia="en-GB"/>
        </w:rPr>
        <w:t xml:space="preserve">: </w:t>
      </w:r>
      <w:r w:rsidRPr="0020149D">
        <w:rPr>
          <w:rFonts w:eastAsia="Times New Roman" w:cstheme="minorHAnsi"/>
          <w:sz w:val="24"/>
          <w:szCs w:val="24"/>
          <w:lang w:eastAsia="en-GB"/>
        </w:rPr>
        <w:t>Smart meters are a new form of gas and electricity meter that provide the customer with more information about their energy use. The smart meter also provides the supplier with more information</w:t>
      </w:r>
      <w:r>
        <w:rPr>
          <w:rFonts w:eastAsia="Times New Roman" w:cstheme="minorHAnsi"/>
          <w:sz w:val="24"/>
          <w:szCs w:val="24"/>
          <w:lang w:eastAsia="en-GB"/>
        </w:rPr>
        <w:t>,</w:t>
      </w:r>
      <w:r w:rsidRPr="0020149D">
        <w:rPr>
          <w:rFonts w:eastAsia="Times New Roman" w:cstheme="minorHAnsi"/>
          <w:sz w:val="24"/>
          <w:szCs w:val="24"/>
          <w:lang w:eastAsia="en-GB"/>
        </w:rPr>
        <w:t xml:space="preserve"> allowing for more targeted tariffs. The policy was to </w:t>
      </w:r>
      <w:r>
        <w:rPr>
          <w:rFonts w:eastAsia="Times New Roman" w:cstheme="minorHAnsi"/>
          <w:sz w:val="24"/>
          <w:szCs w:val="24"/>
          <w:lang w:eastAsia="en-GB"/>
        </w:rPr>
        <w:t>mandate</w:t>
      </w:r>
      <w:r w:rsidRPr="0020149D">
        <w:rPr>
          <w:rFonts w:eastAsia="Times New Roman" w:cstheme="minorHAnsi"/>
          <w:sz w:val="24"/>
          <w:szCs w:val="24"/>
          <w:lang w:eastAsia="en-GB"/>
        </w:rPr>
        <w:t xml:space="preserve"> the roll out of smart meters. If smart meters result in more efficient use of energy</w:t>
      </w:r>
      <w:r>
        <w:rPr>
          <w:rFonts w:eastAsia="Times New Roman" w:cstheme="minorHAnsi"/>
          <w:sz w:val="24"/>
          <w:szCs w:val="24"/>
          <w:lang w:eastAsia="en-GB"/>
        </w:rPr>
        <w:t>,</w:t>
      </w:r>
      <w:r w:rsidRPr="0020149D">
        <w:rPr>
          <w:rFonts w:eastAsia="Times New Roman" w:cstheme="minorHAnsi"/>
          <w:sz w:val="24"/>
          <w:szCs w:val="24"/>
          <w:lang w:eastAsia="en-GB"/>
        </w:rPr>
        <w:t xml:space="preserve"> this could have large benefits for business users. However, these benefits were considered </w:t>
      </w:r>
      <w:r>
        <w:rPr>
          <w:rFonts w:eastAsia="Times New Roman" w:cstheme="minorHAnsi"/>
          <w:sz w:val="24"/>
          <w:szCs w:val="24"/>
          <w:lang w:eastAsia="en-GB"/>
        </w:rPr>
        <w:t xml:space="preserve">to be </w:t>
      </w:r>
      <w:r w:rsidRPr="0020149D">
        <w:rPr>
          <w:rFonts w:eastAsia="Times New Roman" w:cstheme="minorHAnsi"/>
          <w:sz w:val="24"/>
          <w:szCs w:val="24"/>
          <w:lang w:eastAsia="en-GB"/>
        </w:rPr>
        <w:t xml:space="preserve">indirect </w:t>
      </w:r>
      <w:r>
        <w:rPr>
          <w:rFonts w:eastAsia="Times New Roman" w:cstheme="minorHAnsi"/>
          <w:sz w:val="24"/>
          <w:szCs w:val="24"/>
          <w:lang w:eastAsia="en-GB"/>
        </w:rPr>
        <w:t>bec</w:t>
      </w:r>
      <w:r w:rsidRPr="0020149D">
        <w:rPr>
          <w:rFonts w:eastAsia="Times New Roman" w:cstheme="minorHAnsi"/>
          <w:sz w:val="24"/>
          <w:szCs w:val="24"/>
          <w:lang w:eastAsia="en-GB"/>
        </w:rPr>
        <w:t>a</w:t>
      </w:r>
      <w:r>
        <w:rPr>
          <w:rFonts w:eastAsia="Times New Roman" w:cstheme="minorHAnsi"/>
          <w:sz w:val="24"/>
          <w:szCs w:val="24"/>
          <w:lang w:eastAsia="en-GB"/>
        </w:rPr>
        <w:t>u</w:t>
      </w:r>
      <w:r w:rsidRPr="0020149D">
        <w:rPr>
          <w:rFonts w:eastAsia="Times New Roman" w:cstheme="minorHAnsi"/>
          <w:sz w:val="24"/>
          <w:szCs w:val="24"/>
          <w:lang w:eastAsia="en-GB"/>
        </w:rPr>
        <w:t>s</w:t>
      </w:r>
      <w:r>
        <w:rPr>
          <w:rFonts w:eastAsia="Times New Roman" w:cstheme="minorHAnsi"/>
          <w:sz w:val="24"/>
          <w:szCs w:val="24"/>
          <w:lang w:eastAsia="en-GB"/>
        </w:rPr>
        <w:t>e</w:t>
      </w:r>
      <w:r w:rsidRPr="0020149D">
        <w:rPr>
          <w:rFonts w:eastAsia="Times New Roman" w:cstheme="minorHAnsi"/>
          <w:sz w:val="24"/>
          <w:szCs w:val="24"/>
          <w:lang w:eastAsia="en-GB"/>
        </w:rPr>
        <w:t xml:space="preserve"> they result only if business customers choose to act on the information and change their behaviour, rather than as a direct result of having a smart meter.  This case is purely about giving customers more information on which they can choose whether or not to act. </w:t>
      </w:r>
      <w:r>
        <w:rPr>
          <w:rFonts w:eastAsia="Times New Roman" w:cstheme="minorHAnsi"/>
          <w:sz w:val="24"/>
          <w:szCs w:val="24"/>
          <w:lang w:eastAsia="en-GB"/>
        </w:rPr>
        <w:t xml:space="preserve"> T</w:t>
      </w:r>
      <w:r w:rsidRPr="0020149D">
        <w:rPr>
          <w:rFonts w:eastAsia="Times New Roman" w:cstheme="minorHAnsi"/>
          <w:sz w:val="24"/>
          <w:szCs w:val="24"/>
          <w:lang w:eastAsia="en-GB"/>
        </w:rPr>
        <w:t xml:space="preserve">he required behavioural change </w:t>
      </w:r>
      <w:r>
        <w:rPr>
          <w:rFonts w:eastAsia="Times New Roman" w:cstheme="minorHAnsi"/>
          <w:sz w:val="24"/>
          <w:szCs w:val="24"/>
          <w:lang w:eastAsia="en-GB"/>
        </w:rPr>
        <w:t>was, therefore, considered to be an indirect effect.</w:t>
      </w:r>
      <w:r w:rsidRPr="0020149D">
        <w:rPr>
          <w:rFonts w:eastAsia="Times New Roman" w:cstheme="minorHAnsi"/>
          <w:sz w:val="24"/>
          <w:szCs w:val="24"/>
          <w:lang w:eastAsia="en-GB"/>
        </w:rPr>
        <w:t xml:space="preserve"> (IA)</w:t>
      </w:r>
    </w:p>
    <w:p w:rsidR="0087055B" w:rsidRDefault="0087055B" w:rsidP="0087055B">
      <w:pPr>
        <w:rPr>
          <w:rFonts w:eastAsia="Times New Roman" w:cstheme="minorHAnsi"/>
          <w:color w:val="000000" w:themeColor="text1"/>
          <w:sz w:val="24"/>
          <w:szCs w:val="24"/>
          <w:u w:val="single"/>
          <w:lang w:eastAsia="en-GB"/>
        </w:rPr>
      </w:pPr>
    </w:p>
    <w:p w:rsidR="009F0294" w:rsidRPr="00A97AFE" w:rsidRDefault="009F0294" w:rsidP="009F0294">
      <w:pPr>
        <w:keepNext/>
        <w:keepLines/>
        <w:spacing w:before="200" w:after="240"/>
        <w:outlineLvl w:val="2"/>
        <w:rPr>
          <w:rFonts w:eastAsiaTheme="majorEastAsia" w:cstheme="minorHAnsi"/>
          <w:b/>
          <w:bCs/>
          <w:color w:val="E36C0A" w:themeColor="accent6" w:themeShade="BF"/>
          <w:sz w:val="26"/>
          <w:szCs w:val="26"/>
        </w:rPr>
      </w:pPr>
      <w:r w:rsidRPr="00A97AFE">
        <w:rPr>
          <w:rFonts w:eastAsiaTheme="majorEastAsia" w:cstheme="minorHAnsi"/>
          <w:b/>
          <w:bCs/>
          <w:color w:val="E36C0A" w:themeColor="accent6" w:themeShade="BF"/>
          <w:sz w:val="26"/>
          <w:szCs w:val="26"/>
        </w:rPr>
        <w:lastRenderedPageBreak/>
        <w:t>Step 3 – Identify whether the impact is a partial equilibrium or general equilibrium effect</w:t>
      </w:r>
    </w:p>
    <w:p w:rsidR="009F0294" w:rsidRPr="00E96C4C" w:rsidRDefault="009F0294" w:rsidP="009F0294">
      <w:pPr>
        <w:rPr>
          <w:rFonts w:cstheme="minorHAnsi"/>
          <w:bCs/>
          <w:sz w:val="24"/>
          <w:szCs w:val="24"/>
        </w:rPr>
      </w:pPr>
      <w:r w:rsidRPr="00E96C4C">
        <w:rPr>
          <w:rFonts w:cstheme="minorHAnsi"/>
          <w:sz w:val="24"/>
          <w:szCs w:val="24"/>
        </w:rPr>
        <w:t xml:space="preserve">Next, departments should reflect on whether economists would consider the impact to be a partial equilibrium or general equilibrium effect. </w:t>
      </w:r>
      <w:r w:rsidRPr="00E96C4C">
        <w:rPr>
          <w:rFonts w:cstheme="minorHAnsi"/>
          <w:bCs/>
          <w:sz w:val="24"/>
          <w:szCs w:val="24"/>
        </w:rPr>
        <w:t>Partial equilibrium effects occur in the regulated market. General equilibrium effects are in related markets and/or the wider economy</w:t>
      </w:r>
      <w:r w:rsidR="00D6467B">
        <w:rPr>
          <w:rFonts w:cstheme="minorHAnsi"/>
          <w:bCs/>
          <w:sz w:val="24"/>
          <w:szCs w:val="24"/>
        </w:rPr>
        <w:t>,</w:t>
      </w:r>
      <w:r w:rsidRPr="00E96C4C">
        <w:rPr>
          <w:rFonts w:cstheme="minorHAnsi"/>
          <w:bCs/>
          <w:sz w:val="24"/>
          <w:szCs w:val="24"/>
        </w:rPr>
        <w:t xml:space="preserve"> </w:t>
      </w:r>
      <w:r w:rsidR="00D6467B">
        <w:rPr>
          <w:rFonts w:cstheme="minorHAnsi"/>
          <w:bCs/>
          <w:sz w:val="24"/>
          <w:szCs w:val="24"/>
        </w:rPr>
        <w:t>coming</w:t>
      </w:r>
      <w:r w:rsidRPr="00E96C4C">
        <w:rPr>
          <w:rFonts w:cstheme="minorHAnsi"/>
          <w:bCs/>
          <w:sz w:val="24"/>
          <w:szCs w:val="24"/>
        </w:rPr>
        <w:t xml:space="preserve"> from first round effects in the regulated market that are sufficiently large to result in changes in other markets. Therefore, cost</w:t>
      </w:r>
      <w:r w:rsidR="00D6467B">
        <w:rPr>
          <w:rFonts w:cstheme="minorHAnsi"/>
          <w:bCs/>
          <w:sz w:val="24"/>
          <w:szCs w:val="24"/>
        </w:rPr>
        <w:t>,</w:t>
      </w:r>
      <w:r w:rsidRPr="00E96C4C">
        <w:rPr>
          <w:rFonts w:cstheme="minorHAnsi"/>
          <w:bCs/>
          <w:sz w:val="24"/>
          <w:szCs w:val="24"/>
        </w:rPr>
        <w:t xml:space="preserve"> price and/or quantity effects that occur in related markets or the wider economy as a result of changes in the regulated market are second round, general equilibrium effects and, therefore, indirect and </w:t>
      </w:r>
      <w:r w:rsidR="00D6467B">
        <w:rPr>
          <w:rFonts w:cstheme="minorHAnsi"/>
          <w:bCs/>
          <w:sz w:val="24"/>
          <w:szCs w:val="24"/>
        </w:rPr>
        <w:t>non-qualifying against</w:t>
      </w:r>
      <w:r w:rsidRPr="00E96C4C">
        <w:rPr>
          <w:rFonts w:cstheme="minorHAnsi"/>
          <w:bCs/>
          <w:sz w:val="24"/>
          <w:szCs w:val="24"/>
        </w:rPr>
        <w:t xml:space="preserve"> the business impact target.</w:t>
      </w:r>
    </w:p>
    <w:p w:rsidR="009F0294" w:rsidRPr="00A97AFE" w:rsidRDefault="009F0294" w:rsidP="009F0294">
      <w:pPr>
        <w:keepNext/>
        <w:keepLines/>
        <w:spacing w:before="200" w:after="240"/>
        <w:outlineLvl w:val="2"/>
        <w:rPr>
          <w:rFonts w:eastAsiaTheme="majorEastAsia" w:cstheme="minorHAnsi"/>
          <w:b/>
          <w:bCs/>
          <w:color w:val="E36C0A" w:themeColor="accent6" w:themeShade="BF"/>
          <w:sz w:val="26"/>
          <w:szCs w:val="26"/>
        </w:rPr>
      </w:pPr>
      <w:r w:rsidRPr="00A97AFE">
        <w:rPr>
          <w:rFonts w:eastAsiaTheme="majorEastAsia" w:cstheme="minorHAnsi"/>
          <w:b/>
          <w:bCs/>
          <w:color w:val="E36C0A" w:themeColor="accent6" w:themeShade="BF"/>
          <w:sz w:val="26"/>
          <w:szCs w:val="26"/>
        </w:rPr>
        <w:t>Step 4 – Consider whether the direct impact is counter-intuitive</w:t>
      </w:r>
    </w:p>
    <w:p w:rsidR="009F0294" w:rsidRPr="00E96C4C" w:rsidRDefault="009F0294" w:rsidP="009F0294">
      <w:pPr>
        <w:rPr>
          <w:rFonts w:cstheme="minorHAnsi"/>
          <w:sz w:val="24"/>
          <w:szCs w:val="24"/>
        </w:rPr>
      </w:pPr>
      <w:r w:rsidRPr="00E96C4C">
        <w:rPr>
          <w:rFonts w:cstheme="minorHAnsi"/>
          <w:sz w:val="24"/>
          <w:szCs w:val="24"/>
        </w:rPr>
        <w:t>A final consideration is whether the net direct impact on business is counter-intuitive. For example, can it be supported by relevant market data and/or a defensible “theory of change” specifying the steps between the regulatory measure and the anticipated impacts?</w:t>
      </w:r>
    </w:p>
    <w:p w:rsidR="009F0294" w:rsidRDefault="009F0294" w:rsidP="009F0294">
      <w:pPr>
        <w:spacing w:after="0"/>
        <w:rPr>
          <w:rFonts w:cstheme="minorHAnsi"/>
          <w:sz w:val="24"/>
          <w:szCs w:val="24"/>
        </w:rPr>
      </w:pPr>
      <w:r w:rsidRPr="00E96C4C">
        <w:rPr>
          <w:rFonts w:cstheme="minorHAnsi"/>
          <w:sz w:val="24"/>
          <w:szCs w:val="24"/>
        </w:rPr>
        <w:t xml:space="preserve">An example of this would be a regulatory measure that is widely agreed to be detrimental to business </w:t>
      </w:r>
      <w:r w:rsidR="00D6467B">
        <w:rPr>
          <w:rFonts w:cstheme="minorHAnsi"/>
          <w:sz w:val="24"/>
          <w:szCs w:val="24"/>
        </w:rPr>
        <w:t>being</w:t>
      </w:r>
      <w:r w:rsidRPr="00E96C4C">
        <w:rPr>
          <w:rFonts w:cstheme="minorHAnsi"/>
          <w:sz w:val="24"/>
          <w:szCs w:val="24"/>
        </w:rPr>
        <w:t xml:space="preserve"> assessed as having direct net benefits</w:t>
      </w:r>
      <w:r w:rsidR="00D6467B">
        <w:rPr>
          <w:rFonts w:cstheme="minorHAnsi"/>
          <w:sz w:val="24"/>
          <w:szCs w:val="24"/>
        </w:rPr>
        <w:t>. This</w:t>
      </w:r>
      <w:r w:rsidRPr="00E96C4C">
        <w:rPr>
          <w:rFonts w:cstheme="minorHAnsi"/>
          <w:sz w:val="24"/>
          <w:szCs w:val="24"/>
        </w:rPr>
        <w:t xml:space="preserve"> would provide </w:t>
      </w:r>
      <w:r w:rsidRPr="00D6467B">
        <w:rPr>
          <w:rFonts w:cstheme="minorHAnsi"/>
          <w:i/>
          <w:sz w:val="24"/>
          <w:szCs w:val="24"/>
        </w:rPr>
        <w:t>prima facie</w:t>
      </w:r>
      <w:r w:rsidRPr="00E96C4C">
        <w:rPr>
          <w:rFonts w:cstheme="minorHAnsi"/>
          <w:sz w:val="24"/>
          <w:szCs w:val="24"/>
        </w:rPr>
        <w:t xml:space="preserve"> evidence to look again at the direct/indirect </w:t>
      </w:r>
      <w:r w:rsidR="00D6467B">
        <w:rPr>
          <w:rFonts w:cstheme="minorHAnsi"/>
          <w:sz w:val="24"/>
          <w:szCs w:val="24"/>
        </w:rPr>
        <w:t>classification</w:t>
      </w:r>
      <w:r w:rsidRPr="00E96C4C">
        <w:rPr>
          <w:rFonts w:cstheme="minorHAnsi"/>
          <w:sz w:val="24"/>
          <w:szCs w:val="24"/>
        </w:rPr>
        <w:t xml:space="preserve">. However, </w:t>
      </w:r>
      <w:r w:rsidR="002B6139">
        <w:rPr>
          <w:rFonts w:cstheme="minorHAnsi"/>
          <w:sz w:val="24"/>
          <w:szCs w:val="24"/>
        </w:rPr>
        <w:t xml:space="preserve">departments should not, of course, seek to define </w:t>
      </w:r>
      <w:r w:rsidR="00BF302B">
        <w:rPr>
          <w:rFonts w:cstheme="minorHAnsi"/>
          <w:sz w:val="24"/>
          <w:szCs w:val="24"/>
        </w:rPr>
        <w:t xml:space="preserve">policy </w:t>
      </w:r>
      <w:r w:rsidR="002B6139">
        <w:rPr>
          <w:rFonts w:cstheme="minorHAnsi"/>
          <w:sz w:val="24"/>
          <w:szCs w:val="24"/>
        </w:rPr>
        <w:t xml:space="preserve">objectives in a way that is intended to influence the classification of the impacts into direct or indirect. </w:t>
      </w:r>
    </w:p>
    <w:p w:rsidR="009F0294" w:rsidRPr="00406297" w:rsidRDefault="009F0294" w:rsidP="009F0294">
      <w:pPr>
        <w:spacing w:after="0"/>
        <w:rPr>
          <w:rFonts w:cstheme="minorHAnsi"/>
          <w:sz w:val="24"/>
          <w:szCs w:val="24"/>
        </w:rPr>
      </w:pPr>
    </w:p>
    <w:p w:rsidR="009F0294" w:rsidRPr="00DA3490"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0149D">
        <w:rPr>
          <w:rFonts w:eastAsia="Times New Roman" w:cstheme="minorHAnsi"/>
          <w:b/>
          <w:sz w:val="24"/>
          <w:szCs w:val="24"/>
          <w:lang w:eastAsia="en-GB"/>
        </w:rPr>
        <w:t>Standardised Packaging of Tobacco Products (RPC12-DH-1229)</w:t>
      </w:r>
      <w:r>
        <w:rPr>
          <w:rFonts w:eastAsia="Times New Roman" w:cstheme="minorHAnsi"/>
          <w:b/>
          <w:sz w:val="24"/>
          <w:szCs w:val="24"/>
          <w:lang w:eastAsia="en-GB"/>
        </w:rPr>
        <w:t>:</w:t>
      </w:r>
      <w:r w:rsidRPr="0020149D">
        <w:rPr>
          <w:rFonts w:eastAsia="Times New Roman" w:cstheme="minorHAnsi"/>
          <w:b/>
          <w:sz w:val="24"/>
          <w:szCs w:val="24"/>
          <w:lang w:eastAsia="en-GB"/>
        </w:rPr>
        <w:t xml:space="preserve"> </w:t>
      </w:r>
      <w:r w:rsidRPr="0020149D">
        <w:rPr>
          <w:rFonts w:eastAsia="Times New Roman" w:cstheme="minorHAnsi"/>
          <w:sz w:val="24"/>
          <w:szCs w:val="24"/>
          <w:lang w:eastAsia="en-GB"/>
        </w:rPr>
        <w:t xml:space="preserve">This proposal aims to reduce tobacco consumption by mandating the standardisation of tobacco pack colour, shape and the removal of all branding except brand name in a standardised type face. In this case, the impact of the loss of profit to manufacturers and retailers is direct as it: restricts economic activity from use of branding, prohibits a form of promotional activity; and has </w:t>
      </w:r>
      <w:r w:rsidR="00110BB7">
        <w:rPr>
          <w:rFonts w:eastAsia="Times New Roman" w:cstheme="minorHAnsi"/>
          <w:sz w:val="24"/>
          <w:szCs w:val="24"/>
          <w:lang w:eastAsia="en-GB"/>
        </w:rPr>
        <w:t xml:space="preserve">a </w:t>
      </w:r>
      <w:r w:rsidRPr="0020149D">
        <w:rPr>
          <w:rFonts w:eastAsia="Times New Roman" w:cstheme="minorHAnsi"/>
          <w:sz w:val="24"/>
          <w:szCs w:val="24"/>
          <w:lang w:eastAsia="en-GB"/>
        </w:rPr>
        <w:t xml:space="preserve">reduction </w:t>
      </w:r>
      <w:r w:rsidR="00110BB7">
        <w:rPr>
          <w:rFonts w:eastAsia="Times New Roman" w:cstheme="minorHAnsi"/>
          <w:sz w:val="24"/>
          <w:szCs w:val="24"/>
          <w:lang w:eastAsia="en-GB"/>
        </w:rPr>
        <w:t xml:space="preserve">in </w:t>
      </w:r>
      <w:r w:rsidRPr="0020149D">
        <w:rPr>
          <w:rFonts w:eastAsia="Times New Roman" w:cstheme="minorHAnsi"/>
          <w:sz w:val="24"/>
          <w:szCs w:val="24"/>
          <w:lang w:eastAsia="en-GB"/>
        </w:rPr>
        <w:t xml:space="preserve">cigarette consumption of cigarettes as </w:t>
      </w:r>
      <w:r w:rsidR="00110BB7">
        <w:rPr>
          <w:rFonts w:eastAsia="Times New Roman" w:cstheme="minorHAnsi"/>
          <w:sz w:val="24"/>
          <w:szCs w:val="24"/>
          <w:lang w:eastAsia="en-GB"/>
        </w:rPr>
        <w:t>its</w:t>
      </w:r>
      <w:r w:rsidRPr="0020149D">
        <w:rPr>
          <w:rFonts w:eastAsia="Times New Roman" w:cstheme="minorHAnsi"/>
          <w:sz w:val="24"/>
          <w:szCs w:val="24"/>
          <w:lang w:eastAsia="en-GB"/>
        </w:rPr>
        <w:t xml:space="preserve"> primary objective. If loss of profits was considered </w:t>
      </w:r>
      <w:r w:rsidR="00110BB7">
        <w:rPr>
          <w:rFonts w:eastAsia="Times New Roman" w:cstheme="minorHAnsi"/>
          <w:sz w:val="24"/>
          <w:szCs w:val="24"/>
          <w:lang w:eastAsia="en-GB"/>
        </w:rPr>
        <w:t xml:space="preserve">as </w:t>
      </w:r>
      <w:r w:rsidRPr="0020149D">
        <w:rPr>
          <w:rFonts w:eastAsia="Times New Roman" w:cstheme="minorHAnsi"/>
          <w:sz w:val="24"/>
          <w:szCs w:val="24"/>
          <w:lang w:eastAsia="en-GB"/>
        </w:rPr>
        <w:t>an indirect cost, this would score as net beneficial to tobacco companies</w:t>
      </w:r>
      <w:r>
        <w:rPr>
          <w:rFonts w:eastAsia="Times New Roman" w:cstheme="minorHAnsi"/>
          <w:sz w:val="24"/>
          <w:szCs w:val="24"/>
          <w:lang w:eastAsia="en-GB"/>
        </w:rPr>
        <w:t xml:space="preserve"> (due to ongoing savings in the production of packaging)</w:t>
      </w:r>
      <w:r w:rsidRPr="0020149D">
        <w:rPr>
          <w:rFonts w:eastAsia="Times New Roman" w:cstheme="minorHAnsi"/>
          <w:sz w:val="24"/>
          <w:szCs w:val="24"/>
          <w:lang w:eastAsia="en-GB"/>
        </w:rPr>
        <w:t>, which would be a counter-intuitive outcome. (IA)</w:t>
      </w:r>
    </w:p>
    <w:p w:rsidR="009F0294" w:rsidRDefault="009F0294" w:rsidP="009F0294">
      <w:pPr>
        <w:rPr>
          <w:b/>
        </w:rPr>
      </w:pPr>
    </w:p>
    <w:p w:rsidR="0087055B" w:rsidRDefault="0087055B" w:rsidP="009F0294">
      <w:pPr>
        <w:rPr>
          <w:b/>
        </w:rPr>
      </w:pPr>
    </w:p>
    <w:p w:rsidR="0087055B" w:rsidRDefault="0087055B" w:rsidP="009F0294">
      <w:pPr>
        <w:rPr>
          <w:b/>
        </w:rPr>
      </w:pPr>
    </w:p>
    <w:p w:rsidR="0087055B" w:rsidRDefault="0087055B" w:rsidP="009F0294">
      <w:pPr>
        <w:rPr>
          <w:b/>
        </w:rPr>
      </w:pPr>
    </w:p>
    <w:p w:rsidR="0087055B" w:rsidRDefault="0087055B" w:rsidP="009F0294">
      <w:pPr>
        <w:rPr>
          <w:rFonts w:eastAsia="Times New Roman" w:cstheme="minorHAnsi"/>
          <w:color w:val="000000" w:themeColor="text1"/>
          <w:sz w:val="24"/>
          <w:szCs w:val="24"/>
          <w:u w:val="single"/>
          <w:lang w:eastAsia="en-GB"/>
        </w:rPr>
      </w:pPr>
    </w:p>
    <w:p w:rsidR="009F0294" w:rsidRPr="00A97AFE" w:rsidRDefault="009F0294" w:rsidP="009F0294">
      <w:pPr>
        <w:keepNext/>
        <w:keepLines/>
        <w:spacing w:before="200" w:after="240"/>
        <w:outlineLvl w:val="2"/>
        <w:rPr>
          <w:rFonts w:eastAsiaTheme="majorEastAsia" w:cstheme="minorHAnsi"/>
          <w:b/>
          <w:bCs/>
          <w:color w:val="E36C0A" w:themeColor="accent6" w:themeShade="BF"/>
          <w:sz w:val="26"/>
          <w:szCs w:val="26"/>
        </w:rPr>
      </w:pPr>
      <w:r>
        <w:rPr>
          <w:rFonts w:eastAsiaTheme="majorEastAsia" w:cstheme="minorHAnsi"/>
          <w:b/>
          <w:bCs/>
          <w:color w:val="E36C0A" w:themeColor="accent6" w:themeShade="BF"/>
          <w:sz w:val="26"/>
          <w:szCs w:val="26"/>
        </w:rPr>
        <w:lastRenderedPageBreak/>
        <w:t xml:space="preserve">Step 5 </w:t>
      </w:r>
      <w:r w:rsidR="0087055B">
        <w:rPr>
          <w:rFonts w:eastAsiaTheme="majorEastAsia" w:cstheme="minorHAnsi"/>
          <w:b/>
          <w:bCs/>
          <w:color w:val="E36C0A" w:themeColor="accent6" w:themeShade="BF"/>
          <w:sz w:val="26"/>
          <w:szCs w:val="26"/>
        </w:rPr>
        <w:t>–</w:t>
      </w:r>
      <w:r>
        <w:rPr>
          <w:rFonts w:eastAsiaTheme="majorEastAsia" w:cstheme="minorHAnsi"/>
          <w:b/>
          <w:bCs/>
          <w:color w:val="E36C0A" w:themeColor="accent6" w:themeShade="BF"/>
          <w:sz w:val="26"/>
          <w:szCs w:val="26"/>
        </w:rPr>
        <w:t xml:space="preserve"> </w:t>
      </w:r>
      <w:r w:rsidR="0087055B">
        <w:rPr>
          <w:rFonts w:eastAsiaTheme="majorEastAsia" w:cstheme="minorHAnsi"/>
          <w:b/>
          <w:bCs/>
          <w:color w:val="E36C0A" w:themeColor="accent6" w:themeShade="BF"/>
          <w:sz w:val="26"/>
          <w:szCs w:val="26"/>
        </w:rPr>
        <w:t xml:space="preserve">Consider whether </w:t>
      </w:r>
      <w:r w:rsidR="00BF302B">
        <w:rPr>
          <w:rFonts w:eastAsiaTheme="majorEastAsia" w:cstheme="minorHAnsi"/>
          <w:b/>
          <w:bCs/>
          <w:color w:val="E36C0A" w:themeColor="accent6" w:themeShade="BF"/>
          <w:sz w:val="26"/>
          <w:szCs w:val="26"/>
        </w:rPr>
        <w:t xml:space="preserve">the </w:t>
      </w:r>
      <w:r w:rsidR="0087055B">
        <w:rPr>
          <w:rFonts w:eastAsiaTheme="majorEastAsia" w:cstheme="minorHAnsi"/>
          <w:b/>
          <w:bCs/>
          <w:color w:val="E36C0A" w:themeColor="accent6" w:themeShade="BF"/>
          <w:sz w:val="26"/>
          <w:szCs w:val="26"/>
        </w:rPr>
        <w:t>impact is ‘p</w:t>
      </w:r>
      <w:r>
        <w:rPr>
          <w:rFonts w:eastAsiaTheme="majorEastAsia" w:cstheme="minorHAnsi"/>
          <w:b/>
          <w:bCs/>
          <w:color w:val="E36C0A" w:themeColor="accent6" w:themeShade="BF"/>
          <w:sz w:val="26"/>
          <w:szCs w:val="26"/>
        </w:rPr>
        <w:t>ass through</w:t>
      </w:r>
      <w:r w:rsidR="0087055B">
        <w:rPr>
          <w:rFonts w:eastAsiaTheme="majorEastAsia" w:cstheme="minorHAnsi"/>
          <w:b/>
          <w:bCs/>
          <w:color w:val="E36C0A" w:themeColor="accent6" w:themeShade="BF"/>
          <w:sz w:val="26"/>
          <w:szCs w:val="26"/>
        </w:rPr>
        <w:t>’</w:t>
      </w:r>
    </w:p>
    <w:p w:rsidR="009F0294" w:rsidRPr="00B81C84" w:rsidRDefault="009F0294" w:rsidP="009F0294">
      <w:pPr>
        <w:rPr>
          <w:rFonts w:eastAsia="Times New Roman" w:cstheme="minorHAnsi"/>
          <w:color w:val="000000" w:themeColor="text1"/>
          <w:sz w:val="24"/>
          <w:szCs w:val="24"/>
          <w:u w:val="single"/>
          <w:lang w:eastAsia="en-GB"/>
        </w:rPr>
      </w:pPr>
      <w:r w:rsidRPr="004D0525">
        <w:rPr>
          <w:rFonts w:eastAsia="Times New Roman" w:cstheme="minorHAnsi"/>
          <w:sz w:val="24"/>
          <w:szCs w:val="24"/>
          <w:lang w:eastAsia="en-GB"/>
        </w:rPr>
        <w:t>When a regulatory burden is placed on businesses they have to decide how to respond. They may increase prices, cut wages, reduce investment or reduce dividends. The EAN</w:t>
      </w:r>
      <w:r>
        <w:rPr>
          <w:rFonts w:eastAsia="Times New Roman" w:cstheme="minorHAnsi"/>
          <w:sz w:val="24"/>
          <w:szCs w:val="24"/>
          <w:lang w:eastAsia="en-GB"/>
        </w:rPr>
        <w:t>D</w:t>
      </w:r>
      <w:r w:rsidRPr="004D0525">
        <w:rPr>
          <w:rFonts w:eastAsia="Times New Roman" w:cstheme="minorHAnsi"/>
          <w:sz w:val="24"/>
          <w:szCs w:val="24"/>
          <w:lang w:eastAsia="en-GB"/>
        </w:rPr>
        <w:t xml:space="preserve">CB metric is an attempt to capture the burden on business </w:t>
      </w:r>
      <w:r>
        <w:rPr>
          <w:rFonts w:eastAsia="Times New Roman" w:cstheme="minorHAnsi"/>
          <w:sz w:val="24"/>
          <w:szCs w:val="24"/>
          <w:lang w:eastAsia="en-GB"/>
        </w:rPr>
        <w:t>of</w:t>
      </w:r>
      <w:r w:rsidRPr="004D0525">
        <w:rPr>
          <w:rFonts w:eastAsia="Times New Roman" w:cstheme="minorHAnsi"/>
          <w:sz w:val="24"/>
          <w:szCs w:val="24"/>
          <w:lang w:eastAsia="en-GB"/>
        </w:rPr>
        <w:t xml:space="preserve"> regulation. </w:t>
      </w:r>
      <w:r>
        <w:rPr>
          <w:rFonts w:eastAsia="Times New Roman" w:cstheme="minorHAnsi"/>
          <w:sz w:val="24"/>
          <w:szCs w:val="24"/>
          <w:lang w:eastAsia="en-GB"/>
        </w:rPr>
        <w:t>If</w:t>
      </w:r>
      <w:r w:rsidRPr="004D0525">
        <w:rPr>
          <w:rFonts w:eastAsia="Times New Roman" w:cstheme="minorHAnsi"/>
          <w:sz w:val="24"/>
          <w:szCs w:val="24"/>
          <w:lang w:eastAsia="en-GB"/>
        </w:rPr>
        <w:t xml:space="preserve"> </w:t>
      </w:r>
      <w:r>
        <w:rPr>
          <w:rFonts w:eastAsia="Times New Roman" w:cstheme="minorHAnsi"/>
          <w:sz w:val="24"/>
          <w:szCs w:val="24"/>
          <w:lang w:eastAsia="en-GB"/>
        </w:rPr>
        <w:t xml:space="preserve">a mechanism exists that enables </w:t>
      </w:r>
      <w:r w:rsidR="00616405">
        <w:rPr>
          <w:rFonts w:eastAsia="Times New Roman" w:cstheme="minorHAnsi"/>
          <w:sz w:val="24"/>
          <w:szCs w:val="24"/>
          <w:lang w:eastAsia="en-GB"/>
        </w:rPr>
        <w:t xml:space="preserve">some or all of </w:t>
      </w:r>
      <w:r w:rsidRPr="004D0525">
        <w:rPr>
          <w:rFonts w:eastAsia="Times New Roman" w:cstheme="minorHAnsi"/>
          <w:sz w:val="24"/>
          <w:szCs w:val="24"/>
          <w:lang w:eastAsia="en-GB"/>
        </w:rPr>
        <w:t xml:space="preserve">this burden </w:t>
      </w:r>
      <w:r>
        <w:rPr>
          <w:rFonts w:eastAsia="Times New Roman" w:cstheme="minorHAnsi"/>
          <w:sz w:val="24"/>
          <w:szCs w:val="24"/>
          <w:lang w:eastAsia="en-GB"/>
        </w:rPr>
        <w:t>to</w:t>
      </w:r>
      <w:r w:rsidRPr="004D0525">
        <w:rPr>
          <w:rFonts w:eastAsia="Times New Roman" w:cstheme="minorHAnsi"/>
          <w:sz w:val="24"/>
          <w:szCs w:val="24"/>
          <w:lang w:eastAsia="en-GB"/>
        </w:rPr>
        <w:t xml:space="preserve"> be passed on </w:t>
      </w:r>
      <w:r>
        <w:rPr>
          <w:rFonts w:eastAsia="Times New Roman" w:cstheme="minorHAnsi"/>
          <w:sz w:val="24"/>
          <w:szCs w:val="24"/>
          <w:lang w:eastAsia="en-GB"/>
        </w:rPr>
        <w:t>to other businesses and/or consumers, this subsequent effect</w:t>
      </w:r>
      <w:r w:rsidRPr="004D0525">
        <w:rPr>
          <w:rFonts w:eastAsia="Times New Roman" w:cstheme="minorHAnsi"/>
          <w:sz w:val="24"/>
          <w:szCs w:val="24"/>
          <w:lang w:eastAsia="en-GB"/>
        </w:rPr>
        <w:t xml:space="preserve"> is generally regarded as being indirect for the purposes of </w:t>
      </w:r>
      <w:r>
        <w:rPr>
          <w:rFonts w:eastAsia="Times New Roman" w:cstheme="minorHAnsi"/>
          <w:sz w:val="24"/>
          <w:szCs w:val="24"/>
          <w:lang w:eastAsia="en-GB"/>
        </w:rPr>
        <w:t>the BIT</w:t>
      </w:r>
      <w:r w:rsidRPr="004D0525">
        <w:rPr>
          <w:rFonts w:eastAsia="Times New Roman" w:cstheme="minorHAnsi"/>
          <w:sz w:val="24"/>
          <w:szCs w:val="24"/>
          <w:lang w:eastAsia="en-GB"/>
        </w:rPr>
        <w:t>. The BRFM (paragraph 1.9.45) states that pass through should be excluded from the calculation of the EAN</w:t>
      </w:r>
      <w:r w:rsidR="00967FAE">
        <w:rPr>
          <w:rFonts w:eastAsia="Times New Roman" w:cstheme="minorHAnsi"/>
          <w:sz w:val="24"/>
          <w:szCs w:val="24"/>
          <w:lang w:eastAsia="en-GB"/>
        </w:rPr>
        <w:t>D</w:t>
      </w:r>
      <w:r w:rsidRPr="004D0525">
        <w:rPr>
          <w:rFonts w:eastAsia="Times New Roman" w:cstheme="minorHAnsi"/>
          <w:sz w:val="24"/>
          <w:szCs w:val="24"/>
          <w:lang w:eastAsia="en-GB"/>
        </w:rPr>
        <w:t>CB. The first round impact of the regulatory change, for example the compliance costs to business, is the direct impact of the regulation. The second round impact, after pass through</w:t>
      </w:r>
      <w:r w:rsidR="002E0B38">
        <w:rPr>
          <w:rFonts w:eastAsia="Times New Roman" w:cstheme="minorHAnsi"/>
          <w:sz w:val="24"/>
          <w:szCs w:val="24"/>
          <w:lang w:eastAsia="en-GB"/>
        </w:rPr>
        <w:t xml:space="preserve"> (such as</w:t>
      </w:r>
      <w:r w:rsidRPr="004D0525">
        <w:rPr>
          <w:rFonts w:eastAsia="Times New Roman" w:cstheme="minorHAnsi"/>
          <w:sz w:val="24"/>
          <w:szCs w:val="24"/>
          <w:lang w:eastAsia="en-GB"/>
        </w:rPr>
        <w:t xml:space="preserve"> higher prices to consumers</w:t>
      </w:r>
      <w:r w:rsidR="002E0B38">
        <w:rPr>
          <w:rFonts w:eastAsia="Times New Roman" w:cstheme="minorHAnsi"/>
          <w:sz w:val="24"/>
          <w:szCs w:val="24"/>
          <w:lang w:eastAsia="en-GB"/>
        </w:rPr>
        <w:t>)</w:t>
      </w:r>
      <w:r w:rsidRPr="004D0525">
        <w:rPr>
          <w:rFonts w:eastAsia="Times New Roman" w:cstheme="minorHAnsi"/>
          <w:sz w:val="24"/>
          <w:szCs w:val="24"/>
          <w:lang w:eastAsia="en-GB"/>
        </w:rPr>
        <w:t xml:space="preserve"> would be an indirect impact of the regulation. Only the direct impact should be included in the EAN</w:t>
      </w:r>
      <w:r w:rsidR="00CC134F">
        <w:rPr>
          <w:rFonts w:eastAsia="Times New Roman" w:cstheme="minorHAnsi"/>
          <w:sz w:val="24"/>
          <w:szCs w:val="24"/>
          <w:lang w:eastAsia="en-GB"/>
        </w:rPr>
        <w:t>D</w:t>
      </w:r>
      <w:r w:rsidRPr="004D0525">
        <w:rPr>
          <w:rFonts w:eastAsia="Times New Roman" w:cstheme="minorHAnsi"/>
          <w:sz w:val="24"/>
          <w:szCs w:val="24"/>
          <w:lang w:eastAsia="en-GB"/>
        </w:rPr>
        <w:t>CB.</w:t>
      </w:r>
      <w:r>
        <w:rPr>
          <w:rFonts w:eastAsia="Times New Roman" w:cstheme="minorHAnsi"/>
          <w:sz w:val="24"/>
          <w:szCs w:val="24"/>
          <w:lang w:eastAsia="en-GB"/>
        </w:rPr>
        <w:t xml:space="preserve"> Without this rule, any increase in regulatory requirements on business could potentially score as zero on the basis that the cost is ultimately borne by consumers in the form of higher prices.</w:t>
      </w:r>
    </w:p>
    <w:p w:rsidR="009F0294" w:rsidRPr="004D0525" w:rsidRDefault="009F0294" w:rsidP="009F0294">
      <w:pPr>
        <w:spacing w:after="0"/>
        <w:rPr>
          <w:rFonts w:eastAsia="Times New Roman" w:cstheme="minorHAnsi"/>
          <w:b/>
          <w:sz w:val="24"/>
          <w:szCs w:val="24"/>
          <w:lang w:eastAsia="en-GB"/>
        </w:rPr>
      </w:pPr>
      <w:r w:rsidRPr="004D0525">
        <w:rPr>
          <w:rFonts w:eastAsia="Times New Roman" w:cstheme="minorHAnsi"/>
          <w:b/>
          <w:sz w:val="24"/>
          <w:szCs w:val="24"/>
          <w:lang w:eastAsia="en-GB"/>
        </w:rPr>
        <w:t>Examples of the normal application of pass through</w:t>
      </w:r>
    </w:p>
    <w:p w:rsidR="009F0294" w:rsidRPr="004D0525" w:rsidRDefault="009F0294" w:rsidP="009F0294">
      <w:pPr>
        <w:spacing w:after="0"/>
        <w:rPr>
          <w:rFonts w:eastAsia="Times New Roman" w:cstheme="minorHAnsi"/>
          <w:sz w:val="24"/>
          <w:szCs w:val="24"/>
          <w:lang w:eastAsia="en-GB"/>
        </w:rPr>
      </w:pPr>
    </w:p>
    <w:p w:rsidR="009F0294" w:rsidRPr="004D0525"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D0525">
        <w:rPr>
          <w:rFonts w:eastAsia="Times New Roman" w:cstheme="minorHAnsi"/>
          <w:b/>
          <w:sz w:val="24"/>
          <w:szCs w:val="24"/>
          <w:lang w:eastAsia="en-GB"/>
        </w:rPr>
        <w:t>Reforming the regulatory framework for employment agencies and employment businesses (RPC14-BIS-2150):</w:t>
      </w:r>
      <w:r w:rsidR="004F5A0C">
        <w:rPr>
          <w:rFonts w:eastAsia="Times New Roman" w:cstheme="minorHAnsi"/>
          <w:b/>
          <w:sz w:val="24"/>
          <w:szCs w:val="24"/>
          <w:lang w:eastAsia="en-GB"/>
        </w:rPr>
        <w:t xml:space="preserve"> </w:t>
      </w:r>
      <w:r w:rsidRPr="004D0525">
        <w:rPr>
          <w:rFonts w:eastAsia="Times New Roman" w:cstheme="minorHAnsi"/>
          <w:sz w:val="24"/>
          <w:szCs w:val="24"/>
          <w:lang w:eastAsia="en-GB"/>
        </w:rPr>
        <w:t xml:space="preserve"> It was expected that employment agencies would pass these costs on to their customers (i.e. organisations wanting to hire </w:t>
      </w:r>
      <w:r>
        <w:rPr>
          <w:rFonts w:eastAsia="Times New Roman" w:cstheme="minorHAnsi"/>
          <w:sz w:val="24"/>
          <w:szCs w:val="24"/>
          <w:lang w:eastAsia="en-GB"/>
        </w:rPr>
        <w:t xml:space="preserve">workers}. The direct impact is </w:t>
      </w:r>
      <w:r w:rsidRPr="004D0525">
        <w:rPr>
          <w:rFonts w:eastAsia="Times New Roman" w:cstheme="minorHAnsi"/>
          <w:sz w:val="24"/>
          <w:szCs w:val="24"/>
          <w:lang w:eastAsia="en-GB"/>
        </w:rPr>
        <w:t>on employment agencies; the indirect impact is on hiring organisations. Note that this had an impact on the size of the EANCB because some of the hiring organisations were in the public sector and, therefore, not in scope of OITO.</w:t>
      </w:r>
    </w:p>
    <w:p w:rsidR="009F0294" w:rsidRPr="004D0525"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F0294" w:rsidRDefault="009F0294" w:rsidP="009F0294">
      <w:pPr>
        <w:spacing w:after="0"/>
        <w:rPr>
          <w:rFonts w:eastAsia="Times New Roman" w:cstheme="minorHAnsi"/>
          <w:sz w:val="24"/>
          <w:szCs w:val="24"/>
          <w:lang w:eastAsia="en-GB"/>
        </w:rPr>
      </w:pPr>
    </w:p>
    <w:p w:rsidR="009F0294" w:rsidRPr="004D0525"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D0525">
        <w:rPr>
          <w:rFonts w:eastAsia="Times New Roman" w:cstheme="minorHAnsi"/>
          <w:b/>
          <w:sz w:val="24"/>
          <w:szCs w:val="24"/>
          <w:lang w:eastAsia="en-GB"/>
        </w:rPr>
        <w:t xml:space="preserve">The future of the energy company obligation (ECO) (RPC14-DECC-2105): </w:t>
      </w:r>
      <w:r>
        <w:rPr>
          <w:rFonts w:eastAsia="Times New Roman" w:cstheme="minorHAnsi"/>
          <w:sz w:val="24"/>
          <w:szCs w:val="24"/>
          <w:lang w:eastAsia="en-GB"/>
        </w:rPr>
        <w:t>T</w:t>
      </w:r>
      <w:r w:rsidRPr="004D0525">
        <w:rPr>
          <w:rFonts w:eastAsia="Times New Roman" w:cstheme="minorHAnsi"/>
          <w:sz w:val="24"/>
          <w:szCs w:val="24"/>
          <w:lang w:eastAsia="en-GB"/>
        </w:rPr>
        <w:t>his proposal involved, during the first year, a scaling back of regulatory requirements compared to the existing ECO policy and</w:t>
      </w:r>
      <w:r w:rsidR="00554591">
        <w:rPr>
          <w:rFonts w:eastAsia="Times New Roman" w:cstheme="minorHAnsi"/>
          <w:sz w:val="24"/>
          <w:szCs w:val="24"/>
          <w:lang w:eastAsia="en-GB"/>
        </w:rPr>
        <w:t>,</w:t>
      </w:r>
      <w:r w:rsidRPr="004D0525">
        <w:rPr>
          <w:rFonts w:eastAsia="Times New Roman" w:cstheme="minorHAnsi"/>
          <w:sz w:val="24"/>
          <w:szCs w:val="24"/>
          <w:lang w:eastAsia="en-GB"/>
        </w:rPr>
        <w:t xml:space="preserve"> therefore</w:t>
      </w:r>
      <w:r w:rsidR="00554591">
        <w:rPr>
          <w:rFonts w:eastAsia="Times New Roman" w:cstheme="minorHAnsi"/>
          <w:sz w:val="24"/>
          <w:szCs w:val="24"/>
          <w:lang w:eastAsia="en-GB"/>
        </w:rPr>
        <w:t>,</w:t>
      </w:r>
      <w:r w:rsidRPr="004D0525">
        <w:rPr>
          <w:rFonts w:eastAsia="Times New Roman" w:cstheme="minorHAnsi"/>
          <w:sz w:val="24"/>
          <w:szCs w:val="24"/>
          <w:lang w:eastAsia="en-GB"/>
        </w:rPr>
        <w:t xml:space="preserve"> reduced costs to energy supply companies. The Government expected that energy companies would pass on these savings </w:t>
      </w:r>
      <w:r w:rsidR="00074BFE">
        <w:rPr>
          <w:rFonts w:eastAsia="Times New Roman" w:cstheme="minorHAnsi"/>
          <w:sz w:val="24"/>
          <w:szCs w:val="24"/>
          <w:lang w:eastAsia="en-GB"/>
        </w:rPr>
        <w:t>to</w:t>
      </w:r>
      <w:r w:rsidR="00074BFE" w:rsidRPr="004D0525">
        <w:rPr>
          <w:rFonts w:eastAsia="Times New Roman" w:cstheme="minorHAnsi"/>
          <w:sz w:val="24"/>
          <w:szCs w:val="24"/>
          <w:lang w:eastAsia="en-GB"/>
        </w:rPr>
        <w:t xml:space="preserve"> </w:t>
      </w:r>
      <w:r w:rsidR="00554591">
        <w:rPr>
          <w:rFonts w:eastAsia="Times New Roman" w:cstheme="minorHAnsi"/>
          <w:sz w:val="24"/>
          <w:szCs w:val="24"/>
          <w:lang w:eastAsia="en-GB"/>
        </w:rPr>
        <w:t>their customers</w:t>
      </w:r>
      <w:r w:rsidRPr="004D0525">
        <w:rPr>
          <w:rFonts w:eastAsia="Times New Roman" w:cstheme="minorHAnsi"/>
          <w:sz w:val="24"/>
          <w:szCs w:val="24"/>
          <w:lang w:eastAsia="en-GB"/>
        </w:rPr>
        <w:t xml:space="preserve"> and the energy companies appeared to have agreed to this. However, the department provided further information which explained that there was no legal requirement, or anything that had regulatory force, for energy companies to pass on these cost savings to consumers. The pass through of business costs to consumers was, therefore, confirmed as indirect. </w:t>
      </w:r>
    </w:p>
    <w:p w:rsidR="009F0294" w:rsidRPr="004D0525"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F0294" w:rsidRDefault="009F0294" w:rsidP="009F0294">
      <w:pPr>
        <w:spacing w:after="0"/>
        <w:rPr>
          <w:rFonts w:eastAsia="Times New Roman" w:cstheme="minorHAnsi"/>
          <w:sz w:val="24"/>
          <w:szCs w:val="24"/>
          <w:lang w:eastAsia="en-GB"/>
        </w:rPr>
      </w:pPr>
    </w:p>
    <w:p w:rsidR="009F0294" w:rsidRPr="004D0525"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D0525">
        <w:rPr>
          <w:rFonts w:eastAsia="Times New Roman" w:cstheme="minorHAnsi"/>
          <w:b/>
          <w:sz w:val="24"/>
          <w:szCs w:val="24"/>
          <w:lang w:eastAsia="en-GB"/>
        </w:rPr>
        <w:t xml:space="preserve">Plastic carrier bags charge (RPC14-DEFRA-2124(2)): </w:t>
      </w:r>
      <w:r>
        <w:rPr>
          <w:rFonts w:eastAsia="Times New Roman" w:cstheme="minorHAnsi"/>
          <w:sz w:val="24"/>
          <w:szCs w:val="24"/>
          <w:lang w:eastAsia="en-GB"/>
        </w:rPr>
        <w:t>T</w:t>
      </w:r>
      <w:r w:rsidRPr="004D0525">
        <w:rPr>
          <w:rFonts w:eastAsia="Times New Roman" w:cstheme="minorHAnsi"/>
          <w:sz w:val="24"/>
          <w:szCs w:val="24"/>
          <w:lang w:eastAsia="en-GB"/>
        </w:rPr>
        <w:t xml:space="preserve">his proposal required large retailers to charge consumers five pence for each carrier bag. The policy was expected to result in a substantial reduction in the number of carrier bags that would be used. Since the existing cost of the carrier bags was, in effect, being passed on to consumers in the form of higher prices, the department’s initial analysis suggested that, because retailers would pass on the </w:t>
      </w:r>
      <w:r w:rsidRPr="004D0525">
        <w:rPr>
          <w:rFonts w:eastAsia="Times New Roman" w:cstheme="minorHAnsi"/>
          <w:sz w:val="24"/>
          <w:szCs w:val="24"/>
          <w:lang w:eastAsia="en-GB"/>
        </w:rPr>
        <w:lastRenderedPageBreak/>
        <w:t>savings from fewer carrier bags to consumers in the form of lower prices, this would not be a direct benefit to retailers. However, it was confirmed that the direct impact was on retailers and this was reflected in the EANCB (although the measure, as regulatory, was zero net cost</w:t>
      </w:r>
      <w:r>
        <w:rPr>
          <w:rFonts w:eastAsia="Times New Roman" w:cstheme="minorHAnsi"/>
          <w:sz w:val="24"/>
          <w:szCs w:val="24"/>
          <w:lang w:eastAsia="en-GB"/>
        </w:rPr>
        <w:t xml:space="preserve"> under OITO</w:t>
      </w:r>
      <w:r w:rsidRPr="004D0525">
        <w:rPr>
          <w:rFonts w:eastAsia="Times New Roman" w:cstheme="minorHAnsi"/>
          <w:sz w:val="24"/>
          <w:szCs w:val="24"/>
          <w:lang w:eastAsia="en-GB"/>
        </w:rPr>
        <w:t>). Note that there was also another pass through issue, in that retailers were expected, though not required, to pass on the net revenue from the sale of carrier bags to local good causes. However, as the latter would be civil society organisations, this had no impact on the EANCB.</w:t>
      </w:r>
      <w:r w:rsidRPr="004D0525">
        <w:rPr>
          <w:rFonts w:eastAsia="Times New Roman" w:cstheme="minorHAnsi"/>
          <w:color w:val="1F497D"/>
          <w:sz w:val="24"/>
          <w:szCs w:val="24"/>
          <w:lang w:eastAsia="en-GB"/>
        </w:rPr>
        <w:t xml:space="preserve"> (</w:t>
      </w:r>
      <w:hyperlink r:id="rId9" w:history="1">
        <w:r w:rsidRPr="004D0525">
          <w:rPr>
            <w:rFonts w:eastAsia="Times New Roman" w:cstheme="minorHAnsi"/>
            <w:color w:val="0000FF"/>
            <w:sz w:val="24"/>
            <w:szCs w:val="24"/>
            <w:u w:val="single"/>
            <w:lang w:eastAsia="en-GB"/>
          </w:rPr>
          <w:t>IA</w:t>
        </w:r>
      </w:hyperlink>
      <w:r w:rsidRPr="004D0525">
        <w:rPr>
          <w:rFonts w:eastAsia="Times New Roman" w:cstheme="minorHAnsi"/>
          <w:color w:val="1F497D"/>
          <w:sz w:val="24"/>
          <w:szCs w:val="24"/>
          <w:lang w:eastAsia="en-GB"/>
        </w:rPr>
        <w:t>)</w:t>
      </w:r>
    </w:p>
    <w:p w:rsidR="009F0294" w:rsidRPr="004D0525" w:rsidRDefault="009F0294" w:rsidP="009F0294">
      <w:pPr>
        <w:spacing w:after="0"/>
        <w:rPr>
          <w:rFonts w:eastAsia="Times New Roman" w:cstheme="minorHAnsi"/>
          <w:sz w:val="24"/>
          <w:szCs w:val="24"/>
          <w:lang w:eastAsia="en-GB"/>
        </w:rPr>
      </w:pPr>
    </w:p>
    <w:p w:rsidR="009F0294" w:rsidRDefault="009F0294" w:rsidP="009F0294">
      <w:pPr>
        <w:spacing w:after="0"/>
        <w:rPr>
          <w:rFonts w:eastAsia="Times New Roman" w:cstheme="minorHAnsi"/>
          <w:b/>
          <w:sz w:val="24"/>
          <w:szCs w:val="24"/>
          <w:lang w:eastAsia="en-GB"/>
        </w:rPr>
      </w:pPr>
    </w:p>
    <w:p w:rsidR="009F0294" w:rsidRPr="004D0525" w:rsidRDefault="009F0294" w:rsidP="009F0294">
      <w:pPr>
        <w:spacing w:after="0"/>
        <w:rPr>
          <w:rFonts w:eastAsia="Times New Roman" w:cstheme="minorHAnsi"/>
          <w:b/>
          <w:sz w:val="24"/>
          <w:szCs w:val="24"/>
          <w:lang w:eastAsia="en-GB"/>
        </w:rPr>
      </w:pPr>
      <w:r w:rsidRPr="004D0525">
        <w:rPr>
          <w:rFonts w:eastAsia="Times New Roman" w:cstheme="minorHAnsi"/>
          <w:b/>
          <w:sz w:val="24"/>
          <w:szCs w:val="24"/>
          <w:lang w:eastAsia="en-GB"/>
        </w:rPr>
        <w:t xml:space="preserve">Exceptions to the normal application of pass through </w:t>
      </w:r>
    </w:p>
    <w:p w:rsidR="009F0294" w:rsidRPr="004D0525" w:rsidRDefault="009F0294" w:rsidP="009F0294">
      <w:pPr>
        <w:spacing w:after="0"/>
        <w:rPr>
          <w:rFonts w:eastAsia="Times New Roman" w:cstheme="minorHAnsi"/>
          <w:sz w:val="24"/>
          <w:szCs w:val="24"/>
          <w:lang w:eastAsia="en-GB"/>
        </w:rPr>
      </w:pPr>
    </w:p>
    <w:p w:rsidR="009F0294" w:rsidRPr="004D0525" w:rsidRDefault="009F0294" w:rsidP="009F0294">
      <w:pPr>
        <w:spacing w:after="0"/>
        <w:rPr>
          <w:rFonts w:eastAsia="Times New Roman" w:cstheme="minorHAnsi"/>
          <w:sz w:val="24"/>
          <w:szCs w:val="24"/>
          <w:lang w:eastAsia="en-GB"/>
        </w:rPr>
      </w:pPr>
      <w:r w:rsidRPr="004D0525">
        <w:rPr>
          <w:rFonts w:eastAsia="Times New Roman" w:cstheme="minorHAnsi"/>
          <w:sz w:val="24"/>
          <w:szCs w:val="24"/>
          <w:lang w:eastAsia="en-GB"/>
        </w:rPr>
        <w:t>There are a very few exceptions</w:t>
      </w:r>
      <w:r>
        <w:rPr>
          <w:rFonts w:eastAsia="Times New Roman" w:cstheme="minorHAnsi"/>
          <w:sz w:val="24"/>
          <w:szCs w:val="24"/>
          <w:lang w:eastAsia="en-GB"/>
        </w:rPr>
        <w:t xml:space="preserve"> to the rule on pass through</w:t>
      </w:r>
      <w:r w:rsidRPr="004D0525">
        <w:rPr>
          <w:rFonts w:eastAsia="Times New Roman" w:cstheme="minorHAnsi"/>
          <w:sz w:val="24"/>
          <w:szCs w:val="24"/>
          <w:lang w:eastAsia="en-GB"/>
        </w:rPr>
        <w:t xml:space="preserve">.  As noted above, one might be where the pass through is mandatory, (i.e. backed by regulatory force). </w:t>
      </w:r>
      <w:r w:rsidR="00554591">
        <w:rPr>
          <w:rFonts w:eastAsia="Times New Roman" w:cstheme="minorHAnsi"/>
          <w:sz w:val="24"/>
          <w:szCs w:val="24"/>
          <w:lang w:eastAsia="en-GB"/>
        </w:rPr>
        <w:t xml:space="preserve"> </w:t>
      </w:r>
      <w:r w:rsidRPr="004D0525">
        <w:rPr>
          <w:rFonts w:eastAsia="Times New Roman" w:cstheme="minorHAnsi"/>
          <w:sz w:val="24"/>
          <w:szCs w:val="24"/>
          <w:lang w:eastAsia="en-GB"/>
        </w:rPr>
        <w:t>Another possibility (example below), is where the business experiencing the initial impact of regulation/deregulation acts only as a conduit. For example, following a Regulatory Framework Group discussion it was agreed that when a cost is paid by an agent on behalf of a principal, this should be considered to be a direct cost to the principal, not a cost to the agent that is passed through.</w:t>
      </w:r>
    </w:p>
    <w:p w:rsidR="009F0294" w:rsidRPr="004D0525" w:rsidRDefault="009F0294" w:rsidP="009F0294">
      <w:pPr>
        <w:spacing w:after="0"/>
        <w:rPr>
          <w:rFonts w:eastAsia="Times New Roman" w:cstheme="minorHAnsi"/>
          <w:sz w:val="24"/>
          <w:szCs w:val="24"/>
          <w:lang w:eastAsia="en-GB"/>
        </w:rPr>
      </w:pPr>
    </w:p>
    <w:p w:rsidR="009F0294" w:rsidRPr="004D0525"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D0525">
        <w:rPr>
          <w:rFonts w:eastAsia="Times New Roman" w:cstheme="minorHAnsi"/>
          <w:b/>
          <w:sz w:val="24"/>
          <w:szCs w:val="24"/>
          <w:lang w:eastAsia="en-GB"/>
        </w:rPr>
        <w:t xml:space="preserve">HM Land Registry local land charges (RPC13-FT-BIS-1925): </w:t>
      </w:r>
      <w:r w:rsidR="00554591" w:rsidRPr="00554591">
        <w:rPr>
          <w:rFonts w:eastAsia="Times New Roman" w:cstheme="minorHAnsi"/>
          <w:sz w:val="24"/>
          <w:szCs w:val="24"/>
          <w:lang w:eastAsia="en-GB"/>
        </w:rPr>
        <w:t>L</w:t>
      </w:r>
      <w:r w:rsidRPr="004D0525">
        <w:rPr>
          <w:rFonts w:eastAsia="Times New Roman" w:cstheme="minorHAnsi"/>
          <w:sz w:val="24"/>
          <w:szCs w:val="24"/>
          <w:lang w:eastAsia="en-GB"/>
        </w:rPr>
        <w:t xml:space="preserve">and charges are </w:t>
      </w:r>
      <w:r w:rsidR="00554591">
        <w:rPr>
          <w:rFonts w:eastAsia="Times New Roman" w:cstheme="minorHAnsi"/>
          <w:sz w:val="24"/>
          <w:szCs w:val="24"/>
          <w:lang w:eastAsia="en-GB"/>
        </w:rPr>
        <w:t xml:space="preserve">currently </w:t>
      </w:r>
      <w:r w:rsidRPr="004D0525">
        <w:rPr>
          <w:rFonts w:eastAsia="Times New Roman" w:cstheme="minorHAnsi"/>
          <w:sz w:val="24"/>
          <w:szCs w:val="24"/>
          <w:lang w:eastAsia="en-GB"/>
        </w:rPr>
        <w:t xml:space="preserve">set at </w:t>
      </w:r>
      <w:r w:rsidR="00554591">
        <w:rPr>
          <w:rFonts w:eastAsia="Times New Roman" w:cstheme="minorHAnsi"/>
          <w:sz w:val="24"/>
          <w:szCs w:val="24"/>
          <w:lang w:eastAsia="en-GB"/>
        </w:rPr>
        <w:t xml:space="preserve">the </w:t>
      </w:r>
      <w:r w:rsidRPr="004D0525">
        <w:rPr>
          <w:rFonts w:eastAsia="Times New Roman" w:cstheme="minorHAnsi"/>
          <w:sz w:val="24"/>
          <w:szCs w:val="24"/>
          <w:lang w:eastAsia="en-GB"/>
        </w:rPr>
        <w:t xml:space="preserve">local authority level. The proposal is to standardise them at a level below the current average. Most customers will be better off, but a minority will see their fees rise. These fees are normally paid by conveyancers on behalf of their clients. Initially, this was considered to be a direct cost to conveyancers that was passed on to clients (who were a mix of individuals and businesses). Following RFG discussion, it was agreed that this should be considered to be a cost </w:t>
      </w:r>
      <w:r w:rsidR="00554591">
        <w:rPr>
          <w:rFonts w:eastAsia="Times New Roman" w:cstheme="minorHAnsi"/>
          <w:sz w:val="24"/>
          <w:szCs w:val="24"/>
          <w:lang w:eastAsia="en-GB"/>
        </w:rPr>
        <w:t>to</w:t>
      </w:r>
      <w:r w:rsidRPr="004D0525">
        <w:rPr>
          <w:rFonts w:eastAsia="Times New Roman" w:cstheme="minorHAnsi"/>
          <w:sz w:val="24"/>
          <w:szCs w:val="24"/>
          <w:lang w:eastAsia="en-GB"/>
        </w:rPr>
        <w:t xml:space="preserve"> clients since they are ultimately responsible</w:t>
      </w:r>
      <w:r w:rsidR="00554591">
        <w:rPr>
          <w:rFonts w:eastAsia="Times New Roman" w:cstheme="minorHAnsi"/>
          <w:sz w:val="24"/>
          <w:szCs w:val="24"/>
          <w:lang w:eastAsia="en-GB"/>
        </w:rPr>
        <w:t>.</w:t>
      </w:r>
      <w:r w:rsidRPr="004D0525">
        <w:rPr>
          <w:rFonts w:eastAsia="Times New Roman" w:cstheme="minorHAnsi"/>
          <w:sz w:val="24"/>
          <w:szCs w:val="24"/>
          <w:lang w:eastAsia="en-GB"/>
        </w:rPr>
        <w:t xml:space="preserve"> </w:t>
      </w:r>
      <w:r w:rsidR="00554591">
        <w:rPr>
          <w:rFonts w:eastAsia="Times New Roman" w:cstheme="minorHAnsi"/>
          <w:sz w:val="24"/>
          <w:szCs w:val="24"/>
          <w:lang w:eastAsia="en-GB"/>
        </w:rPr>
        <w:t>C</w:t>
      </w:r>
      <w:r w:rsidRPr="004D0525">
        <w:rPr>
          <w:rFonts w:eastAsia="Times New Roman" w:cstheme="minorHAnsi"/>
          <w:sz w:val="24"/>
          <w:szCs w:val="24"/>
          <w:lang w:eastAsia="en-GB"/>
        </w:rPr>
        <w:t xml:space="preserve">onveyancers </w:t>
      </w:r>
      <w:r w:rsidR="00554591">
        <w:rPr>
          <w:rFonts w:eastAsia="Times New Roman" w:cstheme="minorHAnsi"/>
          <w:sz w:val="24"/>
          <w:szCs w:val="24"/>
          <w:lang w:eastAsia="en-GB"/>
        </w:rPr>
        <w:t>were simply</w:t>
      </w:r>
      <w:r w:rsidRPr="004D0525">
        <w:rPr>
          <w:rFonts w:eastAsia="Times New Roman" w:cstheme="minorHAnsi"/>
          <w:sz w:val="24"/>
          <w:szCs w:val="24"/>
          <w:lang w:eastAsia="en-GB"/>
        </w:rPr>
        <w:t xml:space="preserve"> paying on their behalf. Note that this measure was out of scope of OITO as it related to fees and charges but the issue was relevant to its fast track status. (</w:t>
      </w:r>
      <w:hyperlink r:id="rId10" w:history="1">
        <w:r w:rsidRPr="004D0525">
          <w:rPr>
            <w:rFonts w:eastAsia="Times New Roman" w:cstheme="minorHAnsi"/>
            <w:color w:val="0000FF"/>
            <w:sz w:val="24"/>
            <w:szCs w:val="24"/>
            <w:u w:val="single"/>
            <w:lang w:eastAsia="en-GB"/>
          </w:rPr>
          <w:t>IA</w:t>
        </w:r>
      </w:hyperlink>
      <w:r w:rsidRPr="004D0525">
        <w:rPr>
          <w:rFonts w:eastAsia="Times New Roman" w:cstheme="minorHAnsi"/>
          <w:sz w:val="24"/>
          <w:szCs w:val="24"/>
          <w:lang w:eastAsia="en-GB"/>
        </w:rPr>
        <w:t>)</w:t>
      </w:r>
      <w:bookmarkStart w:id="1" w:name="Mitigating"/>
      <w:bookmarkEnd w:id="1"/>
    </w:p>
    <w:p w:rsidR="009F0294" w:rsidRPr="004D0525" w:rsidRDefault="009F0294" w:rsidP="009F0294">
      <w:pPr>
        <w:spacing w:after="0" w:line="240" w:lineRule="auto"/>
        <w:jc w:val="both"/>
        <w:rPr>
          <w:rFonts w:ascii="Times New Roman" w:eastAsia="Times New Roman" w:hAnsi="Times New Roman" w:cs="Times New Roman"/>
          <w:b/>
          <w:sz w:val="24"/>
          <w:szCs w:val="24"/>
          <w:u w:val="single"/>
          <w:lang w:eastAsia="en-GB"/>
        </w:rPr>
      </w:pPr>
    </w:p>
    <w:p w:rsidR="009F0294" w:rsidRDefault="009F0294" w:rsidP="009F0294">
      <w:pPr>
        <w:rPr>
          <w:rFonts w:ascii="Cambria" w:hAnsi="Cambria" w:cs="Arial"/>
          <w:sz w:val="24"/>
          <w:szCs w:val="24"/>
        </w:rPr>
      </w:pPr>
    </w:p>
    <w:p w:rsidR="009F0294" w:rsidRPr="0094587B" w:rsidRDefault="009F0294" w:rsidP="009F0294">
      <w:pPr>
        <w:rPr>
          <w:rFonts w:ascii="Cambria" w:hAnsi="Cambria" w:cs="Arial"/>
          <w:sz w:val="24"/>
          <w:szCs w:val="24"/>
        </w:rPr>
      </w:pPr>
      <w:r w:rsidRPr="00220CDD">
        <w:rPr>
          <w:rFonts w:eastAsia="Times New Roman" w:cstheme="minorHAnsi"/>
          <w:b/>
          <w:color w:val="000000" w:themeColor="text1"/>
          <w:sz w:val="24"/>
          <w:szCs w:val="24"/>
          <w:lang w:eastAsia="en-GB"/>
        </w:rPr>
        <w:t>4.</w:t>
      </w:r>
      <w:r>
        <w:rPr>
          <w:rFonts w:eastAsia="Times New Roman" w:cstheme="minorHAnsi"/>
          <w:b/>
          <w:color w:val="000000" w:themeColor="text1"/>
          <w:sz w:val="24"/>
          <w:szCs w:val="24"/>
          <w:lang w:eastAsia="en-GB"/>
        </w:rPr>
        <w:t>1.2</w:t>
      </w:r>
      <w:r w:rsidRPr="00220CDD">
        <w:rPr>
          <w:rFonts w:eastAsia="Times New Roman" w:cstheme="minorHAnsi"/>
          <w:b/>
          <w:color w:val="000000" w:themeColor="text1"/>
          <w:sz w:val="24"/>
          <w:szCs w:val="24"/>
          <w:lang w:eastAsia="en-GB"/>
        </w:rPr>
        <w:t xml:space="preserve"> Other direct / indirect issues</w:t>
      </w:r>
    </w:p>
    <w:p w:rsidR="009F0294" w:rsidRPr="00FC09EC" w:rsidRDefault="009F0294" w:rsidP="009F0294">
      <w:pPr>
        <w:spacing w:after="0"/>
        <w:rPr>
          <w:rFonts w:eastAsia="Times New Roman" w:cstheme="minorHAnsi"/>
          <w:sz w:val="24"/>
          <w:szCs w:val="24"/>
          <w:u w:val="single"/>
          <w:lang w:eastAsia="en-GB"/>
        </w:rPr>
      </w:pPr>
      <w:r w:rsidRPr="00FC09EC">
        <w:rPr>
          <w:rFonts w:eastAsia="Times New Roman" w:cstheme="minorHAnsi"/>
          <w:sz w:val="24"/>
          <w:szCs w:val="24"/>
          <w:u w:val="single"/>
          <w:lang w:eastAsia="en-GB"/>
        </w:rPr>
        <w:t>New Entrants</w:t>
      </w:r>
    </w:p>
    <w:p w:rsidR="009F0294" w:rsidRPr="00FC09EC" w:rsidRDefault="009F0294" w:rsidP="009F0294">
      <w:pPr>
        <w:spacing w:after="0"/>
        <w:rPr>
          <w:rFonts w:eastAsia="Times New Roman" w:cstheme="minorHAnsi"/>
          <w:sz w:val="24"/>
          <w:szCs w:val="24"/>
          <w:u w:val="single"/>
          <w:lang w:eastAsia="en-GB"/>
        </w:rPr>
      </w:pPr>
    </w:p>
    <w:p w:rsidR="009F0294" w:rsidRPr="00FC09EC" w:rsidRDefault="009F0294" w:rsidP="009F0294">
      <w:pPr>
        <w:spacing w:after="0"/>
        <w:rPr>
          <w:rFonts w:eastAsia="Times New Roman" w:cstheme="minorHAnsi"/>
          <w:sz w:val="24"/>
          <w:szCs w:val="24"/>
          <w:lang w:eastAsia="en-GB"/>
        </w:rPr>
      </w:pPr>
      <w:r w:rsidRPr="00FC09EC">
        <w:rPr>
          <w:rFonts w:eastAsia="Times New Roman" w:cstheme="minorHAnsi"/>
          <w:sz w:val="24"/>
          <w:szCs w:val="24"/>
          <w:lang w:eastAsia="en-GB"/>
        </w:rPr>
        <w:t>Costs and benefits to future businesses entering a market were previously</w:t>
      </w:r>
      <w:r w:rsidR="00074BFE">
        <w:rPr>
          <w:rFonts w:eastAsia="Times New Roman" w:cstheme="minorHAnsi"/>
          <w:sz w:val="24"/>
          <w:szCs w:val="24"/>
          <w:lang w:eastAsia="en-GB"/>
        </w:rPr>
        <w:t xml:space="preserve"> sometimes</w:t>
      </w:r>
      <w:r w:rsidRPr="00FC09EC">
        <w:rPr>
          <w:rFonts w:eastAsia="Times New Roman" w:cstheme="minorHAnsi"/>
          <w:sz w:val="24"/>
          <w:szCs w:val="24"/>
          <w:lang w:eastAsia="en-GB"/>
        </w:rPr>
        <w:t xml:space="preserve"> seen as indirect impacts </w:t>
      </w:r>
      <w:r w:rsidR="00074BFE">
        <w:rPr>
          <w:rFonts w:eastAsia="Times New Roman" w:cstheme="minorHAnsi"/>
          <w:sz w:val="24"/>
          <w:szCs w:val="24"/>
          <w:lang w:eastAsia="en-GB"/>
        </w:rPr>
        <w:t>on the grounds that these</w:t>
      </w:r>
      <w:r w:rsidRPr="00FC09EC">
        <w:rPr>
          <w:rFonts w:eastAsia="Times New Roman" w:cstheme="minorHAnsi"/>
          <w:sz w:val="24"/>
          <w:szCs w:val="24"/>
          <w:lang w:eastAsia="en-GB"/>
        </w:rPr>
        <w:t xml:space="preserve"> businesses do not yet exist and any estimates would</w:t>
      </w:r>
      <w:r>
        <w:rPr>
          <w:rFonts w:eastAsia="Times New Roman" w:cstheme="minorHAnsi"/>
          <w:sz w:val="24"/>
          <w:szCs w:val="24"/>
          <w:lang w:eastAsia="en-GB"/>
        </w:rPr>
        <w:t>,</w:t>
      </w:r>
      <w:r w:rsidRPr="00FC09EC">
        <w:rPr>
          <w:rFonts w:eastAsia="Times New Roman" w:cstheme="minorHAnsi"/>
          <w:sz w:val="24"/>
          <w:szCs w:val="24"/>
          <w:lang w:eastAsia="en-GB"/>
        </w:rPr>
        <w:t xml:space="preserve"> therefore</w:t>
      </w:r>
      <w:r>
        <w:rPr>
          <w:rFonts w:eastAsia="Times New Roman" w:cstheme="minorHAnsi"/>
          <w:sz w:val="24"/>
          <w:szCs w:val="24"/>
          <w:lang w:eastAsia="en-GB"/>
        </w:rPr>
        <w:t>,</w:t>
      </w:r>
      <w:r w:rsidRPr="00FC09EC">
        <w:rPr>
          <w:rFonts w:eastAsia="Times New Roman" w:cstheme="minorHAnsi"/>
          <w:sz w:val="24"/>
          <w:szCs w:val="24"/>
          <w:lang w:eastAsia="en-GB"/>
        </w:rPr>
        <w:t xml:space="preserve"> also be somewhat speculative. However, this meant, for example, that deregulatory measures (e.g. simplified guidance), which mainly benefit new entrants, could easily be net costly in OITO terms because of the familiarisation costs to existing companies. </w:t>
      </w:r>
      <w:r w:rsidR="00320023">
        <w:rPr>
          <w:rFonts w:eastAsia="Times New Roman" w:cstheme="minorHAnsi"/>
          <w:sz w:val="24"/>
          <w:szCs w:val="24"/>
          <w:lang w:eastAsia="en-GB"/>
        </w:rPr>
        <w:t>T</w:t>
      </w:r>
      <w:r w:rsidRPr="00FC09EC">
        <w:rPr>
          <w:rFonts w:eastAsia="Times New Roman" w:cstheme="minorHAnsi"/>
          <w:sz w:val="24"/>
          <w:szCs w:val="24"/>
          <w:lang w:eastAsia="en-GB"/>
        </w:rPr>
        <w:t>his approach was reviewed and the methodology</w:t>
      </w:r>
      <w:r w:rsidR="00320023">
        <w:rPr>
          <w:rFonts w:eastAsia="Times New Roman" w:cstheme="minorHAnsi"/>
          <w:sz w:val="24"/>
          <w:szCs w:val="24"/>
          <w:lang w:eastAsia="en-GB"/>
        </w:rPr>
        <w:t xml:space="preserve"> clarified</w:t>
      </w:r>
      <w:r w:rsidRPr="00FC09EC">
        <w:rPr>
          <w:rFonts w:eastAsia="Times New Roman" w:cstheme="minorHAnsi"/>
          <w:sz w:val="24"/>
          <w:szCs w:val="24"/>
          <w:lang w:eastAsia="en-GB"/>
        </w:rPr>
        <w:t>. It is now clear that impacts on new entrants should be treated in the same way as impacts on existing businesses</w:t>
      </w:r>
      <w:r w:rsidR="00074BFE">
        <w:rPr>
          <w:rFonts w:eastAsia="Times New Roman" w:cstheme="minorHAnsi"/>
          <w:sz w:val="24"/>
          <w:szCs w:val="24"/>
          <w:lang w:eastAsia="en-GB"/>
        </w:rPr>
        <w:t xml:space="preserve"> if they </w:t>
      </w:r>
      <w:r w:rsidR="00074BFE">
        <w:rPr>
          <w:rFonts w:eastAsia="Times New Roman" w:cstheme="minorHAnsi"/>
          <w:sz w:val="24"/>
          <w:szCs w:val="24"/>
          <w:lang w:eastAsia="en-GB"/>
        </w:rPr>
        <w:lastRenderedPageBreak/>
        <w:t>arise in the context of normal business ‘churn’</w:t>
      </w:r>
      <w:r w:rsidRPr="00FC09EC">
        <w:rPr>
          <w:rFonts w:eastAsia="Times New Roman" w:cstheme="minorHAnsi"/>
          <w:sz w:val="24"/>
          <w:szCs w:val="24"/>
          <w:lang w:eastAsia="en-GB"/>
        </w:rPr>
        <w:t xml:space="preserve">. However, any estimates relating to the number of new entrants would normally be accepted only in respect of official data relating to historical turnover (churn) of businesses in the particular industrial sector. Any costs or benefits </w:t>
      </w:r>
      <w:r w:rsidR="00686528">
        <w:rPr>
          <w:rFonts w:eastAsia="Times New Roman" w:cstheme="minorHAnsi"/>
          <w:sz w:val="24"/>
          <w:szCs w:val="24"/>
          <w:lang w:eastAsia="en-GB"/>
        </w:rPr>
        <w:t>that are highly speculative would normally still be</w:t>
      </w:r>
      <w:r w:rsidRPr="00FC09EC">
        <w:rPr>
          <w:rFonts w:eastAsia="Times New Roman" w:cstheme="minorHAnsi"/>
          <w:sz w:val="24"/>
          <w:szCs w:val="24"/>
          <w:lang w:eastAsia="en-GB"/>
        </w:rPr>
        <w:t xml:space="preserve"> considered indirect</w:t>
      </w:r>
      <w:r w:rsidR="00074BFE">
        <w:rPr>
          <w:rFonts w:eastAsia="Times New Roman" w:cstheme="minorHAnsi"/>
          <w:sz w:val="24"/>
          <w:szCs w:val="24"/>
          <w:lang w:eastAsia="en-GB"/>
        </w:rPr>
        <w:t xml:space="preserve">, particularly if they assumed an </w:t>
      </w:r>
      <w:r w:rsidR="00074BFE" w:rsidRPr="00FC09EC">
        <w:rPr>
          <w:rFonts w:eastAsia="Times New Roman" w:cstheme="minorHAnsi"/>
          <w:sz w:val="24"/>
          <w:szCs w:val="24"/>
          <w:lang w:eastAsia="en-GB"/>
        </w:rPr>
        <w:t>increase in the rate of entry of new businesses as a result of a proposed change</w:t>
      </w:r>
      <w:r w:rsidR="00074BFE">
        <w:rPr>
          <w:rFonts w:eastAsia="Times New Roman" w:cstheme="minorHAnsi"/>
          <w:sz w:val="24"/>
          <w:szCs w:val="24"/>
          <w:lang w:eastAsia="en-GB"/>
        </w:rPr>
        <w:t>.</w:t>
      </w:r>
    </w:p>
    <w:p w:rsidR="009F0294" w:rsidRDefault="009F0294" w:rsidP="009F0294">
      <w:pPr>
        <w:spacing w:after="0"/>
        <w:rPr>
          <w:rFonts w:eastAsia="Times New Roman" w:cstheme="minorHAnsi"/>
          <w:sz w:val="24"/>
          <w:szCs w:val="24"/>
          <w:lang w:eastAsia="en-GB"/>
        </w:rPr>
      </w:pPr>
    </w:p>
    <w:p w:rsidR="009F0294" w:rsidRPr="00FC09EC" w:rsidRDefault="009F0294" w:rsidP="009F0294">
      <w:pPr>
        <w:spacing w:after="0"/>
        <w:rPr>
          <w:rFonts w:eastAsia="Times New Roman" w:cstheme="minorHAnsi"/>
          <w:sz w:val="24"/>
          <w:szCs w:val="24"/>
          <w:lang w:eastAsia="en-GB"/>
        </w:rPr>
      </w:pPr>
    </w:p>
    <w:p w:rsidR="009F0294" w:rsidRPr="00FC09EC"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Revocation of the Construction (Head Protection) Regulations 1989 (RPC12- HSE-1286): </w:t>
      </w:r>
      <w:r>
        <w:rPr>
          <w:rFonts w:eastAsia="Times New Roman" w:cstheme="minorHAnsi"/>
          <w:sz w:val="24"/>
          <w:szCs w:val="24"/>
          <w:lang w:eastAsia="en-GB"/>
        </w:rPr>
        <w:t>T</w:t>
      </w:r>
      <w:r w:rsidRPr="00FC09EC">
        <w:rPr>
          <w:rFonts w:eastAsia="Times New Roman" w:cstheme="minorHAnsi"/>
          <w:sz w:val="24"/>
          <w:szCs w:val="24"/>
          <w:lang w:eastAsia="en-GB"/>
        </w:rPr>
        <w:t xml:space="preserve">he policy simplified regulations regarding head protection on construction sites. This was first </w:t>
      </w:r>
      <w:r w:rsidR="00686528">
        <w:rPr>
          <w:rFonts w:eastAsia="Times New Roman" w:cstheme="minorHAnsi"/>
          <w:sz w:val="24"/>
          <w:szCs w:val="24"/>
          <w:lang w:eastAsia="en-GB"/>
        </w:rPr>
        <w:t>considered to be</w:t>
      </w:r>
      <w:r w:rsidRPr="00FC09EC">
        <w:rPr>
          <w:rFonts w:eastAsia="Times New Roman" w:cstheme="minorHAnsi"/>
          <w:sz w:val="24"/>
          <w:szCs w:val="24"/>
          <w:lang w:eastAsia="en-GB"/>
        </w:rPr>
        <w:t xml:space="preserve"> a deregulatory IN </w:t>
      </w:r>
      <w:r w:rsidR="00686528">
        <w:rPr>
          <w:rFonts w:eastAsia="Times New Roman" w:cstheme="minorHAnsi"/>
          <w:sz w:val="24"/>
          <w:szCs w:val="24"/>
          <w:lang w:eastAsia="en-GB"/>
        </w:rPr>
        <w:t>bec</w:t>
      </w:r>
      <w:r w:rsidRPr="00FC09EC">
        <w:rPr>
          <w:rFonts w:eastAsia="Times New Roman" w:cstheme="minorHAnsi"/>
          <w:sz w:val="24"/>
          <w:szCs w:val="24"/>
          <w:lang w:eastAsia="en-GB"/>
        </w:rPr>
        <w:t>a</w:t>
      </w:r>
      <w:r w:rsidR="00686528">
        <w:rPr>
          <w:rFonts w:eastAsia="Times New Roman" w:cstheme="minorHAnsi"/>
          <w:sz w:val="24"/>
          <w:szCs w:val="24"/>
          <w:lang w:eastAsia="en-GB"/>
        </w:rPr>
        <w:t>u</w:t>
      </w:r>
      <w:r w:rsidRPr="00FC09EC">
        <w:rPr>
          <w:rFonts w:eastAsia="Times New Roman" w:cstheme="minorHAnsi"/>
          <w:sz w:val="24"/>
          <w:szCs w:val="24"/>
          <w:lang w:eastAsia="en-GB"/>
        </w:rPr>
        <w:t>s</w:t>
      </w:r>
      <w:r w:rsidR="00686528">
        <w:rPr>
          <w:rFonts w:eastAsia="Times New Roman" w:cstheme="minorHAnsi"/>
          <w:sz w:val="24"/>
          <w:szCs w:val="24"/>
          <w:lang w:eastAsia="en-GB"/>
        </w:rPr>
        <w:t>e</w:t>
      </w:r>
      <w:r w:rsidRPr="00FC09EC">
        <w:rPr>
          <w:rFonts w:eastAsia="Times New Roman" w:cstheme="minorHAnsi"/>
          <w:sz w:val="24"/>
          <w:szCs w:val="24"/>
          <w:lang w:eastAsia="en-GB"/>
        </w:rPr>
        <w:t xml:space="preserve"> transition costs to existing businesses were direct, while benefits to new entrants were indirect. Following the change to the methodology this was reconsidered and </w:t>
      </w:r>
      <w:r w:rsidR="00686528">
        <w:rPr>
          <w:rFonts w:eastAsia="Times New Roman" w:cstheme="minorHAnsi"/>
          <w:sz w:val="24"/>
          <w:szCs w:val="24"/>
          <w:lang w:eastAsia="en-GB"/>
        </w:rPr>
        <w:t>validated as</w:t>
      </w:r>
      <w:r w:rsidRPr="00FC09EC">
        <w:rPr>
          <w:rFonts w:eastAsia="Times New Roman" w:cstheme="minorHAnsi"/>
          <w:sz w:val="24"/>
          <w:szCs w:val="24"/>
          <w:lang w:eastAsia="en-GB"/>
        </w:rPr>
        <w:t xml:space="preserve"> an OUT. (</w:t>
      </w:r>
      <w:hyperlink r:id="rId11"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12"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p w:rsidR="009F0294" w:rsidRPr="00FC09EC" w:rsidRDefault="009F0294" w:rsidP="009F0294">
      <w:pPr>
        <w:spacing w:after="0"/>
        <w:rPr>
          <w:rFonts w:eastAsia="Times New Roman" w:cstheme="minorHAnsi"/>
          <w:sz w:val="24"/>
          <w:szCs w:val="24"/>
          <w:lang w:eastAsia="en-GB"/>
        </w:rPr>
      </w:pPr>
    </w:p>
    <w:p w:rsidR="009F0294" w:rsidRDefault="009F0294" w:rsidP="009F0294">
      <w:pPr>
        <w:spacing w:after="0"/>
        <w:rPr>
          <w:rFonts w:eastAsia="Times New Roman" w:cstheme="minorHAnsi"/>
          <w:sz w:val="24"/>
          <w:szCs w:val="24"/>
          <w:u w:val="single"/>
          <w:lang w:eastAsia="en-GB"/>
        </w:rPr>
      </w:pPr>
      <w:bookmarkStart w:id="2" w:name="Voluntary"/>
      <w:bookmarkEnd w:id="2"/>
    </w:p>
    <w:p w:rsidR="009F0294" w:rsidRPr="00FC09EC" w:rsidRDefault="0071391D" w:rsidP="009F0294">
      <w:pPr>
        <w:spacing w:after="0"/>
        <w:rPr>
          <w:rFonts w:eastAsia="Times New Roman" w:cstheme="minorHAnsi"/>
          <w:sz w:val="24"/>
          <w:szCs w:val="24"/>
          <w:u w:val="single"/>
          <w:lang w:eastAsia="en-GB"/>
        </w:rPr>
      </w:pPr>
      <w:r>
        <w:rPr>
          <w:rFonts w:eastAsia="Times New Roman" w:cstheme="minorHAnsi"/>
          <w:sz w:val="24"/>
          <w:szCs w:val="24"/>
          <w:u w:val="single"/>
          <w:lang w:eastAsia="en-GB"/>
        </w:rPr>
        <w:t>Discretionary action</w:t>
      </w:r>
    </w:p>
    <w:p w:rsidR="009F0294" w:rsidRPr="00FC09EC" w:rsidRDefault="009F0294" w:rsidP="009F0294">
      <w:pPr>
        <w:spacing w:after="0"/>
        <w:rPr>
          <w:rFonts w:eastAsia="Times New Roman" w:cstheme="minorHAnsi"/>
          <w:b/>
          <w:sz w:val="24"/>
          <w:szCs w:val="24"/>
          <w:u w:val="single"/>
          <w:lang w:eastAsia="en-GB"/>
        </w:rPr>
      </w:pPr>
    </w:p>
    <w:p w:rsidR="009F0294" w:rsidRPr="00FC09EC" w:rsidRDefault="009F0294" w:rsidP="009F0294">
      <w:pPr>
        <w:spacing w:after="0"/>
        <w:rPr>
          <w:rFonts w:eastAsia="Times New Roman" w:cstheme="minorHAnsi"/>
          <w:sz w:val="24"/>
          <w:szCs w:val="24"/>
          <w:lang w:eastAsia="en-GB"/>
        </w:rPr>
      </w:pPr>
      <w:r w:rsidRPr="00FC09EC">
        <w:rPr>
          <w:rFonts w:eastAsia="Times New Roman" w:cstheme="minorHAnsi"/>
          <w:sz w:val="24"/>
          <w:szCs w:val="24"/>
          <w:lang w:eastAsia="en-GB"/>
        </w:rPr>
        <w:t>Where business</w:t>
      </w:r>
      <w:r w:rsidR="006902DA">
        <w:rPr>
          <w:rFonts w:eastAsia="Times New Roman" w:cstheme="minorHAnsi"/>
          <w:sz w:val="24"/>
          <w:szCs w:val="24"/>
          <w:lang w:eastAsia="en-GB"/>
        </w:rPr>
        <w:t>es</w:t>
      </w:r>
      <w:r w:rsidRPr="00FC09EC">
        <w:rPr>
          <w:rFonts w:eastAsia="Times New Roman" w:cstheme="minorHAnsi"/>
          <w:sz w:val="24"/>
          <w:szCs w:val="24"/>
          <w:lang w:eastAsia="en-GB"/>
        </w:rPr>
        <w:t xml:space="preserve"> </w:t>
      </w:r>
      <w:r w:rsidR="006902DA">
        <w:rPr>
          <w:rFonts w:eastAsia="Times New Roman" w:cstheme="minorHAnsi"/>
          <w:sz w:val="24"/>
          <w:szCs w:val="24"/>
          <w:lang w:eastAsia="en-GB"/>
        </w:rPr>
        <w:t>are</w:t>
      </w:r>
      <w:r w:rsidRPr="00FC09EC">
        <w:rPr>
          <w:rFonts w:eastAsia="Times New Roman" w:cstheme="minorHAnsi"/>
          <w:sz w:val="24"/>
          <w:szCs w:val="24"/>
          <w:lang w:eastAsia="en-GB"/>
        </w:rPr>
        <w:t xml:space="preserve"> given an option to act, questions often arise as to whether the impact of their actions is direct or indirect. </w:t>
      </w:r>
      <w:r w:rsidR="00074BFE">
        <w:rPr>
          <w:rFonts w:eastAsia="Times New Roman" w:cstheme="minorHAnsi"/>
          <w:sz w:val="24"/>
          <w:szCs w:val="24"/>
          <w:lang w:eastAsia="en-GB"/>
        </w:rPr>
        <w:t>If considered indirect, th</w:t>
      </w:r>
      <w:r w:rsidR="0071391D">
        <w:rPr>
          <w:rFonts w:eastAsia="Times New Roman" w:cstheme="minorHAnsi"/>
          <w:sz w:val="24"/>
          <w:szCs w:val="24"/>
          <w:lang w:eastAsia="en-GB"/>
        </w:rPr>
        <w:t>e</w:t>
      </w:r>
      <w:r w:rsidR="00074BFE">
        <w:rPr>
          <w:rFonts w:eastAsia="Times New Roman" w:cstheme="minorHAnsi"/>
          <w:sz w:val="24"/>
          <w:szCs w:val="24"/>
          <w:lang w:eastAsia="en-GB"/>
        </w:rPr>
        <w:t>n just about any deregulatory measure would be treated as having indirect impacts.  So the</w:t>
      </w:r>
      <w:r w:rsidRPr="00FC09EC">
        <w:rPr>
          <w:rFonts w:eastAsia="Times New Roman" w:cstheme="minorHAnsi"/>
          <w:sz w:val="24"/>
          <w:szCs w:val="24"/>
          <w:lang w:eastAsia="en-GB"/>
        </w:rPr>
        <w:t xml:space="preserve"> principle is that where the regulation was the main </w:t>
      </w:r>
      <w:r>
        <w:rPr>
          <w:rFonts w:eastAsia="Times New Roman" w:cstheme="minorHAnsi"/>
          <w:sz w:val="24"/>
          <w:szCs w:val="24"/>
          <w:lang w:eastAsia="en-GB"/>
        </w:rPr>
        <w:t>barrier</w:t>
      </w:r>
      <w:r w:rsidRPr="00FC09EC">
        <w:rPr>
          <w:rFonts w:eastAsia="Times New Roman" w:cstheme="minorHAnsi"/>
          <w:sz w:val="24"/>
          <w:szCs w:val="24"/>
          <w:lang w:eastAsia="en-GB"/>
        </w:rPr>
        <w:t xml:space="preserve"> preventing the business from acting, and this is supported by evidence, then the impact can be considered </w:t>
      </w:r>
      <w:r w:rsidR="006902DA">
        <w:rPr>
          <w:rFonts w:eastAsia="Times New Roman" w:cstheme="minorHAnsi"/>
          <w:sz w:val="24"/>
          <w:szCs w:val="24"/>
          <w:lang w:eastAsia="en-GB"/>
        </w:rPr>
        <w:t xml:space="preserve">to be </w:t>
      </w:r>
      <w:r w:rsidRPr="00FC09EC">
        <w:rPr>
          <w:rFonts w:eastAsia="Times New Roman" w:cstheme="minorHAnsi"/>
          <w:sz w:val="24"/>
          <w:szCs w:val="24"/>
          <w:lang w:eastAsia="en-GB"/>
        </w:rPr>
        <w:t>direct. When both the removal of the regulation and other factors are required, for example innovation to take advantage of a new freedom, then impacts are</w:t>
      </w:r>
      <w:r w:rsidR="006902DA">
        <w:rPr>
          <w:rFonts w:eastAsia="Times New Roman" w:cstheme="minorHAnsi"/>
          <w:sz w:val="24"/>
          <w:szCs w:val="24"/>
          <w:lang w:eastAsia="en-GB"/>
        </w:rPr>
        <w:t xml:space="preserve"> considered to be </w:t>
      </w:r>
      <w:r w:rsidRPr="00FC09EC">
        <w:rPr>
          <w:rFonts w:eastAsia="Times New Roman" w:cstheme="minorHAnsi"/>
          <w:sz w:val="24"/>
          <w:szCs w:val="24"/>
          <w:lang w:eastAsia="en-GB"/>
        </w:rPr>
        <w:t xml:space="preserve">indirect. </w:t>
      </w:r>
    </w:p>
    <w:p w:rsidR="009F0294" w:rsidRPr="00FC09EC" w:rsidRDefault="009F0294" w:rsidP="009F0294">
      <w:pPr>
        <w:spacing w:after="0"/>
        <w:rPr>
          <w:rFonts w:eastAsia="Times New Roman" w:cstheme="minorHAnsi"/>
          <w:b/>
          <w:sz w:val="24"/>
          <w:szCs w:val="24"/>
          <w:lang w:eastAsia="en-GB"/>
        </w:rPr>
      </w:pPr>
    </w:p>
    <w:p w:rsidR="009F0294" w:rsidRPr="00FC09EC"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Legislative Reform (Industrial and Provident Societies and Credit Unions) Order 2011 (RPC11-HMT-0869): </w:t>
      </w:r>
      <w:r>
        <w:rPr>
          <w:rFonts w:eastAsia="Times New Roman" w:cstheme="minorHAnsi"/>
          <w:sz w:val="24"/>
          <w:szCs w:val="24"/>
          <w:lang w:eastAsia="en-GB"/>
        </w:rPr>
        <w:t>T</w:t>
      </w:r>
      <w:r w:rsidRPr="00FC09EC">
        <w:rPr>
          <w:rFonts w:eastAsia="Times New Roman" w:cstheme="minorHAnsi"/>
          <w:sz w:val="24"/>
          <w:szCs w:val="24"/>
          <w:lang w:eastAsia="en-GB"/>
        </w:rPr>
        <w:t>his policy allowed credit unions to increase membership and offer more services. It was clear from the evidence provided that the affected businesses wished to grow and were prevented from doing so only by the regulations. The costs and benefits to firms of expanding were</w:t>
      </w:r>
      <w:r w:rsidR="006902DA">
        <w:rPr>
          <w:rFonts w:eastAsia="Times New Roman" w:cstheme="minorHAnsi"/>
          <w:sz w:val="24"/>
          <w:szCs w:val="24"/>
          <w:lang w:eastAsia="en-GB"/>
        </w:rPr>
        <w:t>,</w:t>
      </w:r>
      <w:r w:rsidRPr="00FC09EC">
        <w:rPr>
          <w:rFonts w:eastAsia="Times New Roman" w:cstheme="minorHAnsi"/>
          <w:sz w:val="24"/>
          <w:szCs w:val="24"/>
          <w:lang w:eastAsia="en-GB"/>
        </w:rPr>
        <w:t xml:space="preserve"> therefore</w:t>
      </w:r>
      <w:r w:rsidR="006902DA">
        <w:rPr>
          <w:rFonts w:eastAsia="Times New Roman" w:cstheme="minorHAnsi"/>
          <w:sz w:val="24"/>
          <w:szCs w:val="24"/>
          <w:lang w:eastAsia="en-GB"/>
        </w:rPr>
        <w:t>,</w:t>
      </w:r>
      <w:r w:rsidRPr="00FC09EC">
        <w:rPr>
          <w:rFonts w:eastAsia="Times New Roman" w:cstheme="minorHAnsi"/>
          <w:sz w:val="24"/>
          <w:szCs w:val="24"/>
          <w:lang w:eastAsia="en-GB"/>
        </w:rPr>
        <w:t xml:space="preserve"> considered direct and in scope of OIOO. (</w:t>
      </w:r>
      <w:hyperlink r:id="rId13"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xml:space="preserve">) </w:t>
      </w:r>
    </w:p>
    <w:p w:rsidR="009F0294" w:rsidRPr="00FC09EC"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F0294" w:rsidRPr="00FC09EC"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Orphan works (RPC11-BIS-1063): </w:t>
      </w:r>
      <w:r>
        <w:rPr>
          <w:rFonts w:eastAsia="Times New Roman" w:cstheme="minorHAnsi"/>
          <w:sz w:val="24"/>
          <w:szCs w:val="24"/>
          <w:lang w:eastAsia="en-GB"/>
        </w:rPr>
        <w:t>O</w:t>
      </w:r>
      <w:r w:rsidRPr="00FC09EC">
        <w:rPr>
          <w:rFonts w:eastAsia="Times New Roman" w:cstheme="minorHAnsi"/>
          <w:sz w:val="24"/>
          <w:szCs w:val="24"/>
          <w:lang w:eastAsia="en-GB"/>
        </w:rPr>
        <w:t>rphan works are copyrighted works whose author is unknown. This policy allowed the use of orphan works, subject to certain safeguards. One of the main expected benefits of this policy was from new businesses be</w:t>
      </w:r>
      <w:r w:rsidR="006902DA">
        <w:rPr>
          <w:rFonts w:eastAsia="Times New Roman" w:cstheme="minorHAnsi"/>
          <w:sz w:val="24"/>
          <w:szCs w:val="24"/>
          <w:lang w:eastAsia="en-GB"/>
        </w:rPr>
        <w:t>ing</w:t>
      </w:r>
      <w:r w:rsidRPr="00FC09EC">
        <w:rPr>
          <w:rFonts w:eastAsia="Times New Roman" w:cstheme="minorHAnsi"/>
          <w:sz w:val="24"/>
          <w:szCs w:val="24"/>
          <w:lang w:eastAsia="en-GB"/>
        </w:rPr>
        <w:t xml:space="preserve"> created to take advantage of newly-available material. As these benefits would arise only as a result of innovation from business, they were considered </w:t>
      </w:r>
      <w:r w:rsidR="006902DA">
        <w:rPr>
          <w:rFonts w:eastAsia="Times New Roman" w:cstheme="minorHAnsi"/>
          <w:sz w:val="24"/>
          <w:szCs w:val="24"/>
          <w:lang w:eastAsia="en-GB"/>
        </w:rPr>
        <w:t xml:space="preserve">to be </w:t>
      </w:r>
      <w:r w:rsidRPr="00FC09EC">
        <w:rPr>
          <w:rFonts w:eastAsia="Times New Roman" w:cstheme="minorHAnsi"/>
          <w:sz w:val="24"/>
          <w:szCs w:val="24"/>
          <w:lang w:eastAsia="en-GB"/>
        </w:rPr>
        <w:t xml:space="preserve">indirect. </w:t>
      </w:r>
      <w:r w:rsidR="006902DA">
        <w:rPr>
          <w:rFonts w:eastAsia="Times New Roman" w:cstheme="minorHAnsi"/>
          <w:sz w:val="24"/>
          <w:szCs w:val="24"/>
          <w:lang w:eastAsia="en-GB"/>
        </w:rPr>
        <w:t>(</w:t>
      </w:r>
      <w:r w:rsidR="00176895">
        <w:rPr>
          <w:rFonts w:eastAsia="Times New Roman" w:cstheme="minorHAnsi"/>
          <w:sz w:val="24"/>
          <w:szCs w:val="24"/>
          <w:lang w:eastAsia="en-GB"/>
        </w:rPr>
        <w:t>Note that t</w:t>
      </w:r>
      <w:r w:rsidRPr="00FC09EC">
        <w:rPr>
          <w:rFonts w:eastAsia="Times New Roman" w:cstheme="minorHAnsi"/>
          <w:sz w:val="24"/>
          <w:szCs w:val="24"/>
          <w:lang w:eastAsia="en-GB"/>
        </w:rPr>
        <w:t xml:space="preserve">here were other direct benefits to existing users of orphan works </w:t>
      </w:r>
      <w:r w:rsidR="006902DA">
        <w:rPr>
          <w:rFonts w:eastAsia="Times New Roman" w:cstheme="minorHAnsi"/>
          <w:sz w:val="24"/>
          <w:szCs w:val="24"/>
          <w:lang w:eastAsia="en-GB"/>
        </w:rPr>
        <w:t xml:space="preserve">and, </w:t>
      </w:r>
      <w:r w:rsidRPr="00FC09EC">
        <w:rPr>
          <w:rFonts w:eastAsia="Times New Roman" w:cstheme="minorHAnsi"/>
          <w:sz w:val="24"/>
          <w:szCs w:val="24"/>
          <w:lang w:eastAsia="en-GB"/>
        </w:rPr>
        <w:t>therefore</w:t>
      </w:r>
      <w:r w:rsidR="006902DA">
        <w:rPr>
          <w:rFonts w:eastAsia="Times New Roman" w:cstheme="minorHAnsi"/>
          <w:sz w:val="24"/>
          <w:szCs w:val="24"/>
          <w:lang w:eastAsia="en-GB"/>
        </w:rPr>
        <w:t>,</w:t>
      </w:r>
      <w:r w:rsidRPr="00FC09EC">
        <w:rPr>
          <w:rFonts w:eastAsia="Times New Roman" w:cstheme="minorHAnsi"/>
          <w:sz w:val="24"/>
          <w:szCs w:val="24"/>
          <w:lang w:eastAsia="en-GB"/>
        </w:rPr>
        <w:t xml:space="preserve"> the policy </w:t>
      </w:r>
      <w:r w:rsidR="00176895">
        <w:rPr>
          <w:rFonts w:eastAsia="Times New Roman" w:cstheme="minorHAnsi"/>
          <w:sz w:val="24"/>
          <w:szCs w:val="24"/>
          <w:lang w:eastAsia="en-GB"/>
        </w:rPr>
        <w:t xml:space="preserve">overall </w:t>
      </w:r>
      <w:r w:rsidRPr="00FC09EC">
        <w:rPr>
          <w:rFonts w:eastAsia="Times New Roman" w:cstheme="minorHAnsi"/>
          <w:sz w:val="24"/>
          <w:szCs w:val="24"/>
          <w:lang w:eastAsia="en-GB"/>
        </w:rPr>
        <w:t xml:space="preserve">was </w:t>
      </w:r>
      <w:r w:rsidR="00176895">
        <w:rPr>
          <w:rFonts w:eastAsia="Times New Roman" w:cstheme="minorHAnsi"/>
          <w:sz w:val="24"/>
          <w:szCs w:val="24"/>
          <w:lang w:eastAsia="en-GB"/>
        </w:rPr>
        <w:t xml:space="preserve">still </w:t>
      </w:r>
      <w:r w:rsidRPr="00FC09EC">
        <w:rPr>
          <w:rFonts w:eastAsia="Times New Roman" w:cstheme="minorHAnsi"/>
          <w:sz w:val="24"/>
          <w:szCs w:val="24"/>
          <w:lang w:eastAsia="en-GB"/>
        </w:rPr>
        <w:t>an OUT.</w:t>
      </w:r>
      <w:r w:rsidR="006902DA">
        <w:rPr>
          <w:rFonts w:eastAsia="Times New Roman" w:cstheme="minorHAnsi"/>
          <w:sz w:val="24"/>
          <w:szCs w:val="24"/>
          <w:lang w:eastAsia="en-GB"/>
        </w:rPr>
        <w:t>)</w:t>
      </w:r>
      <w:r w:rsidRPr="00FC09EC">
        <w:rPr>
          <w:rFonts w:eastAsia="Times New Roman" w:cstheme="minorHAnsi"/>
          <w:sz w:val="24"/>
          <w:szCs w:val="24"/>
          <w:lang w:eastAsia="en-GB"/>
        </w:rPr>
        <w:t xml:space="preserve"> (</w:t>
      </w:r>
      <w:hyperlink r:id="rId14"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15"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p w:rsidR="009F0294" w:rsidRPr="00FC09EC"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F0294" w:rsidRPr="00FC09EC"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Extending the primary authority scheme (RPC11-BIS-0899): </w:t>
      </w:r>
      <w:r>
        <w:rPr>
          <w:rFonts w:eastAsia="Times New Roman" w:cstheme="minorHAnsi"/>
          <w:sz w:val="24"/>
          <w:szCs w:val="24"/>
          <w:lang w:eastAsia="en-GB"/>
        </w:rPr>
        <w:t>T</w:t>
      </w:r>
      <w:r w:rsidRPr="00FC09EC">
        <w:rPr>
          <w:rFonts w:eastAsia="Times New Roman" w:cstheme="minorHAnsi"/>
          <w:sz w:val="24"/>
          <w:szCs w:val="24"/>
          <w:lang w:eastAsia="en-GB"/>
        </w:rPr>
        <w:t xml:space="preserve">he primary authority scheme allows a business operating in multiple local authority areas to nominate a primary authority </w:t>
      </w:r>
      <w:r w:rsidRPr="00FC09EC">
        <w:rPr>
          <w:rFonts w:eastAsia="Times New Roman" w:cstheme="minorHAnsi"/>
          <w:sz w:val="24"/>
          <w:szCs w:val="24"/>
          <w:lang w:eastAsia="en-GB"/>
        </w:rPr>
        <w:lastRenderedPageBreak/>
        <w:t>to co-ordinate all local authority enforcement activity relating to that business. The policy extended the scheme. As the scheme resulted in a reduction in the level of regulatory activity a business was required to undertake, the impacts were ruled to be direct. There have been a number of other policies to extend the primary authority scheme, all of which have been treated in the same manner. (See also deregulation). (</w:t>
      </w:r>
      <w:hyperlink r:id="rId16"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17"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p w:rsidR="009F0294" w:rsidRPr="00FC09EC" w:rsidRDefault="009F0294" w:rsidP="009F029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F0294" w:rsidRPr="00FC09EC" w:rsidRDefault="009F0294" w:rsidP="00E705D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Gambling Act 2005: triennial review of stakes and prize limits (RPC13-DCMS-1459): </w:t>
      </w:r>
      <w:r>
        <w:rPr>
          <w:rFonts w:eastAsia="Times New Roman" w:cstheme="minorHAnsi"/>
          <w:sz w:val="24"/>
          <w:szCs w:val="24"/>
          <w:lang w:eastAsia="en-GB"/>
        </w:rPr>
        <w:t>T</w:t>
      </w:r>
      <w:r w:rsidRPr="00FC09EC">
        <w:rPr>
          <w:rFonts w:eastAsia="Times New Roman" w:cstheme="minorHAnsi"/>
          <w:sz w:val="24"/>
          <w:szCs w:val="24"/>
          <w:lang w:eastAsia="en-GB"/>
        </w:rPr>
        <w:t>here is a limit on the maximum value of stakes and prizes used in gaming machines. The policy increased this limit, allowing businesses to make greater profits from higher value machines. As it would be reasonably straightforward for businesses to move to higher-value machines it was accepted that the regulation was the only thing that prevented businesses from gaining these benefits. The benefits were therefore considered to be direct. (</w:t>
      </w:r>
      <w:hyperlink r:id="rId18"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19"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sectPr w:rsidR="009F0294" w:rsidRPr="00FC09EC" w:rsidSect="000438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B7" w:rsidRDefault="001627B7" w:rsidP="009F0294">
      <w:pPr>
        <w:spacing w:after="0" w:line="240" w:lineRule="auto"/>
      </w:pPr>
      <w:r>
        <w:separator/>
      </w:r>
    </w:p>
  </w:endnote>
  <w:endnote w:type="continuationSeparator" w:id="0">
    <w:p w:rsidR="001627B7" w:rsidRDefault="001627B7" w:rsidP="009F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B7" w:rsidRDefault="001627B7" w:rsidP="009F0294">
      <w:pPr>
        <w:spacing w:after="0" w:line="240" w:lineRule="auto"/>
      </w:pPr>
      <w:r>
        <w:separator/>
      </w:r>
    </w:p>
  </w:footnote>
  <w:footnote w:type="continuationSeparator" w:id="0">
    <w:p w:rsidR="001627B7" w:rsidRDefault="001627B7" w:rsidP="009F0294">
      <w:pPr>
        <w:spacing w:after="0" w:line="240" w:lineRule="auto"/>
      </w:pPr>
      <w:r>
        <w:continuationSeparator/>
      </w:r>
    </w:p>
  </w:footnote>
  <w:footnote w:id="1">
    <w:p w:rsidR="009F0294" w:rsidRPr="00A97AFE" w:rsidRDefault="009F0294" w:rsidP="009F0294">
      <w:pPr>
        <w:pStyle w:val="FootnoteText"/>
        <w:rPr>
          <w:sz w:val="18"/>
          <w:szCs w:val="18"/>
        </w:rPr>
      </w:pPr>
      <w:r w:rsidRPr="00A97AFE">
        <w:rPr>
          <w:rStyle w:val="FootnoteReference"/>
          <w:color w:val="C00000"/>
          <w:sz w:val="18"/>
          <w:szCs w:val="18"/>
        </w:rPr>
        <w:footnoteRef/>
      </w:r>
      <w:r w:rsidRPr="00A97AFE">
        <w:rPr>
          <w:color w:val="C00000"/>
          <w:sz w:val="18"/>
          <w:szCs w:val="18"/>
        </w:rPr>
        <w:t xml:space="preserve"> </w:t>
      </w:r>
      <w:r>
        <w:rPr>
          <w:color w:val="C00000"/>
          <w:sz w:val="18"/>
          <w:szCs w:val="18"/>
        </w:rPr>
        <w:t>[</w:t>
      </w:r>
      <w:r w:rsidRPr="00A97AFE">
        <w:rPr>
          <w:color w:val="C00000"/>
          <w:sz w:val="18"/>
          <w:szCs w:val="18"/>
        </w:rPr>
        <w:t>Cite the BRFM here</w:t>
      </w:r>
      <w:r>
        <w:rPr>
          <w:color w:val="C00000"/>
          <w:sz w:val="18"/>
          <w:szCs w:val="18"/>
        </w:rPr>
        <w:t>]</w:t>
      </w:r>
    </w:p>
  </w:footnote>
  <w:footnote w:id="2">
    <w:p w:rsidR="009F0294" w:rsidRPr="00A97AFE" w:rsidRDefault="009F0294" w:rsidP="009F0294">
      <w:pPr>
        <w:pStyle w:val="FootnoteText"/>
        <w:rPr>
          <w:sz w:val="18"/>
          <w:szCs w:val="18"/>
        </w:rPr>
      </w:pPr>
      <w:r w:rsidRPr="00A97AFE">
        <w:rPr>
          <w:rStyle w:val="FootnoteReference"/>
          <w:sz w:val="18"/>
          <w:szCs w:val="18"/>
        </w:rPr>
        <w:footnoteRef/>
      </w:r>
      <w:r w:rsidRPr="00A97AFE">
        <w:rPr>
          <w:sz w:val="18"/>
          <w:szCs w:val="18"/>
        </w:rPr>
        <w:t xml:space="preserve"> This effectively shifts part of the supply curve</w:t>
      </w:r>
      <w:r w:rsidR="00D6467B">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0393E"/>
    <w:multiLevelType w:val="hybridMultilevel"/>
    <w:tmpl w:val="8FFA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41B8B"/>
    <w:multiLevelType w:val="hybridMultilevel"/>
    <w:tmpl w:val="B52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3B47C1"/>
    <w:multiLevelType w:val="hybridMultilevel"/>
    <w:tmpl w:val="F328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94"/>
    <w:rsid w:val="00043893"/>
    <w:rsid w:val="000716E7"/>
    <w:rsid w:val="00074BFE"/>
    <w:rsid w:val="000F6EAF"/>
    <w:rsid w:val="00110BB7"/>
    <w:rsid w:val="0012524A"/>
    <w:rsid w:val="001627B7"/>
    <w:rsid w:val="00176895"/>
    <w:rsid w:val="00207442"/>
    <w:rsid w:val="002B6139"/>
    <w:rsid w:val="002C0650"/>
    <w:rsid w:val="002E0B38"/>
    <w:rsid w:val="002F4205"/>
    <w:rsid w:val="00320023"/>
    <w:rsid w:val="0032434B"/>
    <w:rsid w:val="00387562"/>
    <w:rsid w:val="00445835"/>
    <w:rsid w:val="004F5A0C"/>
    <w:rsid w:val="0050583E"/>
    <w:rsid w:val="00554591"/>
    <w:rsid w:val="005B53CD"/>
    <w:rsid w:val="005F4A63"/>
    <w:rsid w:val="00616405"/>
    <w:rsid w:val="00647387"/>
    <w:rsid w:val="00686528"/>
    <w:rsid w:val="006902DA"/>
    <w:rsid w:val="0071391D"/>
    <w:rsid w:val="0087055B"/>
    <w:rsid w:val="008A2EED"/>
    <w:rsid w:val="00930913"/>
    <w:rsid w:val="00967FAE"/>
    <w:rsid w:val="009F0294"/>
    <w:rsid w:val="00B6532F"/>
    <w:rsid w:val="00BA7727"/>
    <w:rsid w:val="00BF302B"/>
    <w:rsid w:val="00CC134F"/>
    <w:rsid w:val="00D60E16"/>
    <w:rsid w:val="00D6467B"/>
    <w:rsid w:val="00DD457A"/>
    <w:rsid w:val="00E705D1"/>
    <w:rsid w:val="00F51A97"/>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94"/>
    <w:pPr>
      <w:ind w:left="720"/>
      <w:contextualSpacing/>
    </w:p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9F0294"/>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9F0294"/>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9F0294"/>
    <w:rPr>
      <w:vertAlign w:val="superscript"/>
    </w:rPr>
  </w:style>
  <w:style w:type="character" w:styleId="CommentReference">
    <w:name w:val="annotation reference"/>
    <w:basedOn w:val="DefaultParagraphFont"/>
    <w:uiPriority w:val="99"/>
    <w:semiHidden/>
    <w:unhideWhenUsed/>
    <w:rsid w:val="009F0294"/>
    <w:rPr>
      <w:sz w:val="16"/>
      <w:szCs w:val="16"/>
    </w:rPr>
  </w:style>
  <w:style w:type="paragraph" w:styleId="CommentText">
    <w:name w:val="annotation text"/>
    <w:basedOn w:val="Normal"/>
    <w:link w:val="CommentTextChar"/>
    <w:uiPriority w:val="99"/>
    <w:unhideWhenUsed/>
    <w:rsid w:val="009F0294"/>
    <w:pPr>
      <w:spacing w:line="240" w:lineRule="auto"/>
    </w:pPr>
    <w:rPr>
      <w:sz w:val="20"/>
      <w:szCs w:val="20"/>
    </w:rPr>
  </w:style>
  <w:style w:type="character" w:customStyle="1" w:styleId="CommentTextChar">
    <w:name w:val="Comment Text Char"/>
    <w:basedOn w:val="DefaultParagraphFont"/>
    <w:link w:val="CommentText"/>
    <w:uiPriority w:val="99"/>
    <w:rsid w:val="009F0294"/>
    <w:rPr>
      <w:sz w:val="20"/>
      <w:szCs w:val="20"/>
    </w:rPr>
  </w:style>
  <w:style w:type="paragraph" w:styleId="BalloonText">
    <w:name w:val="Balloon Text"/>
    <w:basedOn w:val="Normal"/>
    <w:link w:val="BalloonTextChar"/>
    <w:uiPriority w:val="99"/>
    <w:semiHidden/>
    <w:unhideWhenUsed/>
    <w:rsid w:val="009F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0E16"/>
    <w:rPr>
      <w:b/>
      <w:bCs/>
    </w:rPr>
  </w:style>
  <w:style w:type="character" w:customStyle="1" w:styleId="CommentSubjectChar">
    <w:name w:val="Comment Subject Char"/>
    <w:basedOn w:val="CommentTextChar"/>
    <w:link w:val="CommentSubject"/>
    <w:uiPriority w:val="99"/>
    <w:semiHidden/>
    <w:rsid w:val="00D60E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94"/>
    <w:pPr>
      <w:ind w:left="720"/>
      <w:contextualSpacing/>
    </w:p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9F0294"/>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9F0294"/>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9F0294"/>
    <w:rPr>
      <w:vertAlign w:val="superscript"/>
    </w:rPr>
  </w:style>
  <w:style w:type="character" w:styleId="CommentReference">
    <w:name w:val="annotation reference"/>
    <w:basedOn w:val="DefaultParagraphFont"/>
    <w:uiPriority w:val="99"/>
    <w:semiHidden/>
    <w:unhideWhenUsed/>
    <w:rsid w:val="009F0294"/>
    <w:rPr>
      <w:sz w:val="16"/>
      <w:szCs w:val="16"/>
    </w:rPr>
  </w:style>
  <w:style w:type="paragraph" w:styleId="CommentText">
    <w:name w:val="annotation text"/>
    <w:basedOn w:val="Normal"/>
    <w:link w:val="CommentTextChar"/>
    <w:uiPriority w:val="99"/>
    <w:unhideWhenUsed/>
    <w:rsid w:val="009F0294"/>
    <w:pPr>
      <w:spacing w:line="240" w:lineRule="auto"/>
    </w:pPr>
    <w:rPr>
      <w:sz w:val="20"/>
      <w:szCs w:val="20"/>
    </w:rPr>
  </w:style>
  <w:style w:type="character" w:customStyle="1" w:styleId="CommentTextChar">
    <w:name w:val="Comment Text Char"/>
    <w:basedOn w:val="DefaultParagraphFont"/>
    <w:link w:val="CommentText"/>
    <w:uiPriority w:val="99"/>
    <w:rsid w:val="009F0294"/>
    <w:rPr>
      <w:sz w:val="20"/>
      <w:szCs w:val="20"/>
    </w:rPr>
  </w:style>
  <w:style w:type="paragraph" w:styleId="BalloonText">
    <w:name w:val="Balloon Text"/>
    <w:basedOn w:val="Normal"/>
    <w:link w:val="BalloonTextChar"/>
    <w:uiPriority w:val="99"/>
    <w:semiHidden/>
    <w:unhideWhenUsed/>
    <w:rsid w:val="009F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0E16"/>
    <w:rPr>
      <w:b/>
      <w:bCs/>
    </w:rPr>
  </w:style>
  <w:style w:type="character" w:customStyle="1" w:styleId="CommentSubjectChar">
    <w:name w:val="Comment Subject Char"/>
    <w:basedOn w:val="CommentTextChar"/>
    <w:link w:val="CommentSubject"/>
    <w:uiPriority w:val="99"/>
    <w:semiHidden/>
    <w:rsid w:val="00D60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1/2687/impacts" TargetMode="External"/><Relationship Id="rId18" Type="http://schemas.openxmlformats.org/officeDocument/2006/relationships/hyperlink" Target="https://www.gov.uk/government/uploads/system/uploads/attachment_data/file/249274/Triennial_Review_of_Gaming_Machine_Stake_and_Prize_Limits_Impact_Assessmen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251177/2013-01-29-RPC12-HSE-12862-Revocation-of-the-Construction-Head-Protection-Regulations-1989.pdf" TargetMode="External"/><Relationship Id="rId17" Type="http://schemas.openxmlformats.org/officeDocument/2006/relationships/hyperlink" Target="https://www.gov.uk/government/publications/impact-assessment-opinion-the-extension-of-the-primary-authority-scheme-to-cover-the-age-restricted-sale-of-alcohol-and-fire-safety-regulations"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1985/12-864-impact-assessment-extending-primary-authority-sche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tions.hse.gov.uk/consult.ti/cd239/viewCompoundDoc?docid=62900&amp;partId=63252&amp;sessionid=&amp;voteid"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373053/RPC11-BIS-1063_5___Orphan_works__IPO__-_IA_f__adj_-_opinion.pdf" TargetMode="External"/><Relationship Id="rId10" Type="http://schemas.openxmlformats.org/officeDocument/2006/relationships/hyperlink" Target="https://www.gov.uk/government/consultations/land-registry-wider-powers-and-local-land-charges" TargetMode="External"/><Relationship Id="rId19" Type="http://schemas.openxmlformats.org/officeDocument/2006/relationships/hyperlink" Target="https://www.gov.uk/government/publications/impact-assessment-opinion-gambling-act-2005-triennial-review-of-stake-and-prize-limits" TargetMode="External"/><Relationship Id="rId4" Type="http://schemas.microsoft.com/office/2007/relationships/stylesWithEffects" Target="stylesWithEffects.xml"/><Relationship Id="rId9" Type="http://schemas.openxmlformats.org/officeDocument/2006/relationships/hyperlink" Target="http://www.legislation.gov.uk/ukdsi/2015/9780111127735/impacts/2015/74" TargetMode="External"/><Relationship Id="rId14" Type="http://schemas.openxmlformats.org/officeDocument/2006/relationships/hyperlink" Target="http://www.ipo.gov.uk/consult-ia-bis1063-201207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7474-49DB-4487-A6BF-9266A60B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 Philip (RPC)</dc:creator>
  <cp:lastModifiedBy>Lenoach Ciara (Regulatory Policy Committee (RPC))</cp:lastModifiedBy>
  <cp:revision>2</cp:revision>
  <dcterms:created xsi:type="dcterms:W3CDTF">2016-04-21T12:24:00Z</dcterms:created>
  <dcterms:modified xsi:type="dcterms:W3CDTF">2016-04-21T12:24:00Z</dcterms:modified>
</cp:coreProperties>
</file>