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A82" w:rsidRDefault="00D8174D">
      <w:r>
        <w:rPr>
          <w:noProof/>
          <w:lang w:eastAsia="en-GB"/>
        </w:rPr>
        <w:drawing>
          <wp:anchor distT="0" distB="0" distL="114300" distR="114300" simplePos="0" relativeHeight="251658240" behindDoc="0" locked="0" layoutInCell="1" allowOverlap="1" wp14:anchorId="7CBF3E95" wp14:editId="4FD0DFE0">
            <wp:simplePos x="0" y="0"/>
            <wp:positionH relativeFrom="column">
              <wp:posOffset>76200</wp:posOffset>
            </wp:positionH>
            <wp:positionV relativeFrom="paragraph">
              <wp:posOffset>-762000</wp:posOffset>
            </wp:positionV>
            <wp:extent cx="1055370" cy="107327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5370" cy="10732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174D" w:rsidRDefault="00D8174D"/>
    <w:p w:rsidR="00D8174D" w:rsidRDefault="00D8174D"/>
    <w:p w:rsidR="00584A82" w:rsidRDefault="00584A82"/>
    <w:p w:rsidR="00584A82" w:rsidRDefault="00584A82"/>
    <w:p w:rsidR="00584A82" w:rsidRDefault="00584A82"/>
    <w:p w:rsidR="00584A82" w:rsidRDefault="00584A82"/>
    <w:p w:rsidR="00584A82" w:rsidRDefault="00584A82"/>
    <w:p w:rsidR="00584A82" w:rsidRDefault="00584A82"/>
    <w:p w:rsidR="00584A82" w:rsidRDefault="00D8174D">
      <w:r>
        <w:rPr>
          <w:b/>
          <w:noProof/>
          <w:sz w:val="40"/>
          <w:szCs w:val="40"/>
          <w:lang w:eastAsia="en-GB"/>
        </w:rPr>
        <w:drawing>
          <wp:anchor distT="0" distB="0" distL="114300" distR="114300" simplePos="0" relativeHeight="251673600" behindDoc="0" locked="0" layoutInCell="1" allowOverlap="1" wp14:anchorId="1B29770F" wp14:editId="20C93665">
            <wp:simplePos x="0" y="0"/>
            <wp:positionH relativeFrom="column">
              <wp:posOffset>-1169670</wp:posOffset>
            </wp:positionH>
            <wp:positionV relativeFrom="paragraph">
              <wp:posOffset>17780</wp:posOffset>
            </wp:positionV>
            <wp:extent cx="3705225" cy="967740"/>
            <wp:effectExtent l="0" t="0" r="9525" b="3810"/>
            <wp:wrapNone/>
            <wp:docPr id="8" name="Picture 8" descr="M:\ES RPC\Private\ALFRESCO - COMMUNICATIONS\Website images\R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 RPC\Private\ALFRESCO - COMMUNICATIONS\Website images\RPC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5225" cy="967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4A82" w:rsidRDefault="00584A82"/>
    <w:p w:rsidR="00584A82" w:rsidRDefault="00584A82"/>
    <w:p w:rsidR="00584A82" w:rsidRDefault="00584A82"/>
    <w:p w:rsidR="00584A82" w:rsidRDefault="00584A82"/>
    <w:p w:rsidR="00584A82" w:rsidRDefault="00584A82"/>
    <w:p w:rsidR="00584A82" w:rsidRDefault="00584A82"/>
    <w:p w:rsidR="00584A82" w:rsidRDefault="00767898">
      <w:r>
        <w:rPr>
          <w:noProof/>
          <w:lang w:eastAsia="en-GB"/>
        </w:rPr>
        <mc:AlternateContent>
          <mc:Choice Requires="wps">
            <w:drawing>
              <wp:anchor distT="0" distB="0" distL="114300" distR="114300" simplePos="0" relativeHeight="251662336" behindDoc="0" locked="0" layoutInCell="1" allowOverlap="1" wp14:anchorId="62388027" wp14:editId="2C99529A">
                <wp:simplePos x="0" y="0"/>
                <wp:positionH relativeFrom="column">
                  <wp:posOffset>811530</wp:posOffset>
                </wp:positionH>
                <wp:positionV relativeFrom="paragraph">
                  <wp:posOffset>117475</wp:posOffset>
                </wp:positionV>
                <wp:extent cx="3200400" cy="24809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480945"/>
                        </a:xfrm>
                        <a:prstGeom prst="rect">
                          <a:avLst/>
                        </a:prstGeom>
                        <a:noFill/>
                        <a:ln w="9525">
                          <a:noFill/>
                          <a:miter lim="800000"/>
                          <a:headEnd/>
                          <a:tailEnd/>
                        </a:ln>
                      </wps:spPr>
                      <wps:txbx>
                        <w:txbxContent>
                          <w:p w:rsidR="00C90A59" w:rsidRPr="00D8174D" w:rsidRDefault="00C90A59">
                            <w:pPr>
                              <w:rPr>
                                <w:rFonts w:cstheme="minorHAnsi"/>
                                <w:b/>
                                <w:color w:val="000000" w:themeColor="text1"/>
                                <w:sz w:val="48"/>
                                <w:szCs w:val="48"/>
                              </w:rPr>
                            </w:pPr>
                            <w:r>
                              <w:rPr>
                                <w:rFonts w:cstheme="minorHAnsi"/>
                                <w:b/>
                                <w:color w:val="000000" w:themeColor="text1"/>
                                <w:sz w:val="48"/>
                                <w:szCs w:val="48"/>
                              </w:rPr>
                              <w:t>Impact Assessment</w:t>
                            </w:r>
                            <w:r w:rsidRPr="00D8174D">
                              <w:rPr>
                                <w:rFonts w:cstheme="minorHAnsi"/>
                                <w:b/>
                                <w:color w:val="000000" w:themeColor="text1"/>
                                <w:sz w:val="48"/>
                                <w:szCs w:val="48"/>
                              </w:rPr>
                              <w:t xml:space="preserve"> Case Histories - </w:t>
                            </w:r>
                          </w:p>
                          <w:p w:rsidR="00C90A59" w:rsidRPr="00767898" w:rsidRDefault="00C90A59">
                            <w:pPr>
                              <w:rPr>
                                <w:rFonts w:cstheme="minorHAnsi"/>
                                <w:b/>
                                <w:color w:val="000000" w:themeColor="text1"/>
                                <w:sz w:val="32"/>
                                <w:szCs w:val="32"/>
                              </w:rPr>
                            </w:pPr>
                            <w:r w:rsidRPr="00767898">
                              <w:rPr>
                                <w:rFonts w:cstheme="minorHAnsi"/>
                                <w:b/>
                                <w:color w:val="000000" w:themeColor="text1"/>
                                <w:sz w:val="32"/>
                                <w:szCs w:val="32"/>
                              </w:rPr>
                              <w:t>A p</w:t>
                            </w:r>
                            <w:r>
                              <w:rPr>
                                <w:rFonts w:cstheme="minorHAnsi"/>
                                <w:b/>
                                <w:color w:val="000000" w:themeColor="text1"/>
                                <w:sz w:val="32"/>
                                <w:szCs w:val="32"/>
                              </w:rPr>
                              <w:t>ractical guide on</w:t>
                            </w:r>
                            <w:r w:rsidRPr="00767898">
                              <w:rPr>
                                <w:rFonts w:cstheme="minorHAnsi"/>
                                <w:b/>
                                <w:color w:val="000000" w:themeColor="text1"/>
                                <w:sz w:val="32"/>
                                <w:szCs w:val="32"/>
                              </w:rPr>
                              <w:t xml:space="preserve"> how to interpret better regulation framework principles and rules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9pt;margin-top:9.25pt;width:252pt;height:19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xGyDAIAAPUDAAAOAAAAZHJzL2Uyb0RvYy54bWysU9tuGyEQfa/Uf0C817verBt7ZRylSVNV&#10;Si9S0g/ALOtFBYYC9m769RlYx7Hat6o8IGBmzsw5M6yvRqPJQfqgwDI6n5WUSCugVXbH6I/Hu3dL&#10;SkLktuUarGT0SQZ6tXn7Zj24RlbQg26lJwhiQzM4RvsYXVMUQfTS8DADJy0aO/CGR7z6XdF6PiC6&#10;0UVVlu+LAXzrPAgZAr7eTka6yfhdJ0X81nVBRqIZxdpi3n3et2kvNmve7Dx3vRLHMvg/VGG4spj0&#10;BHXLIyd7r/6CMkp4CNDFmQBTQNcpITMHZDMv/2Dz0HMnMxcUJ7iTTOH/wYqvh++eqJbRi/KSEssN&#10;NulRjpF8gJFUSZ/BhQbdHhw6xhGfsc+Za3D3IH4GYuGm53Ynr72HoZe8xfrmKbI4C51wQgLZDl+g&#10;xTR8HyEDjZ03STyUgyA69unp1JtUisDHC+x2XaJJoK2ql+WqXuQcvHkJdz7ETxIMSQdGPTY/w/PD&#10;fYipHN68uKRsFu6U1nkAtCUDo6tFtcgBZxajIs6nVobRZZnWNDGJ5Ufb5uDIlZ7OmEDbI+3EdOIc&#10;x+2IjkmLLbRPKICHaQ7x3+ChB/+bkgFnkNHwa8+9pER/tijial7XaWjzpV5cVnjx55btuYVbgVCM&#10;Rkqm403Mgz5xvUaxO5VleK3kWCvOVlbn+A/S8J7fs9frb908AwAA//8DAFBLAwQUAAYACAAAACEA&#10;QWszlt4AAAAKAQAADwAAAGRycy9kb3ducmV2LnhtbEyPT0/DMAzF70h8h8hI3Fiyso2tNJ0QiCuI&#10;8Ufi5jVeW9E4VZOt5dtjTnDzs5+ef6/YTr5TJxpiG9jCfGZAEVfBtVxbeHt9vFqDignZYReYLHxT&#10;hG15flZg7sLIL3TapVpJCMccLTQp9bnWsWrIY5yFnlhuhzB4TCKHWrsBRwn3nc6MWWmPLcuHBnu6&#10;b6j62h29hfenw+fHwjzXD37Zj2Eymv1GW3t5Md3dgko0pT8z/OILOpTCtA9HdlF1orMbQU8yrJeg&#10;xLC6nstib2FhNhnostD/K5Q/AAAA//8DAFBLAQItABQABgAIAAAAIQC2gziS/gAAAOEBAAATAAAA&#10;AAAAAAAAAAAAAAAAAABbQ29udGVudF9UeXBlc10ueG1sUEsBAi0AFAAGAAgAAAAhADj9If/WAAAA&#10;lAEAAAsAAAAAAAAAAAAAAAAALwEAAF9yZWxzLy5yZWxzUEsBAi0AFAAGAAgAAAAhANDnEbIMAgAA&#10;9QMAAA4AAAAAAAAAAAAAAAAALgIAAGRycy9lMm9Eb2MueG1sUEsBAi0AFAAGAAgAAAAhAEFrM5be&#10;AAAACgEAAA8AAAAAAAAAAAAAAAAAZgQAAGRycy9kb3ducmV2LnhtbFBLBQYAAAAABAAEAPMAAABx&#10;BQAAAAA=&#10;" filled="f" stroked="f">
                <v:textbox>
                  <w:txbxContent>
                    <w:p w:rsidR="00C90A59" w:rsidRPr="00D8174D" w:rsidRDefault="00C90A59">
                      <w:pPr>
                        <w:rPr>
                          <w:rFonts w:cstheme="minorHAnsi"/>
                          <w:b/>
                          <w:color w:val="000000" w:themeColor="text1"/>
                          <w:sz w:val="48"/>
                          <w:szCs w:val="48"/>
                        </w:rPr>
                      </w:pPr>
                      <w:r>
                        <w:rPr>
                          <w:rFonts w:cstheme="minorHAnsi"/>
                          <w:b/>
                          <w:color w:val="000000" w:themeColor="text1"/>
                          <w:sz w:val="48"/>
                          <w:szCs w:val="48"/>
                        </w:rPr>
                        <w:t>Impact Assessment</w:t>
                      </w:r>
                      <w:r w:rsidRPr="00D8174D">
                        <w:rPr>
                          <w:rFonts w:cstheme="minorHAnsi"/>
                          <w:b/>
                          <w:color w:val="000000" w:themeColor="text1"/>
                          <w:sz w:val="48"/>
                          <w:szCs w:val="48"/>
                        </w:rPr>
                        <w:t xml:space="preserve"> Case Histories - </w:t>
                      </w:r>
                    </w:p>
                    <w:p w:rsidR="00C90A59" w:rsidRPr="00767898" w:rsidRDefault="00C90A59">
                      <w:pPr>
                        <w:rPr>
                          <w:rFonts w:cstheme="minorHAnsi"/>
                          <w:b/>
                          <w:color w:val="000000" w:themeColor="text1"/>
                          <w:sz w:val="32"/>
                          <w:szCs w:val="32"/>
                        </w:rPr>
                      </w:pPr>
                      <w:r w:rsidRPr="00767898">
                        <w:rPr>
                          <w:rFonts w:cstheme="minorHAnsi"/>
                          <w:b/>
                          <w:color w:val="000000" w:themeColor="text1"/>
                          <w:sz w:val="32"/>
                          <w:szCs w:val="32"/>
                        </w:rPr>
                        <w:t>A p</w:t>
                      </w:r>
                      <w:r>
                        <w:rPr>
                          <w:rFonts w:cstheme="minorHAnsi"/>
                          <w:b/>
                          <w:color w:val="000000" w:themeColor="text1"/>
                          <w:sz w:val="32"/>
                          <w:szCs w:val="32"/>
                        </w:rPr>
                        <w:t>ractical guide on</w:t>
                      </w:r>
                      <w:r w:rsidRPr="00767898">
                        <w:rPr>
                          <w:rFonts w:cstheme="minorHAnsi"/>
                          <w:b/>
                          <w:color w:val="000000" w:themeColor="text1"/>
                          <w:sz w:val="32"/>
                          <w:szCs w:val="32"/>
                        </w:rPr>
                        <w:t xml:space="preserve"> how to interpret better regulation framework principles and rules</w:t>
                      </w:r>
                    </w:p>
                  </w:txbxContent>
                </v:textbox>
              </v:shape>
            </w:pict>
          </mc:Fallback>
        </mc:AlternateContent>
      </w:r>
    </w:p>
    <w:p w:rsidR="00584A82" w:rsidRDefault="00584A82"/>
    <w:p w:rsidR="00584A82" w:rsidRDefault="00584A82"/>
    <w:p w:rsidR="00584A82" w:rsidRDefault="00584A82"/>
    <w:p w:rsidR="00584A82" w:rsidRDefault="00584A82"/>
    <w:p w:rsidR="00584A82" w:rsidRDefault="00584A82"/>
    <w:p w:rsidR="00584A82" w:rsidRDefault="00746CC1">
      <w:r>
        <w:rPr>
          <w:noProof/>
          <w:lang w:eastAsia="en-GB"/>
        </w:rPr>
        <mc:AlternateContent>
          <mc:Choice Requires="wps">
            <w:drawing>
              <wp:anchor distT="0" distB="0" distL="114300" distR="114300" simplePos="0" relativeHeight="251660288" behindDoc="0" locked="0" layoutInCell="1" allowOverlap="1" wp14:anchorId="5B90F1E5" wp14:editId="629CD6F9">
                <wp:simplePos x="0" y="0"/>
                <wp:positionH relativeFrom="column">
                  <wp:posOffset>1439545</wp:posOffset>
                </wp:positionH>
                <wp:positionV relativeFrom="paragraph">
                  <wp:posOffset>4831715</wp:posOffset>
                </wp:positionV>
                <wp:extent cx="4686300" cy="1028700"/>
                <wp:effectExtent l="4445"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0A59" w:rsidRDefault="00C90A59" w:rsidP="00E65A91">
                            <w:pPr>
                              <w:rPr>
                                <w:rFonts w:ascii="Sylfaen" w:hAnsi="Sylfaen"/>
                                <w:b/>
                                <w:sz w:val="48"/>
                                <w:szCs w:val="48"/>
                              </w:rPr>
                            </w:pPr>
                            <w:r>
                              <w:rPr>
                                <w:rFonts w:ascii="Sylfaen" w:hAnsi="Sylfaen"/>
                                <w:b/>
                                <w:sz w:val="48"/>
                                <w:szCs w:val="48"/>
                              </w:rPr>
                              <w:t>Internal guidance for working with the Committee</w:t>
                            </w:r>
                          </w:p>
                          <w:p w:rsidR="00C90A59" w:rsidRDefault="00C90A59" w:rsidP="00E65A91">
                            <w:pPr>
                              <w:rPr>
                                <w:rFonts w:ascii="Sylfaen" w:hAnsi="Sylfaen"/>
                                <w:b/>
                                <w:sz w:val="48"/>
                                <w:szCs w:val="48"/>
                              </w:rPr>
                            </w:pPr>
                          </w:p>
                          <w:p w:rsidR="00C90A59" w:rsidRDefault="00C90A59" w:rsidP="00E65A91">
                            <w:pPr>
                              <w:rPr>
                                <w:rFonts w:ascii="Sylfaen" w:hAnsi="Sylfaen"/>
                                <w:b/>
                                <w:sz w:val="48"/>
                                <w:szCs w:val="48"/>
                              </w:rPr>
                            </w:pPr>
                          </w:p>
                          <w:p w:rsidR="00C90A59" w:rsidRDefault="00C90A59" w:rsidP="00E65A91">
                            <w:pPr>
                              <w:rPr>
                                <w:rFonts w:ascii="Sylfaen" w:hAnsi="Sylfaen"/>
                                <w:b/>
                                <w:sz w:val="48"/>
                                <w:szCs w:val="48"/>
                              </w:rPr>
                            </w:pPr>
                          </w:p>
                          <w:p w:rsidR="00C90A59" w:rsidRPr="00FB622A" w:rsidRDefault="00C90A59" w:rsidP="00E65A91">
                            <w:pPr>
                              <w:rPr>
                                <w:rFonts w:ascii="Sylfaen" w:hAnsi="Sylfaen"/>
                                <w:b/>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13.35pt;margin-top:380.45pt;width:369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evgwIAABc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zlG&#10;inRA0QMfPLrWA5qH6vTGVeB0b8DND7ANLMdMnbnT9LNDSt+0RG35lbW6bzlhEF0WTiZnR0ccF0A2&#10;/TvN4Bqy8zoCDY3tQumgGAjQgaXHEzMhFAqbxWwxe5WCiYItS/PFHBbhDlIdjxvr/BuuOxQmNbZA&#10;fYQn+zvnR9ejS7jNaSnYWkgZF3a7uZEW7QnIZB2/A/ozN6mCs9Lh2Ig47kCUcEewhXgj7d/KLC/S&#10;67ycrGeL+aRYF9NJOU8XkzQrr8tZWpTF7fp7CDArqlYwxtWdUPwowaz4O4oPzTCKJ4oQ9TUup/l0&#10;5OiPSabx+12SnfDQkVJ0NV6cnEgVmH2tGKRNKk+EHOfJ8/AjIVCD4z9WJeogUD+KwA+bIQouiiRo&#10;ZKPZIwjDaqANKIbXBCattl8x6qEza+y+7IjlGMm3CsRVZkURWjkuiuk8h4U9t2zOLURRgKqxx2ic&#10;3vix/XfGim0LN41yVvoKBNmIKJWnqA4yhu6LOR1eitDe5+vo9fSerX4AAAD//wMAUEsDBBQABgAI&#10;AAAAIQDRKSZo3gAAAAsBAAAPAAAAZHJzL2Rvd25yZXYueG1sTI9NTsMwEEb3SNzBmkpsEHWwikNC&#10;nAqQQGxbeoBJMk2ixnYUu016e4YV7Obn6Zs3xXaxg7jQFHrvDDyuExDkat/0rjVw+P54eAYRIroG&#10;B+/IwJUCbMvbmwLzxs9uR5d9bAWHuJCjgS7GMZcy1B1ZDGs/kuPd0U8WI7dTK5sJZw63g1RJoqXF&#10;3vGFDkd676g+7c/WwPFrvn/K5uozHtLdRr9hn1b+aszdanl9ARFpiX8w/OqzOpTsVPmza4IYDCil&#10;U0YNpDrJQDCR6Q1PKi6UykCWhfz/Q/kDAAD//wMAUEsBAi0AFAAGAAgAAAAhALaDOJL+AAAA4QEA&#10;ABMAAAAAAAAAAAAAAAAAAAAAAFtDb250ZW50X1R5cGVzXS54bWxQSwECLQAUAAYACAAAACEAOP0h&#10;/9YAAACUAQAACwAAAAAAAAAAAAAAAAAvAQAAX3JlbHMvLnJlbHNQSwECLQAUAAYACAAAACEAGRjX&#10;r4MCAAAXBQAADgAAAAAAAAAAAAAAAAAuAgAAZHJzL2Uyb0RvYy54bWxQSwECLQAUAAYACAAAACEA&#10;0SkmaN4AAAALAQAADwAAAAAAAAAAAAAAAADdBAAAZHJzL2Rvd25yZXYueG1sUEsFBgAAAAAEAAQA&#10;8wAAAOgFAAAAAA==&#10;" stroked="f">
                <v:textbox>
                  <w:txbxContent>
                    <w:p w:rsidR="00C90A59" w:rsidRDefault="00C90A59" w:rsidP="00E65A91">
                      <w:pPr>
                        <w:rPr>
                          <w:rFonts w:ascii="Sylfaen" w:hAnsi="Sylfaen"/>
                          <w:b/>
                          <w:sz w:val="48"/>
                          <w:szCs w:val="48"/>
                        </w:rPr>
                      </w:pPr>
                      <w:r>
                        <w:rPr>
                          <w:rFonts w:ascii="Sylfaen" w:hAnsi="Sylfaen"/>
                          <w:b/>
                          <w:sz w:val="48"/>
                          <w:szCs w:val="48"/>
                        </w:rPr>
                        <w:t>Internal guidance for working with the Committee</w:t>
                      </w:r>
                    </w:p>
                    <w:p w:rsidR="00C90A59" w:rsidRDefault="00C90A59" w:rsidP="00E65A91">
                      <w:pPr>
                        <w:rPr>
                          <w:rFonts w:ascii="Sylfaen" w:hAnsi="Sylfaen"/>
                          <w:b/>
                          <w:sz w:val="48"/>
                          <w:szCs w:val="48"/>
                        </w:rPr>
                      </w:pPr>
                    </w:p>
                    <w:p w:rsidR="00C90A59" w:rsidRDefault="00C90A59" w:rsidP="00E65A91">
                      <w:pPr>
                        <w:rPr>
                          <w:rFonts w:ascii="Sylfaen" w:hAnsi="Sylfaen"/>
                          <w:b/>
                          <w:sz w:val="48"/>
                          <w:szCs w:val="48"/>
                        </w:rPr>
                      </w:pPr>
                    </w:p>
                    <w:p w:rsidR="00C90A59" w:rsidRDefault="00C90A59" w:rsidP="00E65A91">
                      <w:pPr>
                        <w:rPr>
                          <w:rFonts w:ascii="Sylfaen" w:hAnsi="Sylfaen"/>
                          <w:b/>
                          <w:sz w:val="48"/>
                          <w:szCs w:val="48"/>
                        </w:rPr>
                      </w:pPr>
                    </w:p>
                    <w:p w:rsidR="00C90A59" w:rsidRPr="00FB622A" w:rsidRDefault="00C90A59" w:rsidP="00E65A91">
                      <w:pPr>
                        <w:rPr>
                          <w:rFonts w:ascii="Sylfaen" w:hAnsi="Sylfaen"/>
                          <w:b/>
                          <w:sz w:val="48"/>
                          <w:szCs w:val="48"/>
                        </w:rPr>
                      </w:pPr>
                    </w:p>
                  </w:txbxContent>
                </v:textbox>
              </v:shape>
            </w:pict>
          </mc:Fallback>
        </mc:AlternateContent>
      </w:r>
    </w:p>
    <w:p w:rsidR="00584A82" w:rsidRDefault="00584A82"/>
    <w:p w:rsidR="00584A82" w:rsidRDefault="00584A82"/>
    <w:p w:rsidR="00584A82" w:rsidRDefault="00767898">
      <w:r>
        <w:t xml:space="preserve"> </w:t>
      </w:r>
    </w:p>
    <w:p w:rsidR="00767898" w:rsidRPr="00767898" w:rsidRDefault="0085126B">
      <w:pPr>
        <w:rPr>
          <w:sz w:val="28"/>
          <w:szCs w:val="28"/>
        </w:rPr>
      </w:pPr>
      <w:r>
        <w:rPr>
          <w:sz w:val="28"/>
          <w:szCs w:val="28"/>
        </w:rPr>
        <w:t xml:space="preserve">                                                  </w:t>
      </w:r>
      <w:r w:rsidR="007630CA">
        <w:rPr>
          <w:sz w:val="28"/>
          <w:szCs w:val="28"/>
        </w:rPr>
        <w:t xml:space="preserve">   </w:t>
      </w:r>
      <w:r w:rsidR="00BD05CB">
        <w:rPr>
          <w:sz w:val="28"/>
          <w:szCs w:val="28"/>
        </w:rPr>
        <w:t xml:space="preserve">                            Dec</w:t>
      </w:r>
      <w:r w:rsidR="007630CA">
        <w:rPr>
          <w:sz w:val="28"/>
          <w:szCs w:val="28"/>
        </w:rPr>
        <w:t>ember 2016</w:t>
      </w:r>
    </w:p>
    <w:sdt>
      <w:sdtPr>
        <w:rPr>
          <w:sz w:val="24"/>
          <w:szCs w:val="24"/>
        </w:rPr>
        <w:id w:val="2105452789"/>
        <w:docPartObj>
          <w:docPartGallery w:val="Table of Contents"/>
          <w:docPartUnique/>
        </w:docPartObj>
      </w:sdtPr>
      <w:sdtEndPr>
        <w:rPr>
          <w:sz w:val="22"/>
          <w:szCs w:val="22"/>
        </w:rPr>
      </w:sdtEndPr>
      <w:sdtContent>
        <w:p w:rsidR="007E06C5" w:rsidRPr="00EC1E6F" w:rsidRDefault="004B7E6F" w:rsidP="007E06C5">
          <w:pPr>
            <w:spacing w:after="0"/>
            <w:rPr>
              <w:b/>
              <w:color w:val="E36C0A" w:themeColor="accent6" w:themeShade="BF"/>
              <w:sz w:val="36"/>
              <w:szCs w:val="24"/>
            </w:rPr>
          </w:pPr>
          <w:r w:rsidRPr="00EC1E6F">
            <w:rPr>
              <w:b/>
              <w:color w:val="E36C0A" w:themeColor="accent6" w:themeShade="BF"/>
              <w:sz w:val="36"/>
              <w:szCs w:val="24"/>
            </w:rPr>
            <w:t>Table of Content</w:t>
          </w:r>
          <w:r w:rsidR="007E06C5" w:rsidRPr="00EC1E6F">
            <w:rPr>
              <w:b/>
              <w:color w:val="E36C0A" w:themeColor="accent6" w:themeShade="BF"/>
              <w:sz w:val="36"/>
              <w:szCs w:val="24"/>
            </w:rPr>
            <w:t>s</w:t>
          </w:r>
        </w:p>
        <w:p w:rsidR="007E06C5" w:rsidRPr="00EC1E6F" w:rsidRDefault="007E06C5" w:rsidP="007E06C5">
          <w:pPr>
            <w:spacing w:after="0"/>
            <w:rPr>
              <w:b/>
              <w:color w:val="E36C0A" w:themeColor="accent6" w:themeShade="BF"/>
              <w:sz w:val="24"/>
              <w:szCs w:val="24"/>
            </w:rPr>
          </w:pPr>
        </w:p>
        <w:p w:rsidR="00C07C71" w:rsidRPr="00EC1E6F" w:rsidRDefault="00F20082" w:rsidP="007E06C5">
          <w:pPr>
            <w:pStyle w:val="TOCHeading"/>
            <w:spacing w:before="0" w:after="240"/>
            <w:rPr>
              <w:rFonts w:asciiTheme="minorHAnsi" w:hAnsiTheme="minorHAnsi"/>
              <w:bCs w:val="0"/>
              <w:color w:val="auto"/>
              <w:sz w:val="24"/>
              <w:szCs w:val="24"/>
              <w:u w:val="single"/>
            </w:rPr>
          </w:pPr>
          <w:r w:rsidRPr="00EC1E6F">
            <w:rPr>
              <w:rFonts w:asciiTheme="minorHAnsi" w:hAnsiTheme="minorHAnsi"/>
              <w:bCs w:val="0"/>
              <w:color w:val="auto"/>
              <w:sz w:val="24"/>
              <w:szCs w:val="24"/>
              <w:u w:val="single"/>
            </w:rPr>
            <w:t xml:space="preserve">Part </w:t>
          </w:r>
          <w:r w:rsidR="00C07C71" w:rsidRPr="00EC1E6F">
            <w:rPr>
              <w:rFonts w:asciiTheme="minorHAnsi" w:hAnsiTheme="minorHAnsi"/>
              <w:bCs w:val="0"/>
              <w:color w:val="auto"/>
              <w:sz w:val="24"/>
              <w:szCs w:val="24"/>
              <w:u w:val="single"/>
            </w:rPr>
            <w:t>I: Introduction</w:t>
          </w:r>
        </w:p>
        <w:p w:rsidR="004B7E6F" w:rsidRPr="00EC1E6F" w:rsidRDefault="00C07C71" w:rsidP="00C07C71">
          <w:pPr>
            <w:pStyle w:val="TOCHeading"/>
            <w:spacing w:before="0"/>
            <w:rPr>
              <w:rFonts w:asciiTheme="minorHAnsi" w:hAnsiTheme="minorHAnsi"/>
              <w:b w:val="0"/>
              <w:bCs w:val="0"/>
              <w:color w:val="auto"/>
              <w:sz w:val="24"/>
              <w:szCs w:val="24"/>
              <w:u w:val="single"/>
            </w:rPr>
          </w:pPr>
          <w:r w:rsidRPr="00EC1E6F">
            <w:rPr>
              <w:rFonts w:asciiTheme="minorHAnsi" w:hAnsiTheme="minorHAnsi"/>
              <w:b w:val="0"/>
              <w:bCs w:val="0"/>
              <w:color w:val="auto"/>
              <w:sz w:val="24"/>
              <w:szCs w:val="24"/>
            </w:rPr>
            <w:t>Structure and aim of the guide</w:t>
          </w:r>
          <w:r w:rsidR="004B7E6F" w:rsidRPr="00EC1E6F">
            <w:rPr>
              <w:rFonts w:asciiTheme="minorHAnsi" w:hAnsiTheme="minorHAnsi"/>
              <w:b w:val="0"/>
              <w:color w:val="auto"/>
              <w:sz w:val="24"/>
              <w:szCs w:val="24"/>
            </w:rPr>
            <w:ptab w:relativeTo="margin" w:alignment="right" w:leader="dot"/>
          </w:r>
          <w:r w:rsidR="000916B0">
            <w:rPr>
              <w:rFonts w:asciiTheme="minorHAnsi" w:hAnsiTheme="minorHAnsi"/>
              <w:b w:val="0"/>
              <w:color w:val="auto"/>
              <w:sz w:val="24"/>
              <w:szCs w:val="24"/>
            </w:rPr>
            <w:t>3</w:t>
          </w:r>
        </w:p>
        <w:p w:rsidR="00C07C71" w:rsidRPr="00EC1E6F" w:rsidRDefault="00C07C71" w:rsidP="00C07C71">
          <w:pPr>
            <w:pStyle w:val="TOCHeading"/>
            <w:spacing w:before="0"/>
            <w:rPr>
              <w:rFonts w:asciiTheme="minorHAnsi" w:hAnsiTheme="minorHAnsi"/>
              <w:b w:val="0"/>
              <w:color w:val="auto"/>
              <w:sz w:val="24"/>
              <w:szCs w:val="24"/>
            </w:rPr>
          </w:pPr>
          <w:r w:rsidRPr="00EC1E6F">
            <w:rPr>
              <w:rFonts w:asciiTheme="minorHAnsi" w:hAnsiTheme="minorHAnsi"/>
              <w:b w:val="0"/>
              <w:bCs w:val="0"/>
              <w:color w:val="auto"/>
              <w:sz w:val="24"/>
              <w:szCs w:val="24"/>
            </w:rPr>
            <w:t>How to use the guide</w:t>
          </w:r>
          <w:r w:rsidRPr="00EC1E6F">
            <w:rPr>
              <w:rFonts w:asciiTheme="minorHAnsi" w:hAnsiTheme="minorHAnsi"/>
              <w:b w:val="0"/>
              <w:color w:val="auto"/>
              <w:sz w:val="24"/>
              <w:szCs w:val="24"/>
            </w:rPr>
            <w:ptab w:relativeTo="margin" w:alignment="right" w:leader="dot"/>
          </w:r>
          <w:r w:rsidR="000916B0">
            <w:rPr>
              <w:rFonts w:asciiTheme="minorHAnsi" w:hAnsiTheme="minorHAnsi"/>
              <w:b w:val="0"/>
              <w:color w:val="auto"/>
              <w:sz w:val="24"/>
              <w:szCs w:val="24"/>
            </w:rPr>
            <w:t>3</w:t>
          </w:r>
        </w:p>
        <w:p w:rsidR="00C07C71" w:rsidRPr="00EC1E6F" w:rsidRDefault="00C07C71" w:rsidP="00C07C71">
          <w:pPr>
            <w:pStyle w:val="TOCHeading"/>
            <w:spacing w:before="0" w:after="240"/>
            <w:rPr>
              <w:rFonts w:asciiTheme="minorHAnsi" w:hAnsiTheme="minorHAnsi"/>
              <w:b w:val="0"/>
              <w:color w:val="auto"/>
              <w:sz w:val="24"/>
              <w:szCs w:val="24"/>
            </w:rPr>
          </w:pPr>
          <w:r w:rsidRPr="00EC1E6F">
            <w:rPr>
              <w:rFonts w:asciiTheme="minorHAnsi" w:hAnsiTheme="minorHAnsi"/>
              <w:b w:val="0"/>
              <w:bCs w:val="0"/>
              <w:color w:val="auto"/>
              <w:sz w:val="24"/>
              <w:szCs w:val="24"/>
            </w:rPr>
            <w:t>How does the RPC assess the quality of analysis and evidence?</w:t>
          </w:r>
          <w:r w:rsidRPr="00EC1E6F">
            <w:rPr>
              <w:rFonts w:asciiTheme="minorHAnsi" w:hAnsiTheme="minorHAnsi"/>
              <w:b w:val="0"/>
              <w:color w:val="auto"/>
              <w:sz w:val="24"/>
              <w:szCs w:val="24"/>
            </w:rPr>
            <w:ptab w:relativeTo="margin" w:alignment="right" w:leader="dot"/>
          </w:r>
          <w:r w:rsidR="000916B0">
            <w:rPr>
              <w:rFonts w:asciiTheme="minorHAnsi" w:hAnsiTheme="minorHAnsi"/>
              <w:b w:val="0"/>
              <w:color w:val="auto"/>
              <w:sz w:val="24"/>
              <w:szCs w:val="24"/>
            </w:rPr>
            <w:t>6</w:t>
          </w:r>
        </w:p>
        <w:p w:rsidR="00C07C71" w:rsidRPr="00EC1E6F" w:rsidRDefault="00F20082" w:rsidP="00C07C71">
          <w:pPr>
            <w:spacing w:before="240"/>
            <w:rPr>
              <w:b/>
              <w:sz w:val="24"/>
              <w:szCs w:val="24"/>
              <w:u w:val="single"/>
              <w:lang w:val="en-US" w:eastAsia="ja-JP"/>
            </w:rPr>
          </w:pPr>
          <w:r w:rsidRPr="00EC1E6F">
            <w:rPr>
              <w:b/>
              <w:sz w:val="24"/>
              <w:szCs w:val="24"/>
              <w:u w:val="single"/>
              <w:lang w:val="en-US" w:eastAsia="ja-JP"/>
            </w:rPr>
            <w:t>Part</w:t>
          </w:r>
          <w:r w:rsidR="00287E31">
            <w:rPr>
              <w:b/>
              <w:sz w:val="24"/>
              <w:szCs w:val="24"/>
              <w:u w:val="single"/>
              <w:lang w:val="en-US" w:eastAsia="ja-JP"/>
            </w:rPr>
            <w:t xml:space="preserve"> II: Impact assessments</w:t>
          </w:r>
        </w:p>
        <w:p w:rsidR="004B7E6F" w:rsidRPr="00EC1E6F" w:rsidRDefault="004B7E6F" w:rsidP="006C50BC">
          <w:pPr>
            <w:pStyle w:val="TOC1"/>
            <w:rPr>
              <w:sz w:val="24"/>
              <w:szCs w:val="24"/>
            </w:rPr>
          </w:pPr>
          <w:r w:rsidRPr="00EC1E6F">
            <w:rPr>
              <w:sz w:val="24"/>
              <w:szCs w:val="24"/>
            </w:rPr>
            <w:t>1 Problem under consideration</w:t>
          </w:r>
          <w:r w:rsidRPr="00EC1E6F">
            <w:rPr>
              <w:sz w:val="24"/>
              <w:szCs w:val="24"/>
            </w:rPr>
            <w:ptab w:relativeTo="margin" w:alignment="right" w:leader="dot"/>
          </w:r>
          <w:r w:rsidR="006C50BC" w:rsidRPr="00EC1E6F">
            <w:rPr>
              <w:sz w:val="24"/>
              <w:szCs w:val="24"/>
            </w:rPr>
            <w:t>8</w:t>
          </w:r>
        </w:p>
        <w:p w:rsidR="004B7E6F" w:rsidRPr="00EC1E6F" w:rsidRDefault="006C50BC" w:rsidP="006C50BC">
          <w:pPr>
            <w:pStyle w:val="TOC2"/>
            <w:ind w:left="216"/>
            <w:rPr>
              <w:sz w:val="24"/>
              <w:szCs w:val="24"/>
            </w:rPr>
          </w:pPr>
          <w:r w:rsidRPr="00EC1E6F">
            <w:rPr>
              <w:sz w:val="24"/>
              <w:szCs w:val="24"/>
            </w:rPr>
            <w:t>1.1 Establishing the problem and rationale for regulation</w:t>
          </w:r>
          <w:r w:rsidR="004B7E6F" w:rsidRPr="00EC1E6F">
            <w:rPr>
              <w:sz w:val="24"/>
              <w:szCs w:val="24"/>
            </w:rPr>
            <w:ptab w:relativeTo="margin" w:alignment="right" w:leader="dot"/>
          </w:r>
          <w:r w:rsidRPr="00EC1E6F">
            <w:rPr>
              <w:sz w:val="24"/>
              <w:szCs w:val="24"/>
            </w:rPr>
            <w:t>8</w:t>
          </w:r>
        </w:p>
        <w:p w:rsidR="006C50BC" w:rsidRPr="00EC1E6F" w:rsidRDefault="006C50BC" w:rsidP="006C50BC">
          <w:pPr>
            <w:pStyle w:val="TOC2"/>
            <w:ind w:left="216"/>
            <w:rPr>
              <w:sz w:val="24"/>
              <w:szCs w:val="24"/>
            </w:rPr>
          </w:pPr>
          <w:r w:rsidRPr="00EC1E6F">
            <w:rPr>
              <w:sz w:val="24"/>
              <w:szCs w:val="24"/>
            </w:rPr>
            <w:t>1.2 Linking the options to the problem</w:t>
          </w:r>
          <w:r w:rsidRPr="00EC1E6F">
            <w:rPr>
              <w:sz w:val="24"/>
              <w:szCs w:val="24"/>
            </w:rPr>
            <w:ptab w:relativeTo="margin" w:alignment="right" w:leader="dot"/>
          </w:r>
          <w:r w:rsidRPr="00EC1E6F">
            <w:rPr>
              <w:sz w:val="24"/>
              <w:szCs w:val="24"/>
            </w:rPr>
            <w:t>9</w:t>
          </w:r>
        </w:p>
        <w:p w:rsidR="006C50BC" w:rsidRPr="00EC1E6F" w:rsidRDefault="006C50BC" w:rsidP="006C50BC">
          <w:pPr>
            <w:pStyle w:val="TOC1"/>
            <w:rPr>
              <w:sz w:val="24"/>
              <w:szCs w:val="24"/>
            </w:rPr>
          </w:pPr>
          <w:r w:rsidRPr="00EC1E6F">
            <w:rPr>
              <w:sz w:val="24"/>
              <w:szCs w:val="24"/>
            </w:rPr>
            <w:t>2 Impact assessment options</w:t>
          </w:r>
          <w:r w:rsidRPr="00EC1E6F">
            <w:rPr>
              <w:sz w:val="24"/>
              <w:szCs w:val="24"/>
            </w:rPr>
            <w:ptab w:relativeTo="margin" w:alignment="right" w:leader="dot"/>
          </w:r>
          <w:r w:rsidRPr="00EC1E6F">
            <w:rPr>
              <w:sz w:val="24"/>
              <w:szCs w:val="24"/>
            </w:rPr>
            <w:t>12</w:t>
          </w:r>
        </w:p>
        <w:p w:rsidR="006C50BC" w:rsidRPr="00EC1E6F" w:rsidRDefault="006C50BC" w:rsidP="006C50BC">
          <w:pPr>
            <w:pStyle w:val="TOC2"/>
            <w:ind w:left="216"/>
            <w:rPr>
              <w:sz w:val="24"/>
              <w:szCs w:val="24"/>
            </w:rPr>
          </w:pPr>
          <w:r w:rsidRPr="00EC1E6F">
            <w:rPr>
              <w:sz w:val="24"/>
              <w:szCs w:val="24"/>
            </w:rPr>
            <w:t>2.1 Non-regulatory options to regulation</w:t>
          </w:r>
          <w:r w:rsidRPr="00EC1E6F">
            <w:rPr>
              <w:sz w:val="24"/>
              <w:szCs w:val="24"/>
            </w:rPr>
            <w:ptab w:relativeTo="margin" w:alignment="right" w:leader="dot"/>
          </w:r>
          <w:r w:rsidRPr="00EC1E6F">
            <w:rPr>
              <w:sz w:val="24"/>
              <w:szCs w:val="24"/>
            </w:rPr>
            <w:t>12</w:t>
          </w:r>
        </w:p>
        <w:p w:rsidR="006C50BC" w:rsidRPr="00EC1E6F" w:rsidRDefault="006C50BC" w:rsidP="006C50BC">
          <w:pPr>
            <w:pStyle w:val="TOC2"/>
            <w:ind w:left="216"/>
            <w:rPr>
              <w:sz w:val="24"/>
              <w:szCs w:val="24"/>
            </w:rPr>
          </w:pPr>
          <w:r w:rsidRPr="00EC1E6F">
            <w:rPr>
              <w:sz w:val="24"/>
              <w:szCs w:val="24"/>
            </w:rPr>
            <w:t>2.2 Broader issues departments should consider in the analysis of options</w:t>
          </w:r>
          <w:r w:rsidRPr="00EC1E6F">
            <w:rPr>
              <w:sz w:val="24"/>
              <w:szCs w:val="24"/>
            </w:rPr>
            <w:ptab w:relativeTo="margin" w:alignment="right" w:leader="dot"/>
          </w:r>
          <w:r w:rsidRPr="00EC1E6F">
            <w:rPr>
              <w:sz w:val="24"/>
              <w:szCs w:val="24"/>
            </w:rPr>
            <w:t>13</w:t>
          </w:r>
        </w:p>
        <w:p w:rsidR="00DA6094" w:rsidRPr="00EC1E6F" w:rsidRDefault="00DA6094" w:rsidP="00DA6094">
          <w:pPr>
            <w:pStyle w:val="TOC1"/>
            <w:rPr>
              <w:sz w:val="24"/>
              <w:szCs w:val="24"/>
            </w:rPr>
          </w:pPr>
          <w:r w:rsidRPr="00EC1E6F">
            <w:rPr>
              <w:sz w:val="24"/>
              <w:szCs w:val="24"/>
            </w:rPr>
            <w:t>3 Reliable estimates of costs and benefits</w:t>
          </w:r>
          <w:r w:rsidRPr="00EC1E6F">
            <w:rPr>
              <w:sz w:val="24"/>
              <w:szCs w:val="24"/>
            </w:rPr>
            <w:ptab w:relativeTo="margin" w:alignment="right" w:leader="dot"/>
          </w:r>
          <w:r w:rsidR="00525ABA">
            <w:rPr>
              <w:sz w:val="24"/>
              <w:szCs w:val="24"/>
            </w:rPr>
            <w:t>18</w:t>
          </w:r>
        </w:p>
        <w:p w:rsidR="00DA6094" w:rsidRPr="00EC1E6F" w:rsidRDefault="00DA6094" w:rsidP="00DA6094">
          <w:pPr>
            <w:pStyle w:val="TOC2"/>
            <w:ind w:left="216"/>
            <w:rPr>
              <w:sz w:val="24"/>
              <w:szCs w:val="24"/>
            </w:rPr>
          </w:pPr>
          <w:r w:rsidRPr="00EC1E6F">
            <w:rPr>
              <w:sz w:val="24"/>
              <w:szCs w:val="24"/>
            </w:rPr>
            <w:t>3.1 Counterfactuals</w:t>
          </w:r>
          <w:r w:rsidRPr="00EC1E6F">
            <w:rPr>
              <w:sz w:val="24"/>
              <w:szCs w:val="24"/>
            </w:rPr>
            <w:ptab w:relativeTo="margin" w:alignment="right" w:leader="dot"/>
          </w:r>
          <w:r w:rsidRPr="00EC1E6F">
            <w:rPr>
              <w:sz w:val="24"/>
              <w:szCs w:val="24"/>
            </w:rPr>
            <w:t>18</w:t>
          </w:r>
        </w:p>
        <w:p w:rsidR="00DA6094" w:rsidRPr="00EC1E6F" w:rsidRDefault="00287E31" w:rsidP="00DA6094">
          <w:pPr>
            <w:pStyle w:val="TOC2"/>
            <w:ind w:left="216"/>
            <w:rPr>
              <w:sz w:val="24"/>
              <w:szCs w:val="24"/>
            </w:rPr>
          </w:pPr>
          <w:r>
            <w:rPr>
              <w:sz w:val="24"/>
              <w:szCs w:val="24"/>
            </w:rPr>
            <w:t>3.2</w:t>
          </w:r>
          <w:r w:rsidR="00DA6094" w:rsidRPr="00EC1E6F">
            <w:rPr>
              <w:sz w:val="24"/>
              <w:szCs w:val="24"/>
            </w:rPr>
            <w:t xml:space="preserve"> Use of assumptions and evidence</w:t>
          </w:r>
          <w:r w:rsidR="00DA6094" w:rsidRPr="00EC1E6F">
            <w:rPr>
              <w:sz w:val="24"/>
              <w:szCs w:val="24"/>
            </w:rPr>
            <w:ptab w:relativeTo="margin" w:alignment="right" w:leader="dot"/>
          </w:r>
          <w:r w:rsidR="004705BE">
            <w:rPr>
              <w:sz w:val="24"/>
              <w:szCs w:val="24"/>
            </w:rPr>
            <w:t>23</w:t>
          </w:r>
        </w:p>
        <w:p w:rsidR="00DA6094" w:rsidRPr="00EC1E6F" w:rsidRDefault="00DA6094" w:rsidP="00DA6094">
          <w:pPr>
            <w:pStyle w:val="TOC1"/>
            <w:rPr>
              <w:sz w:val="24"/>
              <w:szCs w:val="24"/>
            </w:rPr>
          </w:pPr>
          <w:r w:rsidRPr="00EC1E6F">
            <w:rPr>
              <w:sz w:val="24"/>
              <w:szCs w:val="24"/>
            </w:rPr>
            <w:t>4 Business Impact Target (BIT) methodology</w:t>
          </w:r>
          <w:r w:rsidRPr="00EC1E6F">
            <w:rPr>
              <w:sz w:val="24"/>
              <w:szCs w:val="24"/>
            </w:rPr>
            <w:ptab w:relativeTo="margin" w:alignment="right" w:leader="dot"/>
          </w:r>
          <w:r w:rsidR="004705BE">
            <w:rPr>
              <w:sz w:val="24"/>
              <w:szCs w:val="24"/>
            </w:rPr>
            <w:t>24</w:t>
          </w:r>
        </w:p>
        <w:p w:rsidR="00DA6094" w:rsidRPr="00EC1E6F" w:rsidRDefault="00DA6094" w:rsidP="00DA6094">
          <w:pPr>
            <w:pStyle w:val="TOC2"/>
            <w:ind w:left="216"/>
            <w:rPr>
              <w:sz w:val="24"/>
              <w:szCs w:val="24"/>
            </w:rPr>
          </w:pPr>
          <w:r w:rsidRPr="00EC1E6F">
            <w:rPr>
              <w:sz w:val="24"/>
              <w:szCs w:val="24"/>
            </w:rPr>
            <w:t>4.1 Guidance on direct versus indirect impacts</w:t>
          </w:r>
          <w:r w:rsidRPr="00EC1E6F">
            <w:rPr>
              <w:sz w:val="24"/>
              <w:szCs w:val="24"/>
            </w:rPr>
            <w:ptab w:relativeTo="margin" w:alignment="right" w:leader="dot"/>
          </w:r>
          <w:r w:rsidR="004705BE">
            <w:rPr>
              <w:sz w:val="24"/>
              <w:szCs w:val="24"/>
            </w:rPr>
            <w:t>24</w:t>
          </w:r>
        </w:p>
        <w:p w:rsidR="00DA6094" w:rsidRPr="00EC1E6F" w:rsidRDefault="00DA6094" w:rsidP="007E06C5">
          <w:pPr>
            <w:pStyle w:val="TOC2"/>
            <w:ind w:left="216"/>
            <w:rPr>
              <w:sz w:val="24"/>
              <w:szCs w:val="24"/>
            </w:rPr>
          </w:pPr>
          <w:r w:rsidRPr="00EC1E6F">
            <w:rPr>
              <w:sz w:val="24"/>
              <w:szCs w:val="24"/>
            </w:rPr>
            <w:t>4.2 Guidance on the calculation of profit for determining the impact on business</w:t>
          </w:r>
          <w:r w:rsidRPr="00EC1E6F">
            <w:rPr>
              <w:sz w:val="24"/>
              <w:szCs w:val="24"/>
            </w:rPr>
            <w:ptab w:relativeTo="margin" w:alignment="right" w:leader="dot"/>
          </w:r>
          <w:r w:rsidR="004705BE">
            <w:rPr>
              <w:sz w:val="24"/>
              <w:szCs w:val="24"/>
            </w:rPr>
            <w:t>31</w:t>
          </w:r>
        </w:p>
        <w:p w:rsidR="00DE410F" w:rsidRPr="00EC1E6F" w:rsidRDefault="00DE410F" w:rsidP="00DE410F">
          <w:pPr>
            <w:pStyle w:val="TOC2"/>
            <w:ind w:left="216"/>
            <w:rPr>
              <w:sz w:val="24"/>
              <w:szCs w:val="24"/>
            </w:rPr>
          </w:pPr>
          <w:r w:rsidRPr="00EC1E6F">
            <w:rPr>
              <w:sz w:val="24"/>
              <w:szCs w:val="24"/>
            </w:rPr>
            <w:t>4.3 Other issues</w:t>
          </w:r>
          <w:r w:rsidRPr="00EC1E6F">
            <w:rPr>
              <w:sz w:val="24"/>
              <w:szCs w:val="24"/>
            </w:rPr>
            <w:ptab w:relativeTo="margin" w:alignment="right" w:leader="dot"/>
          </w:r>
          <w:r w:rsidR="004705BE">
            <w:rPr>
              <w:sz w:val="24"/>
              <w:szCs w:val="24"/>
            </w:rPr>
            <w:t>33</w:t>
          </w:r>
        </w:p>
        <w:p w:rsidR="00DE410F" w:rsidRPr="00EC1E6F" w:rsidRDefault="00DE410F" w:rsidP="00DE410F">
          <w:pPr>
            <w:pStyle w:val="TOC1"/>
            <w:rPr>
              <w:sz w:val="24"/>
              <w:szCs w:val="24"/>
            </w:rPr>
          </w:pPr>
          <w:r w:rsidRPr="00EC1E6F">
            <w:rPr>
              <w:sz w:val="24"/>
              <w:szCs w:val="24"/>
            </w:rPr>
            <w:t>5 Non-qualifying regulatory provisions</w:t>
          </w:r>
          <w:r w:rsidRPr="00EC1E6F">
            <w:rPr>
              <w:sz w:val="24"/>
              <w:szCs w:val="24"/>
            </w:rPr>
            <w:ptab w:relativeTo="margin" w:alignment="right" w:leader="dot"/>
          </w:r>
          <w:r w:rsidR="004705BE">
            <w:rPr>
              <w:sz w:val="24"/>
              <w:szCs w:val="24"/>
            </w:rPr>
            <w:t>37</w:t>
          </w:r>
        </w:p>
        <w:p w:rsidR="00E31093" w:rsidRPr="00EC1E6F" w:rsidRDefault="00E31093" w:rsidP="00E31093">
          <w:pPr>
            <w:pStyle w:val="TOC2"/>
            <w:ind w:left="216"/>
            <w:rPr>
              <w:sz w:val="24"/>
              <w:szCs w:val="24"/>
            </w:rPr>
          </w:pPr>
          <w:r w:rsidRPr="00EC1E6F">
            <w:rPr>
              <w:sz w:val="24"/>
              <w:szCs w:val="24"/>
            </w:rPr>
            <w:t>5.1 Fees and charges</w:t>
          </w:r>
          <w:r w:rsidRPr="00EC1E6F">
            <w:rPr>
              <w:sz w:val="24"/>
              <w:szCs w:val="24"/>
            </w:rPr>
            <w:ptab w:relativeTo="margin" w:alignment="right" w:leader="dot"/>
          </w:r>
          <w:r w:rsidR="004705BE">
            <w:rPr>
              <w:sz w:val="24"/>
              <w:szCs w:val="24"/>
            </w:rPr>
            <w:t>37</w:t>
          </w:r>
        </w:p>
        <w:p w:rsidR="00E31093" w:rsidRPr="00EC1E6F" w:rsidRDefault="00E31093" w:rsidP="00E31093">
          <w:pPr>
            <w:pStyle w:val="TOC2"/>
            <w:ind w:left="216"/>
            <w:rPr>
              <w:sz w:val="24"/>
              <w:szCs w:val="24"/>
            </w:rPr>
          </w:pPr>
          <w:r w:rsidRPr="00EC1E6F">
            <w:rPr>
              <w:sz w:val="24"/>
              <w:szCs w:val="24"/>
            </w:rPr>
            <w:t>5.2 Grants or other financial assistance on behalf of a public authority</w:t>
          </w:r>
          <w:r w:rsidRPr="00EC1E6F">
            <w:rPr>
              <w:sz w:val="24"/>
              <w:szCs w:val="24"/>
            </w:rPr>
            <w:ptab w:relativeTo="margin" w:alignment="right" w:leader="dot"/>
          </w:r>
          <w:r w:rsidR="004705BE">
            <w:rPr>
              <w:sz w:val="24"/>
              <w:szCs w:val="24"/>
            </w:rPr>
            <w:t>38</w:t>
          </w:r>
        </w:p>
        <w:p w:rsidR="00E31093" w:rsidRPr="00EC1E6F" w:rsidRDefault="00525ABA" w:rsidP="00E31093">
          <w:pPr>
            <w:pStyle w:val="TOC2"/>
            <w:ind w:left="216"/>
            <w:rPr>
              <w:sz w:val="24"/>
              <w:szCs w:val="24"/>
            </w:rPr>
          </w:pPr>
          <w:r>
            <w:rPr>
              <w:sz w:val="24"/>
              <w:szCs w:val="24"/>
            </w:rPr>
            <w:t>5.3</w:t>
          </w:r>
          <w:r w:rsidR="00E31093" w:rsidRPr="00EC1E6F">
            <w:rPr>
              <w:sz w:val="24"/>
              <w:szCs w:val="24"/>
            </w:rPr>
            <w:t xml:space="preserve"> Regulation of activities that are not business activities</w:t>
          </w:r>
          <w:r w:rsidR="00E31093" w:rsidRPr="00EC1E6F">
            <w:rPr>
              <w:sz w:val="24"/>
              <w:szCs w:val="24"/>
            </w:rPr>
            <w:ptab w:relativeTo="margin" w:alignment="right" w:leader="dot"/>
          </w:r>
          <w:r w:rsidR="004705BE">
            <w:rPr>
              <w:sz w:val="24"/>
              <w:szCs w:val="24"/>
            </w:rPr>
            <w:t>39</w:t>
          </w:r>
        </w:p>
        <w:p w:rsidR="00E31093" w:rsidRPr="00EC1E6F" w:rsidRDefault="00525ABA" w:rsidP="00E31093">
          <w:pPr>
            <w:pStyle w:val="TOC2"/>
            <w:ind w:left="216"/>
            <w:rPr>
              <w:sz w:val="24"/>
              <w:szCs w:val="24"/>
            </w:rPr>
          </w:pPr>
          <w:r>
            <w:rPr>
              <w:sz w:val="24"/>
              <w:szCs w:val="24"/>
            </w:rPr>
            <w:t>5.4</w:t>
          </w:r>
          <w:r w:rsidR="00E31093" w:rsidRPr="00EC1E6F">
            <w:rPr>
              <w:sz w:val="24"/>
              <w:szCs w:val="24"/>
            </w:rPr>
            <w:t xml:space="preserve"> Acting on behalf of a public authority</w:t>
          </w:r>
          <w:r w:rsidR="00E31093" w:rsidRPr="00EC1E6F">
            <w:rPr>
              <w:sz w:val="24"/>
              <w:szCs w:val="24"/>
            </w:rPr>
            <w:ptab w:relativeTo="margin" w:alignment="right" w:leader="dot"/>
          </w:r>
          <w:r w:rsidR="004705BE">
            <w:rPr>
              <w:sz w:val="24"/>
              <w:szCs w:val="24"/>
            </w:rPr>
            <w:t>39</w:t>
          </w:r>
        </w:p>
        <w:p w:rsidR="00E31093" w:rsidRDefault="00525ABA" w:rsidP="00E31093">
          <w:pPr>
            <w:pStyle w:val="TOC2"/>
            <w:ind w:left="216"/>
            <w:rPr>
              <w:sz w:val="24"/>
              <w:szCs w:val="24"/>
            </w:rPr>
          </w:pPr>
          <w:r>
            <w:rPr>
              <w:sz w:val="24"/>
              <w:szCs w:val="24"/>
            </w:rPr>
            <w:t>5.5</w:t>
          </w:r>
          <w:r w:rsidR="00E31093" w:rsidRPr="00EC1E6F">
            <w:rPr>
              <w:sz w:val="24"/>
              <w:szCs w:val="24"/>
            </w:rPr>
            <w:t xml:space="preserve"> EU and international measures</w:t>
          </w:r>
          <w:r w:rsidR="00E31093" w:rsidRPr="00EC1E6F">
            <w:rPr>
              <w:sz w:val="24"/>
              <w:szCs w:val="24"/>
            </w:rPr>
            <w:ptab w:relativeTo="margin" w:alignment="right" w:leader="dot"/>
          </w:r>
          <w:r w:rsidR="004705BE">
            <w:rPr>
              <w:sz w:val="24"/>
              <w:szCs w:val="24"/>
            </w:rPr>
            <w:t>40</w:t>
          </w:r>
        </w:p>
        <w:p w:rsidR="001D7920" w:rsidRPr="001D7920" w:rsidRDefault="001D7920" w:rsidP="001D7920">
          <w:pPr>
            <w:pStyle w:val="TOC2"/>
            <w:ind w:left="216"/>
            <w:rPr>
              <w:sz w:val="24"/>
              <w:szCs w:val="24"/>
            </w:rPr>
          </w:pPr>
          <w:r>
            <w:rPr>
              <w:sz w:val="24"/>
              <w:szCs w:val="24"/>
            </w:rPr>
            <w:t>5.6 Measures implementing (non-EU) international agreements</w:t>
          </w:r>
          <w:r w:rsidRPr="00EC1E6F">
            <w:rPr>
              <w:sz w:val="24"/>
              <w:szCs w:val="24"/>
            </w:rPr>
            <w:ptab w:relativeTo="margin" w:alignment="right" w:leader="dot"/>
          </w:r>
          <w:r w:rsidR="004705BE">
            <w:rPr>
              <w:sz w:val="24"/>
              <w:szCs w:val="24"/>
            </w:rPr>
            <w:t>44</w:t>
          </w:r>
        </w:p>
        <w:p w:rsidR="00E31093" w:rsidRPr="00EC1E6F" w:rsidRDefault="00AE709C" w:rsidP="00E31093">
          <w:pPr>
            <w:pStyle w:val="TOC2"/>
            <w:ind w:left="216"/>
            <w:rPr>
              <w:sz w:val="24"/>
              <w:szCs w:val="24"/>
            </w:rPr>
          </w:pPr>
          <w:r>
            <w:rPr>
              <w:sz w:val="24"/>
              <w:szCs w:val="24"/>
            </w:rPr>
            <w:t>5.7</w:t>
          </w:r>
          <w:r w:rsidR="00E31093" w:rsidRPr="00EC1E6F">
            <w:rPr>
              <w:sz w:val="24"/>
              <w:szCs w:val="24"/>
            </w:rPr>
            <w:t xml:space="preserve"> Price controls</w:t>
          </w:r>
          <w:r w:rsidR="00E31093" w:rsidRPr="00EC1E6F">
            <w:rPr>
              <w:sz w:val="24"/>
              <w:szCs w:val="24"/>
            </w:rPr>
            <w:ptab w:relativeTo="margin" w:alignment="right" w:leader="dot"/>
          </w:r>
          <w:r w:rsidR="004705BE">
            <w:rPr>
              <w:sz w:val="24"/>
              <w:szCs w:val="24"/>
            </w:rPr>
            <w:t>46</w:t>
          </w:r>
        </w:p>
        <w:p w:rsidR="00E31093" w:rsidRPr="00EC1E6F" w:rsidRDefault="00AE709C" w:rsidP="00E31093">
          <w:pPr>
            <w:pStyle w:val="TOC2"/>
            <w:ind w:left="216"/>
            <w:rPr>
              <w:sz w:val="24"/>
              <w:szCs w:val="24"/>
            </w:rPr>
          </w:pPr>
          <w:r>
            <w:rPr>
              <w:sz w:val="24"/>
              <w:szCs w:val="24"/>
            </w:rPr>
            <w:t>5.8</w:t>
          </w:r>
          <w:r w:rsidR="00E31093" w:rsidRPr="00EC1E6F">
            <w:rPr>
              <w:sz w:val="24"/>
              <w:szCs w:val="24"/>
            </w:rPr>
            <w:t xml:space="preserve"> Fines and penalties</w:t>
          </w:r>
          <w:r w:rsidR="00E31093" w:rsidRPr="00EC1E6F">
            <w:rPr>
              <w:sz w:val="24"/>
              <w:szCs w:val="24"/>
            </w:rPr>
            <w:ptab w:relativeTo="margin" w:alignment="right" w:leader="dot"/>
          </w:r>
          <w:r w:rsidR="004705BE">
            <w:rPr>
              <w:sz w:val="24"/>
              <w:szCs w:val="24"/>
            </w:rPr>
            <w:t>47</w:t>
          </w:r>
        </w:p>
        <w:p w:rsidR="00642CAD" w:rsidRPr="00EC1E6F" w:rsidRDefault="00AE709C" w:rsidP="00642CAD">
          <w:pPr>
            <w:pStyle w:val="TOC2"/>
            <w:ind w:left="216"/>
            <w:rPr>
              <w:sz w:val="24"/>
              <w:szCs w:val="24"/>
            </w:rPr>
          </w:pPr>
          <w:r>
            <w:rPr>
              <w:sz w:val="24"/>
              <w:szCs w:val="24"/>
            </w:rPr>
            <w:t>5.9</w:t>
          </w:r>
          <w:r w:rsidR="00525ABA">
            <w:rPr>
              <w:sz w:val="24"/>
              <w:szCs w:val="24"/>
            </w:rPr>
            <w:t xml:space="preserve"> </w:t>
          </w:r>
          <w:r w:rsidR="00642CAD" w:rsidRPr="00EC1E6F">
            <w:rPr>
              <w:sz w:val="24"/>
              <w:szCs w:val="24"/>
            </w:rPr>
            <w:t>Pro-competition</w:t>
          </w:r>
          <w:r w:rsidR="00642CAD" w:rsidRPr="00EC1E6F">
            <w:rPr>
              <w:sz w:val="24"/>
              <w:szCs w:val="24"/>
            </w:rPr>
            <w:ptab w:relativeTo="margin" w:alignment="right" w:leader="dot"/>
          </w:r>
          <w:r w:rsidR="004705BE">
            <w:rPr>
              <w:sz w:val="24"/>
              <w:szCs w:val="24"/>
            </w:rPr>
            <w:t>47</w:t>
          </w:r>
        </w:p>
        <w:p w:rsidR="00642CAD" w:rsidRPr="00EC1E6F" w:rsidRDefault="00AE709C" w:rsidP="00642CAD">
          <w:pPr>
            <w:pStyle w:val="TOC2"/>
            <w:ind w:left="216"/>
            <w:rPr>
              <w:sz w:val="24"/>
              <w:szCs w:val="24"/>
            </w:rPr>
          </w:pPr>
          <w:r>
            <w:rPr>
              <w:sz w:val="24"/>
              <w:szCs w:val="24"/>
            </w:rPr>
            <w:t>5.10</w:t>
          </w:r>
          <w:r w:rsidR="00642CAD" w:rsidRPr="00EC1E6F">
            <w:rPr>
              <w:sz w:val="24"/>
              <w:szCs w:val="24"/>
            </w:rPr>
            <w:t xml:space="preserve"> Misuse of Drugs Act and National Minimum Wage</w:t>
          </w:r>
          <w:r w:rsidR="00642CAD" w:rsidRPr="00EC1E6F">
            <w:rPr>
              <w:sz w:val="24"/>
              <w:szCs w:val="24"/>
            </w:rPr>
            <w:ptab w:relativeTo="margin" w:alignment="right" w:leader="dot"/>
          </w:r>
          <w:r w:rsidR="004705BE">
            <w:rPr>
              <w:sz w:val="24"/>
              <w:szCs w:val="24"/>
            </w:rPr>
            <w:t>48</w:t>
          </w:r>
        </w:p>
        <w:p w:rsidR="00642CAD" w:rsidRPr="00EC1E6F" w:rsidRDefault="00AE709C" w:rsidP="00642CAD">
          <w:pPr>
            <w:pStyle w:val="TOC2"/>
            <w:ind w:left="216"/>
            <w:rPr>
              <w:sz w:val="24"/>
              <w:szCs w:val="24"/>
            </w:rPr>
          </w:pPr>
          <w:r>
            <w:rPr>
              <w:sz w:val="24"/>
              <w:szCs w:val="24"/>
            </w:rPr>
            <w:lastRenderedPageBreak/>
            <w:t>5.11</w:t>
          </w:r>
          <w:r w:rsidR="00642CAD" w:rsidRPr="00EC1E6F">
            <w:rPr>
              <w:sz w:val="24"/>
              <w:szCs w:val="24"/>
            </w:rPr>
            <w:t xml:space="preserve"> Systemic financial risk</w:t>
          </w:r>
          <w:r w:rsidR="00642CAD" w:rsidRPr="00EC1E6F">
            <w:rPr>
              <w:sz w:val="24"/>
              <w:szCs w:val="24"/>
            </w:rPr>
            <w:ptab w:relativeTo="margin" w:alignment="right" w:leader="dot"/>
          </w:r>
          <w:r w:rsidR="004705BE">
            <w:rPr>
              <w:sz w:val="24"/>
              <w:szCs w:val="24"/>
            </w:rPr>
            <w:t>49</w:t>
          </w:r>
        </w:p>
        <w:p w:rsidR="00642CAD" w:rsidRPr="00EC1E6F" w:rsidRDefault="00AE709C" w:rsidP="00642CAD">
          <w:pPr>
            <w:pStyle w:val="TOC2"/>
            <w:ind w:left="216"/>
            <w:rPr>
              <w:sz w:val="24"/>
              <w:szCs w:val="24"/>
            </w:rPr>
          </w:pPr>
          <w:r>
            <w:rPr>
              <w:sz w:val="24"/>
              <w:szCs w:val="24"/>
            </w:rPr>
            <w:t>5.12</w:t>
          </w:r>
          <w:r w:rsidR="00642CAD" w:rsidRPr="00EC1E6F">
            <w:rPr>
              <w:sz w:val="24"/>
              <w:szCs w:val="24"/>
            </w:rPr>
            <w:t xml:space="preserve"> National Living Wage</w:t>
          </w:r>
          <w:r w:rsidR="00642CAD" w:rsidRPr="00EC1E6F">
            <w:rPr>
              <w:sz w:val="24"/>
              <w:szCs w:val="24"/>
            </w:rPr>
            <w:ptab w:relativeTo="margin" w:alignment="right" w:leader="dot"/>
          </w:r>
          <w:r w:rsidR="004705BE">
            <w:rPr>
              <w:sz w:val="24"/>
              <w:szCs w:val="24"/>
            </w:rPr>
            <w:t>49</w:t>
          </w:r>
        </w:p>
        <w:p w:rsidR="00287E31" w:rsidRDefault="00287E31" w:rsidP="00DF264A">
          <w:pPr>
            <w:pStyle w:val="TOC1"/>
            <w:rPr>
              <w:sz w:val="24"/>
              <w:szCs w:val="24"/>
            </w:rPr>
          </w:pPr>
          <w:r>
            <w:rPr>
              <w:sz w:val="24"/>
              <w:szCs w:val="24"/>
            </w:rPr>
            <w:t>6 Enabling/primary powers</w:t>
          </w:r>
          <w:r w:rsidRPr="00EC1E6F">
            <w:rPr>
              <w:sz w:val="24"/>
              <w:szCs w:val="24"/>
            </w:rPr>
            <w:ptab w:relativeTo="margin" w:alignment="right" w:leader="dot"/>
          </w:r>
          <w:r w:rsidR="004705BE">
            <w:rPr>
              <w:sz w:val="24"/>
              <w:szCs w:val="24"/>
            </w:rPr>
            <w:t>50</w:t>
          </w:r>
        </w:p>
        <w:p w:rsidR="00DF264A" w:rsidRPr="00EC1E6F" w:rsidRDefault="00287E31" w:rsidP="00DF264A">
          <w:pPr>
            <w:pStyle w:val="TOC1"/>
            <w:rPr>
              <w:sz w:val="24"/>
              <w:szCs w:val="24"/>
            </w:rPr>
          </w:pPr>
          <w:r>
            <w:rPr>
              <w:sz w:val="24"/>
              <w:szCs w:val="24"/>
            </w:rPr>
            <w:t>7</w:t>
          </w:r>
          <w:r w:rsidR="00DF264A" w:rsidRPr="00EC1E6F">
            <w:rPr>
              <w:sz w:val="24"/>
              <w:szCs w:val="24"/>
            </w:rPr>
            <w:t xml:space="preserve"> Methodological issues concerning regulators</w:t>
          </w:r>
          <w:r w:rsidR="00DF264A" w:rsidRPr="00EC1E6F">
            <w:rPr>
              <w:sz w:val="24"/>
              <w:szCs w:val="24"/>
            </w:rPr>
            <w:ptab w:relativeTo="margin" w:alignment="right" w:leader="dot"/>
          </w:r>
          <w:r w:rsidR="004705BE">
            <w:rPr>
              <w:sz w:val="24"/>
              <w:szCs w:val="24"/>
            </w:rPr>
            <w:t>58</w:t>
          </w:r>
        </w:p>
        <w:p w:rsidR="00DF264A" w:rsidRPr="00EC1E6F" w:rsidRDefault="00287E31" w:rsidP="00DF264A">
          <w:pPr>
            <w:pStyle w:val="TOC2"/>
            <w:ind w:left="216"/>
            <w:rPr>
              <w:sz w:val="24"/>
              <w:szCs w:val="24"/>
            </w:rPr>
          </w:pPr>
          <w:r>
            <w:rPr>
              <w:sz w:val="24"/>
              <w:szCs w:val="24"/>
            </w:rPr>
            <w:t>7</w:t>
          </w:r>
          <w:r w:rsidR="00DF264A" w:rsidRPr="00EC1E6F">
            <w:rPr>
              <w:sz w:val="24"/>
              <w:szCs w:val="24"/>
            </w:rPr>
            <w:t>.1 Changes in the costs of industry funded regulators</w:t>
          </w:r>
          <w:r w:rsidR="00DF264A" w:rsidRPr="00EC1E6F">
            <w:rPr>
              <w:sz w:val="24"/>
              <w:szCs w:val="24"/>
            </w:rPr>
            <w:ptab w:relativeTo="margin" w:alignment="right" w:leader="dot"/>
          </w:r>
          <w:r w:rsidR="004705BE">
            <w:rPr>
              <w:sz w:val="24"/>
              <w:szCs w:val="24"/>
            </w:rPr>
            <w:t>58</w:t>
          </w:r>
        </w:p>
        <w:p w:rsidR="007A0C25" w:rsidRPr="00EC1E6F" w:rsidRDefault="00287E31" w:rsidP="007A0C25">
          <w:pPr>
            <w:pStyle w:val="TOC2"/>
            <w:ind w:left="216"/>
            <w:rPr>
              <w:sz w:val="24"/>
              <w:szCs w:val="24"/>
            </w:rPr>
          </w:pPr>
          <w:r>
            <w:rPr>
              <w:sz w:val="24"/>
              <w:szCs w:val="24"/>
            </w:rPr>
            <w:t>7</w:t>
          </w:r>
          <w:r w:rsidR="007A0C25" w:rsidRPr="00EC1E6F">
            <w:rPr>
              <w:sz w:val="24"/>
              <w:szCs w:val="24"/>
            </w:rPr>
            <w:t>.2 The scoring of costs to business as a result of an independent regulator complying with the requirements of a</w:t>
          </w:r>
          <w:r>
            <w:rPr>
              <w:sz w:val="24"/>
              <w:szCs w:val="24"/>
            </w:rPr>
            <w:t>n</w:t>
          </w:r>
          <w:r w:rsidR="007A0C25" w:rsidRPr="00EC1E6F">
            <w:rPr>
              <w:sz w:val="24"/>
              <w:szCs w:val="24"/>
            </w:rPr>
            <w:t xml:space="preserve"> EU Directive or domestic regulation</w:t>
          </w:r>
          <w:r w:rsidR="007A0C25" w:rsidRPr="00EC1E6F">
            <w:rPr>
              <w:sz w:val="24"/>
              <w:szCs w:val="24"/>
            </w:rPr>
            <w:ptab w:relativeTo="margin" w:alignment="right" w:leader="dot"/>
          </w:r>
          <w:r w:rsidR="00D834F3">
            <w:rPr>
              <w:sz w:val="24"/>
              <w:szCs w:val="24"/>
            </w:rPr>
            <w:t>59</w:t>
          </w:r>
        </w:p>
        <w:p w:rsidR="007A0C25" w:rsidRPr="00EC1E6F" w:rsidRDefault="00287E31" w:rsidP="007A0C25">
          <w:pPr>
            <w:pStyle w:val="TOC2"/>
            <w:ind w:left="216"/>
            <w:rPr>
              <w:sz w:val="24"/>
              <w:szCs w:val="24"/>
            </w:rPr>
          </w:pPr>
          <w:r>
            <w:rPr>
              <w:sz w:val="24"/>
              <w:szCs w:val="24"/>
            </w:rPr>
            <w:t>7</w:t>
          </w:r>
          <w:r w:rsidR="007A0C25" w:rsidRPr="00EC1E6F">
            <w:rPr>
              <w:sz w:val="24"/>
              <w:szCs w:val="24"/>
            </w:rPr>
            <w:t>.3 Specific enforcement actions</w:t>
          </w:r>
          <w:r w:rsidR="007A0C25" w:rsidRPr="00EC1E6F">
            <w:rPr>
              <w:sz w:val="24"/>
              <w:szCs w:val="24"/>
            </w:rPr>
            <w:ptab w:relativeTo="margin" w:alignment="right" w:leader="dot"/>
          </w:r>
          <w:r w:rsidR="00D834F3">
            <w:rPr>
              <w:sz w:val="24"/>
              <w:szCs w:val="24"/>
            </w:rPr>
            <w:t>60</w:t>
          </w:r>
        </w:p>
        <w:p w:rsidR="006E1549" w:rsidRPr="00EC1E6F" w:rsidRDefault="00287E31" w:rsidP="006E1549">
          <w:pPr>
            <w:pStyle w:val="TOC1"/>
            <w:rPr>
              <w:sz w:val="24"/>
              <w:szCs w:val="24"/>
            </w:rPr>
          </w:pPr>
          <w:r>
            <w:rPr>
              <w:sz w:val="24"/>
              <w:szCs w:val="24"/>
            </w:rPr>
            <w:t>8</w:t>
          </w:r>
          <w:r w:rsidR="006E1549" w:rsidRPr="00EC1E6F">
            <w:rPr>
              <w:sz w:val="24"/>
              <w:szCs w:val="24"/>
            </w:rPr>
            <w:t xml:space="preserve"> Small and Micro Business Assessments (</w:t>
          </w:r>
          <w:proofErr w:type="spellStart"/>
          <w:r w:rsidR="006E1549" w:rsidRPr="00EC1E6F">
            <w:rPr>
              <w:sz w:val="24"/>
              <w:szCs w:val="24"/>
            </w:rPr>
            <w:t>SaMBA</w:t>
          </w:r>
          <w:proofErr w:type="spellEnd"/>
          <w:r w:rsidR="006E1549" w:rsidRPr="00EC1E6F">
            <w:rPr>
              <w:sz w:val="24"/>
              <w:szCs w:val="24"/>
            </w:rPr>
            <w:t>)</w:t>
          </w:r>
          <w:r w:rsidR="006E1549" w:rsidRPr="00EC1E6F">
            <w:rPr>
              <w:sz w:val="24"/>
              <w:szCs w:val="24"/>
            </w:rPr>
            <w:ptab w:relativeTo="margin" w:alignment="right" w:leader="dot"/>
          </w:r>
          <w:r w:rsidR="00D834F3">
            <w:rPr>
              <w:sz w:val="24"/>
              <w:szCs w:val="24"/>
            </w:rPr>
            <w:t>61</w:t>
          </w:r>
        </w:p>
        <w:p w:rsidR="006E1549" w:rsidRPr="00EC1E6F" w:rsidRDefault="00287E31" w:rsidP="006E1549">
          <w:pPr>
            <w:pStyle w:val="TOC1"/>
            <w:rPr>
              <w:sz w:val="24"/>
              <w:szCs w:val="24"/>
            </w:rPr>
          </w:pPr>
          <w:r>
            <w:rPr>
              <w:sz w:val="24"/>
              <w:szCs w:val="24"/>
            </w:rPr>
            <w:t>9</w:t>
          </w:r>
          <w:r w:rsidR="006E1549" w:rsidRPr="00EC1E6F">
            <w:rPr>
              <w:sz w:val="24"/>
              <w:szCs w:val="24"/>
            </w:rPr>
            <w:t xml:space="preserve"> Wider impacts</w:t>
          </w:r>
          <w:r w:rsidR="006E1549" w:rsidRPr="00EC1E6F">
            <w:rPr>
              <w:sz w:val="24"/>
              <w:szCs w:val="24"/>
            </w:rPr>
            <w:ptab w:relativeTo="margin" w:alignment="right" w:leader="dot"/>
          </w:r>
          <w:r w:rsidR="00D834F3">
            <w:rPr>
              <w:sz w:val="24"/>
              <w:szCs w:val="24"/>
            </w:rPr>
            <w:t>68</w:t>
          </w:r>
        </w:p>
        <w:p w:rsidR="006E1549" w:rsidRPr="00EC1E6F" w:rsidRDefault="00287E31" w:rsidP="006E1549">
          <w:pPr>
            <w:pStyle w:val="TOC2"/>
            <w:ind w:left="216"/>
            <w:rPr>
              <w:sz w:val="24"/>
              <w:szCs w:val="24"/>
            </w:rPr>
          </w:pPr>
          <w:r>
            <w:rPr>
              <w:sz w:val="24"/>
              <w:szCs w:val="24"/>
            </w:rPr>
            <w:t>9</w:t>
          </w:r>
          <w:r w:rsidR="006E1549" w:rsidRPr="00EC1E6F">
            <w:rPr>
              <w:sz w:val="24"/>
              <w:szCs w:val="24"/>
            </w:rPr>
            <w:t>.1 Assessment of impacts beyond business</w:t>
          </w:r>
          <w:r w:rsidR="006E1549" w:rsidRPr="00EC1E6F">
            <w:rPr>
              <w:sz w:val="24"/>
              <w:szCs w:val="24"/>
            </w:rPr>
            <w:ptab w:relativeTo="margin" w:alignment="right" w:leader="dot"/>
          </w:r>
          <w:r w:rsidR="00D834F3">
            <w:rPr>
              <w:sz w:val="24"/>
              <w:szCs w:val="24"/>
            </w:rPr>
            <w:t>68</w:t>
          </w:r>
        </w:p>
        <w:p w:rsidR="008E2594" w:rsidRPr="00EC1E6F" w:rsidRDefault="00287E31" w:rsidP="008A0F3D">
          <w:pPr>
            <w:pStyle w:val="TOC2"/>
            <w:ind w:left="216"/>
            <w:rPr>
              <w:sz w:val="24"/>
              <w:szCs w:val="24"/>
            </w:rPr>
          </w:pPr>
          <w:r>
            <w:rPr>
              <w:sz w:val="24"/>
              <w:szCs w:val="24"/>
            </w:rPr>
            <w:t>9</w:t>
          </w:r>
          <w:r w:rsidR="008A0F3D" w:rsidRPr="00EC1E6F">
            <w:rPr>
              <w:sz w:val="24"/>
              <w:szCs w:val="24"/>
            </w:rPr>
            <w:t>.2</w:t>
          </w:r>
          <w:r w:rsidR="006E1549" w:rsidRPr="00EC1E6F">
            <w:rPr>
              <w:sz w:val="24"/>
              <w:szCs w:val="24"/>
            </w:rPr>
            <w:t xml:space="preserve"> Valuation of wider impacts</w:t>
          </w:r>
          <w:r w:rsidR="006E1549" w:rsidRPr="00EC1E6F">
            <w:rPr>
              <w:sz w:val="24"/>
              <w:szCs w:val="24"/>
            </w:rPr>
            <w:ptab w:relativeTo="margin" w:alignment="right" w:leader="dot"/>
          </w:r>
          <w:r w:rsidR="00D834F3">
            <w:rPr>
              <w:sz w:val="24"/>
              <w:szCs w:val="24"/>
            </w:rPr>
            <w:t>70</w:t>
          </w:r>
        </w:p>
        <w:p w:rsidR="008A0F3D" w:rsidRPr="00EC1E6F" w:rsidRDefault="008A0F3D" w:rsidP="008A0F3D">
          <w:pPr>
            <w:spacing w:after="0"/>
            <w:rPr>
              <w:sz w:val="24"/>
              <w:szCs w:val="24"/>
            </w:rPr>
          </w:pPr>
        </w:p>
        <w:p w:rsidR="006E1549" w:rsidRPr="00EC1E6F" w:rsidRDefault="00F20082" w:rsidP="008A0F3D">
          <w:pPr>
            <w:spacing w:after="0"/>
            <w:rPr>
              <w:b/>
              <w:sz w:val="24"/>
              <w:szCs w:val="24"/>
              <w:u w:val="single"/>
            </w:rPr>
          </w:pPr>
          <w:r w:rsidRPr="00EC1E6F">
            <w:rPr>
              <w:b/>
              <w:sz w:val="24"/>
              <w:szCs w:val="24"/>
              <w:u w:val="single"/>
            </w:rPr>
            <w:t>Part</w:t>
          </w:r>
          <w:r w:rsidR="0012724F">
            <w:rPr>
              <w:b/>
              <w:sz w:val="24"/>
              <w:szCs w:val="24"/>
              <w:u w:val="single"/>
            </w:rPr>
            <w:t xml:space="preserve"> III: Post-implementation r</w:t>
          </w:r>
          <w:r w:rsidR="006E1549" w:rsidRPr="00EC1E6F">
            <w:rPr>
              <w:b/>
              <w:sz w:val="24"/>
              <w:szCs w:val="24"/>
              <w:u w:val="single"/>
            </w:rPr>
            <w:t>eviews</w:t>
          </w:r>
        </w:p>
        <w:p w:rsidR="008A0F3D" w:rsidRPr="00EC1E6F" w:rsidRDefault="008A0F3D" w:rsidP="008A0F3D">
          <w:pPr>
            <w:spacing w:after="0"/>
            <w:rPr>
              <w:b/>
              <w:sz w:val="24"/>
              <w:szCs w:val="24"/>
              <w:u w:val="single"/>
            </w:rPr>
          </w:pPr>
        </w:p>
        <w:p w:rsidR="008A0F3D" w:rsidRPr="00EC1E6F" w:rsidRDefault="008A0F3D" w:rsidP="008A0F3D">
          <w:pPr>
            <w:pStyle w:val="TOC1"/>
            <w:rPr>
              <w:sz w:val="24"/>
              <w:szCs w:val="24"/>
            </w:rPr>
          </w:pPr>
          <w:r w:rsidRPr="00EC1E6F">
            <w:rPr>
              <w:sz w:val="24"/>
              <w:szCs w:val="24"/>
            </w:rPr>
            <w:t>1 To what extent is existing regulation working?</w:t>
          </w:r>
          <w:r w:rsidRPr="00EC1E6F">
            <w:rPr>
              <w:sz w:val="24"/>
              <w:szCs w:val="24"/>
            </w:rPr>
            <w:ptab w:relativeTo="margin" w:alignment="right" w:leader="dot"/>
          </w:r>
          <w:r w:rsidR="00D834F3">
            <w:rPr>
              <w:sz w:val="24"/>
              <w:szCs w:val="24"/>
            </w:rPr>
            <w:t>73</w:t>
          </w:r>
        </w:p>
        <w:p w:rsidR="008A0F3D" w:rsidRPr="00EC1E6F" w:rsidRDefault="008A0F3D" w:rsidP="008A0F3D">
          <w:pPr>
            <w:pStyle w:val="TOC2"/>
            <w:ind w:left="216"/>
            <w:rPr>
              <w:sz w:val="24"/>
              <w:szCs w:val="24"/>
            </w:rPr>
          </w:pPr>
          <w:r w:rsidRPr="00EC1E6F">
            <w:rPr>
              <w:sz w:val="24"/>
              <w:szCs w:val="24"/>
            </w:rPr>
            <w:t>1.1 To what extent has the policy achieved its objectives/success criteria?</w:t>
          </w:r>
          <w:r w:rsidRPr="00EC1E6F">
            <w:rPr>
              <w:sz w:val="24"/>
              <w:szCs w:val="24"/>
            </w:rPr>
            <w:ptab w:relativeTo="margin" w:alignment="right" w:leader="dot"/>
          </w:r>
          <w:r w:rsidR="00D834F3">
            <w:rPr>
              <w:sz w:val="24"/>
              <w:szCs w:val="24"/>
            </w:rPr>
            <w:t>73</w:t>
          </w:r>
        </w:p>
        <w:p w:rsidR="008A0F3D" w:rsidRPr="00EC1E6F" w:rsidRDefault="008A0F3D" w:rsidP="008A0F3D">
          <w:pPr>
            <w:pStyle w:val="TOC2"/>
            <w:ind w:left="216"/>
            <w:rPr>
              <w:sz w:val="24"/>
              <w:szCs w:val="24"/>
            </w:rPr>
          </w:pPr>
          <w:r w:rsidRPr="00EC1E6F">
            <w:rPr>
              <w:sz w:val="24"/>
              <w:szCs w:val="24"/>
            </w:rPr>
            <w:t>1.2 What have been the costs and benefits of the policy?</w:t>
          </w:r>
          <w:r w:rsidRPr="00EC1E6F">
            <w:rPr>
              <w:sz w:val="24"/>
              <w:szCs w:val="24"/>
            </w:rPr>
            <w:ptab w:relativeTo="margin" w:alignment="right" w:leader="dot"/>
          </w:r>
          <w:r w:rsidR="00D834F3">
            <w:rPr>
              <w:sz w:val="24"/>
              <w:szCs w:val="24"/>
            </w:rPr>
            <w:t>73</w:t>
          </w:r>
        </w:p>
        <w:p w:rsidR="008A0F3D" w:rsidRPr="00EC1E6F" w:rsidRDefault="008A0F3D" w:rsidP="008A0F3D">
          <w:pPr>
            <w:pStyle w:val="TOC2"/>
            <w:ind w:left="216"/>
            <w:rPr>
              <w:sz w:val="24"/>
              <w:szCs w:val="24"/>
            </w:rPr>
          </w:pPr>
          <w:r w:rsidRPr="00EC1E6F">
            <w:rPr>
              <w:sz w:val="24"/>
              <w:szCs w:val="24"/>
            </w:rPr>
            <w:t>1.3 Have there been any unintended effects?</w:t>
          </w:r>
          <w:r w:rsidRPr="00EC1E6F">
            <w:rPr>
              <w:sz w:val="24"/>
              <w:szCs w:val="24"/>
            </w:rPr>
            <w:ptab w:relativeTo="margin" w:alignment="right" w:leader="dot"/>
          </w:r>
          <w:r w:rsidR="00D834F3">
            <w:rPr>
              <w:sz w:val="24"/>
              <w:szCs w:val="24"/>
            </w:rPr>
            <w:t>74</w:t>
          </w:r>
        </w:p>
        <w:p w:rsidR="008A0F3D" w:rsidRPr="00EC1E6F" w:rsidRDefault="00287E31" w:rsidP="008A0F3D">
          <w:pPr>
            <w:pStyle w:val="TOC2"/>
            <w:ind w:left="216"/>
            <w:rPr>
              <w:sz w:val="24"/>
              <w:szCs w:val="24"/>
            </w:rPr>
          </w:pPr>
          <w:r>
            <w:rPr>
              <w:sz w:val="24"/>
              <w:szCs w:val="24"/>
            </w:rPr>
            <w:t>1.4 Has</w:t>
          </w:r>
          <w:r w:rsidR="008A0F3D" w:rsidRPr="00EC1E6F">
            <w:rPr>
              <w:sz w:val="24"/>
              <w:szCs w:val="24"/>
            </w:rPr>
            <w:t xml:space="preserve"> the Department clearly referenced the IA assumptions?</w:t>
          </w:r>
          <w:r w:rsidR="008A0F3D" w:rsidRPr="00EC1E6F">
            <w:rPr>
              <w:sz w:val="24"/>
              <w:szCs w:val="24"/>
            </w:rPr>
            <w:ptab w:relativeTo="margin" w:alignment="right" w:leader="dot"/>
          </w:r>
          <w:r w:rsidR="00D834F3">
            <w:rPr>
              <w:sz w:val="24"/>
              <w:szCs w:val="24"/>
            </w:rPr>
            <w:t>75</w:t>
          </w:r>
        </w:p>
        <w:p w:rsidR="008A0F3D" w:rsidRPr="00EC1E6F" w:rsidRDefault="008A0F3D" w:rsidP="008A0F3D">
          <w:pPr>
            <w:pStyle w:val="TOC2"/>
            <w:ind w:left="216"/>
            <w:rPr>
              <w:sz w:val="24"/>
              <w:szCs w:val="24"/>
            </w:rPr>
          </w:pPr>
          <w:r w:rsidRPr="00EC1E6F">
            <w:rPr>
              <w:sz w:val="24"/>
              <w:szCs w:val="24"/>
            </w:rPr>
            <w:t>1.5 Has there been a disproportionate impact on small and micro businesses?</w:t>
          </w:r>
          <w:r w:rsidRPr="00EC1E6F">
            <w:rPr>
              <w:sz w:val="24"/>
              <w:szCs w:val="24"/>
            </w:rPr>
            <w:ptab w:relativeTo="margin" w:alignment="right" w:leader="dot"/>
          </w:r>
          <w:r w:rsidR="00D834F3">
            <w:rPr>
              <w:sz w:val="24"/>
              <w:szCs w:val="24"/>
            </w:rPr>
            <w:t>75</w:t>
          </w:r>
        </w:p>
        <w:p w:rsidR="008A0F3D" w:rsidRPr="00EC1E6F" w:rsidRDefault="00046255" w:rsidP="008A0F3D">
          <w:pPr>
            <w:pStyle w:val="TOC1"/>
            <w:rPr>
              <w:sz w:val="24"/>
              <w:szCs w:val="24"/>
            </w:rPr>
          </w:pPr>
          <w:r w:rsidRPr="00EC1E6F">
            <w:rPr>
              <w:sz w:val="24"/>
              <w:szCs w:val="24"/>
            </w:rPr>
            <w:t>2 Is government intervention still required</w:t>
          </w:r>
          <w:r w:rsidR="008A0F3D" w:rsidRPr="00EC1E6F">
            <w:rPr>
              <w:sz w:val="24"/>
              <w:szCs w:val="24"/>
            </w:rPr>
            <w:t>?</w:t>
          </w:r>
          <w:r w:rsidR="008A0F3D" w:rsidRPr="00EC1E6F">
            <w:rPr>
              <w:sz w:val="24"/>
              <w:szCs w:val="24"/>
            </w:rPr>
            <w:ptab w:relativeTo="margin" w:alignment="right" w:leader="dot"/>
          </w:r>
          <w:r w:rsidR="00D834F3">
            <w:rPr>
              <w:sz w:val="24"/>
              <w:szCs w:val="24"/>
            </w:rPr>
            <w:t>76</w:t>
          </w:r>
        </w:p>
        <w:p w:rsidR="00046255" w:rsidRPr="00EC1E6F" w:rsidRDefault="00046255" w:rsidP="00046255">
          <w:pPr>
            <w:pStyle w:val="TOC2"/>
            <w:ind w:left="216"/>
            <w:rPr>
              <w:sz w:val="24"/>
              <w:szCs w:val="24"/>
            </w:rPr>
          </w:pPr>
          <w:r w:rsidRPr="00EC1E6F">
            <w:rPr>
              <w:sz w:val="24"/>
              <w:szCs w:val="24"/>
            </w:rPr>
            <w:t>2.1 Are the objectives of the regulation still relevant?</w:t>
          </w:r>
          <w:r w:rsidRPr="00EC1E6F">
            <w:rPr>
              <w:sz w:val="24"/>
              <w:szCs w:val="24"/>
            </w:rPr>
            <w:ptab w:relativeTo="margin" w:alignment="right" w:leader="dot"/>
          </w:r>
          <w:r w:rsidR="00D834F3">
            <w:rPr>
              <w:sz w:val="24"/>
              <w:szCs w:val="24"/>
            </w:rPr>
            <w:t>76</w:t>
          </w:r>
        </w:p>
        <w:p w:rsidR="00046255" w:rsidRPr="00EC1E6F" w:rsidRDefault="00046255" w:rsidP="00046255">
          <w:pPr>
            <w:pStyle w:val="TOC2"/>
            <w:ind w:left="216"/>
            <w:rPr>
              <w:sz w:val="24"/>
              <w:szCs w:val="24"/>
            </w:rPr>
          </w:pPr>
          <w:r w:rsidRPr="00EC1E6F">
            <w:rPr>
              <w:sz w:val="24"/>
              <w:szCs w:val="24"/>
            </w:rPr>
            <w:t>2.2 What is the baseline against which the impacts are being assessed?</w:t>
          </w:r>
          <w:r w:rsidRPr="00EC1E6F">
            <w:rPr>
              <w:sz w:val="24"/>
              <w:szCs w:val="24"/>
            </w:rPr>
            <w:ptab w:relativeTo="margin" w:alignment="right" w:leader="dot"/>
          </w:r>
          <w:r w:rsidR="00D834F3">
            <w:rPr>
              <w:sz w:val="24"/>
              <w:szCs w:val="24"/>
            </w:rPr>
            <w:t>76</w:t>
          </w:r>
        </w:p>
        <w:p w:rsidR="00046255" w:rsidRPr="00EC1E6F" w:rsidRDefault="00046255" w:rsidP="00046255">
          <w:pPr>
            <w:pStyle w:val="TOC1"/>
            <w:rPr>
              <w:sz w:val="24"/>
              <w:szCs w:val="24"/>
            </w:rPr>
          </w:pPr>
          <w:r w:rsidRPr="00EC1E6F">
            <w:rPr>
              <w:sz w:val="24"/>
              <w:szCs w:val="24"/>
            </w:rPr>
            <w:t>3 Is the existing form of regulation still the most appropriate approach?</w:t>
          </w:r>
          <w:r w:rsidRPr="00EC1E6F">
            <w:rPr>
              <w:sz w:val="24"/>
              <w:szCs w:val="24"/>
            </w:rPr>
            <w:ptab w:relativeTo="margin" w:alignment="right" w:leader="dot"/>
          </w:r>
          <w:r w:rsidR="00D834F3">
            <w:rPr>
              <w:sz w:val="24"/>
              <w:szCs w:val="24"/>
            </w:rPr>
            <w:t>76</w:t>
          </w:r>
        </w:p>
        <w:p w:rsidR="00046255" w:rsidRPr="00EC1E6F" w:rsidRDefault="00046255" w:rsidP="00046255">
          <w:pPr>
            <w:pStyle w:val="TOC2"/>
            <w:ind w:left="216"/>
            <w:rPr>
              <w:sz w:val="24"/>
              <w:szCs w:val="24"/>
            </w:rPr>
          </w:pPr>
          <w:r w:rsidRPr="00EC1E6F">
            <w:rPr>
              <w:sz w:val="24"/>
              <w:szCs w:val="24"/>
            </w:rPr>
            <w:t>3.1 What are the likely costs and benefits going forward?</w:t>
          </w:r>
          <w:r w:rsidRPr="00EC1E6F">
            <w:rPr>
              <w:sz w:val="24"/>
              <w:szCs w:val="24"/>
            </w:rPr>
            <w:ptab w:relativeTo="margin" w:alignment="right" w:leader="dot"/>
          </w:r>
          <w:r w:rsidR="00D834F3">
            <w:rPr>
              <w:sz w:val="24"/>
              <w:szCs w:val="24"/>
            </w:rPr>
            <w:t>76</w:t>
          </w:r>
        </w:p>
        <w:p w:rsidR="00046255" w:rsidRPr="00EC1E6F" w:rsidRDefault="00046255" w:rsidP="00046255">
          <w:pPr>
            <w:pStyle w:val="TOC2"/>
            <w:ind w:left="216"/>
            <w:rPr>
              <w:sz w:val="24"/>
              <w:szCs w:val="24"/>
            </w:rPr>
          </w:pPr>
          <w:r w:rsidRPr="00EC1E6F">
            <w:rPr>
              <w:sz w:val="24"/>
              <w:szCs w:val="24"/>
            </w:rPr>
            <w:t>3.2 Does evidence from stakeholders support the current approach?</w:t>
          </w:r>
          <w:r w:rsidRPr="00EC1E6F">
            <w:rPr>
              <w:sz w:val="24"/>
              <w:szCs w:val="24"/>
            </w:rPr>
            <w:ptab w:relativeTo="margin" w:alignment="right" w:leader="dot"/>
          </w:r>
          <w:r w:rsidR="00D834F3">
            <w:rPr>
              <w:sz w:val="24"/>
              <w:szCs w:val="24"/>
            </w:rPr>
            <w:t>76</w:t>
          </w:r>
        </w:p>
        <w:p w:rsidR="00046255" w:rsidRPr="00EC1E6F" w:rsidRDefault="00046255" w:rsidP="00046255">
          <w:pPr>
            <w:pStyle w:val="TOC2"/>
            <w:ind w:left="216"/>
            <w:rPr>
              <w:sz w:val="24"/>
              <w:szCs w:val="24"/>
            </w:rPr>
          </w:pPr>
          <w:r w:rsidRPr="00EC1E6F">
            <w:rPr>
              <w:sz w:val="24"/>
              <w:szCs w:val="24"/>
            </w:rPr>
            <w:t>3.3 How effective is the implementation/enforcement mechanism for the policy?</w:t>
          </w:r>
          <w:r w:rsidRPr="00EC1E6F">
            <w:rPr>
              <w:sz w:val="24"/>
              <w:szCs w:val="24"/>
            </w:rPr>
            <w:ptab w:relativeTo="margin" w:alignment="right" w:leader="dot"/>
          </w:r>
          <w:r w:rsidR="00D834F3">
            <w:rPr>
              <w:sz w:val="24"/>
              <w:szCs w:val="24"/>
            </w:rPr>
            <w:t>77</w:t>
          </w:r>
        </w:p>
        <w:p w:rsidR="00046255" w:rsidRPr="00EC1E6F" w:rsidRDefault="00046255" w:rsidP="00046255">
          <w:pPr>
            <w:pStyle w:val="TOC2"/>
            <w:ind w:left="216"/>
            <w:rPr>
              <w:sz w:val="24"/>
              <w:szCs w:val="24"/>
            </w:rPr>
          </w:pPr>
          <w:r w:rsidRPr="00EC1E6F">
            <w:rPr>
              <w:sz w:val="24"/>
              <w:szCs w:val="24"/>
            </w:rPr>
            <w:t>3.4 To what extent would non-statutory measures or amendments help the policy meet its objectives?</w:t>
          </w:r>
          <w:r w:rsidRPr="00EC1E6F">
            <w:rPr>
              <w:sz w:val="24"/>
              <w:szCs w:val="24"/>
            </w:rPr>
            <w:ptab w:relativeTo="margin" w:alignment="right" w:leader="dot"/>
          </w:r>
          <w:r w:rsidR="00D834F3">
            <w:rPr>
              <w:sz w:val="24"/>
              <w:szCs w:val="24"/>
            </w:rPr>
            <w:t>77</w:t>
          </w:r>
        </w:p>
        <w:p w:rsidR="00046255" w:rsidRPr="00EC1E6F" w:rsidRDefault="00046255" w:rsidP="00046255">
          <w:pPr>
            <w:pStyle w:val="TOC1"/>
            <w:rPr>
              <w:sz w:val="24"/>
              <w:szCs w:val="24"/>
            </w:rPr>
          </w:pPr>
          <w:r w:rsidRPr="00EC1E6F">
            <w:rPr>
              <w:sz w:val="24"/>
              <w:szCs w:val="24"/>
            </w:rPr>
            <w:t>4 What is the most appropriate option going forward?</w:t>
          </w:r>
          <w:r w:rsidRPr="00EC1E6F">
            <w:rPr>
              <w:sz w:val="24"/>
              <w:szCs w:val="24"/>
            </w:rPr>
            <w:ptab w:relativeTo="margin" w:alignment="right" w:leader="dot"/>
          </w:r>
          <w:r w:rsidR="00D834F3">
            <w:rPr>
              <w:sz w:val="24"/>
              <w:szCs w:val="24"/>
            </w:rPr>
            <w:t>77</w:t>
          </w:r>
        </w:p>
        <w:p w:rsidR="008A0F3D" w:rsidRPr="00EC1E6F" w:rsidRDefault="008A0F3D" w:rsidP="008A0F3D">
          <w:pPr>
            <w:rPr>
              <w:sz w:val="24"/>
              <w:szCs w:val="24"/>
            </w:rPr>
          </w:pPr>
        </w:p>
        <w:p w:rsidR="008A0F3D" w:rsidRPr="008A0F3D" w:rsidRDefault="008A0F3D" w:rsidP="008A0F3D"/>
        <w:p w:rsidR="004B7E6F" w:rsidRDefault="004F2E23" w:rsidP="00E31093">
          <w:pPr>
            <w:pStyle w:val="TOC3"/>
            <w:tabs>
              <w:tab w:val="left" w:pos="2240"/>
            </w:tabs>
            <w:ind w:left="446"/>
          </w:pPr>
        </w:p>
      </w:sdtContent>
    </w:sdt>
    <w:p w:rsidR="00746CC1" w:rsidRDefault="00746CC1"/>
    <w:p w:rsidR="00746CC1" w:rsidRDefault="00746CC1"/>
    <w:p w:rsidR="00746CC1" w:rsidRDefault="00746CC1"/>
    <w:p w:rsidR="00E2498D" w:rsidRDefault="00E2498D">
      <w:pPr>
        <w:rPr>
          <w:b/>
          <w:color w:val="E36C0A" w:themeColor="accent6" w:themeShade="BF"/>
          <w:sz w:val="44"/>
          <w:szCs w:val="44"/>
        </w:rPr>
        <w:sectPr w:rsidR="00E2498D" w:rsidSect="00085949">
          <w:headerReference w:type="default" r:id="rId11"/>
          <w:footerReference w:type="default" r:id="rId12"/>
          <w:pgSz w:w="11906" w:h="16838"/>
          <w:pgMar w:top="1440" w:right="1440" w:bottom="1440" w:left="1440" w:header="708" w:footer="708" w:gutter="0"/>
          <w:cols w:space="708"/>
          <w:titlePg/>
          <w:docGrid w:linePitch="360"/>
        </w:sectPr>
      </w:pPr>
    </w:p>
    <w:p w:rsidR="00153DD1" w:rsidRDefault="00153DD1" w:rsidP="00153DD1">
      <w:pPr>
        <w:rPr>
          <w:b/>
          <w:color w:val="E36C0A" w:themeColor="accent6" w:themeShade="BF"/>
          <w:sz w:val="44"/>
          <w:szCs w:val="44"/>
        </w:rPr>
      </w:pPr>
      <w:r>
        <w:rPr>
          <w:b/>
          <w:color w:val="E36C0A" w:themeColor="accent6" w:themeShade="BF"/>
          <w:sz w:val="44"/>
          <w:szCs w:val="44"/>
        </w:rPr>
        <w:lastRenderedPageBreak/>
        <w:t>Foreword</w:t>
      </w:r>
    </w:p>
    <w:p w:rsidR="00153DD1" w:rsidRPr="00C207DB" w:rsidRDefault="00153DD1" w:rsidP="00153DD1">
      <w:pPr>
        <w:rPr>
          <w:sz w:val="24"/>
          <w:szCs w:val="24"/>
        </w:rPr>
      </w:pPr>
      <w:r w:rsidRPr="00C207DB">
        <w:rPr>
          <w:sz w:val="24"/>
          <w:szCs w:val="24"/>
        </w:rPr>
        <w:t>During the last parliament, the Regulatory Policy Committee (RPC) scrutinised over 1,200 impact assessments (IAs) supporting regulatory proposals and issued over 2,000 opinions.  During the first reporting year of the business impact target (BIT), May 2015 to May 2016, 149 different regulatory provisions c</w:t>
      </w:r>
      <w:r>
        <w:rPr>
          <w:sz w:val="24"/>
          <w:szCs w:val="24"/>
        </w:rPr>
        <w:t>a</w:t>
      </w:r>
      <w:r w:rsidRPr="00C207DB">
        <w:rPr>
          <w:sz w:val="24"/>
          <w:szCs w:val="24"/>
        </w:rPr>
        <w:t>me into force</w:t>
      </w:r>
      <w:r>
        <w:rPr>
          <w:sz w:val="24"/>
          <w:szCs w:val="24"/>
        </w:rPr>
        <w:t>,</w:t>
      </w:r>
      <w:r w:rsidRPr="00C207DB">
        <w:rPr>
          <w:sz w:val="24"/>
          <w:szCs w:val="24"/>
        </w:rPr>
        <w:t xml:space="preserve"> with the RPC validating the impacts of 129 of these.</w:t>
      </w:r>
    </w:p>
    <w:p w:rsidR="00153DD1" w:rsidRPr="00C207DB" w:rsidRDefault="00153DD1" w:rsidP="00153DD1">
      <w:pPr>
        <w:rPr>
          <w:sz w:val="24"/>
          <w:szCs w:val="24"/>
        </w:rPr>
      </w:pPr>
      <w:r w:rsidRPr="00C207DB">
        <w:rPr>
          <w:sz w:val="24"/>
          <w:szCs w:val="24"/>
        </w:rPr>
        <w:t>Given the breadth of policy interventions cover</w:t>
      </w:r>
      <w:r>
        <w:rPr>
          <w:sz w:val="24"/>
          <w:szCs w:val="24"/>
        </w:rPr>
        <w:t>ed by the Better Regulation Framework</w:t>
      </w:r>
      <w:r w:rsidRPr="00C207DB">
        <w:rPr>
          <w:sz w:val="24"/>
          <w:szCs w:val="24"/>
        </w:rPr>
        <w:t xml:space="preserve">, we recognise that applying </w:t>
      </w:r>
      <w:r>
        <w:rPr>
          <w:sz w:val="24"/>
          <w:szCs w:val="24"/>
        </w:rPr>
        <w:t>its</w:t>
      </w:r>
      <w:r w:rsidRPr="00C207DB">
        <w:rPr>
          <w:sz w:val="24"/>
          <w:szCs w:val="24"/>
        </w:rPr>
        <w:t xml:space="preserve"> rules can be challenging for policy teams and analysts.  </w:t>
      </w:r>
      <w:r>
        <w:rPr>
          <w:sz w:val="24"/>
          <w:szCs w:val="24"/>
        </w:rPr>
        <w:t>This</w:t>
      </w:r>
      <w:r w:rsidRPr="00C207DB">
        <w:rPr>
          <w:sz w:val="24"/>
          <w:szCs w:val="24"/>
        </w:rPr>
        <w:t xml:space="preserve"> </w:t>
      </w:r>
      <w:r>
        <w:rPr>
          <w:sz w:val="24"/>
          <w:szCs w:val="24"/>
        </w:rPr>
        <w:t>‘</w:t>
      </w:r>
      <w:r w:rsidRPr="00C207DB">
        <w:rPr>
          <w:sz w:val="24"/>
          <w:szCs w:val="24"/>
        </w:rPr>
        <w:t>case histories</w:t>
      </w:r>
      <w:r>
        <w:rPr>
          <w:sz w:val="24"/>
          <w:szCs w:val="24"/>
        </w:rPr>
        <w:t>’</w:t>
      </w:r>
      <w:r w:rsidRPr="00C207DB">
        <w:rPr>
          <w:sz w:val="24"/>
          <w:szCs w:val="24"/>
        </w:rPr>
        <w:t xml:space="preserve"> document sets out, using pra</w:t>
      </w:r>
      <w:r w:rsidR="00D625E0">
        <w:rPr>
          <w:sz w:val="24"/>
          <w:szCs w:val="24"/>
        </w:rPr>
        <w:t>ctical examples drawn from RPC o</w:t>
      </w:r>
      <w:r w:rsidRPr="00C207DB">
        <w:rPr>
          <w:sz w:val="24"/>
          <w:szCs w:val="24"/>
        </w:rPr>
        <w:t xml:space="preserve">pinions, how </w:t>
      </w:r>
      <w:r>
        <w:rPr>
          <w:sz w:val="24"/>
          <w:szCs w:val="24"/>
        </w:rPr>
        <w:t xml:space="preserve">the </w:t>
      </w:r>
      <w:r w:rsidRPr="00C207DB">
        <w:rPr>
          <w:sz w:val="24"/>
          <w:szCs w:val="24"/>
        </w:rPr>
        <w:t xml:space="preserve">RPC applies the better regulation </w:t>
      </w:r>
      <w:r>
        <w:rPr>
          <w:sz w:val="24"/>
          <w:szCs w:val="24"/>
        </w:rPr>
        <w:t xml:space="preserve">framework </w:t>
      </w:r>
      <w:r w:rsidRPr="00C207DB">
        <w:rPr>
          <w:sz w:val="24"/>
          <w:szCs w:val="24"/>
        </w:rPr>
        <w:t xml:space="preserve">rules and principles.  It also sets out the RPC’s approach to the level of analysis that it expects to see presented in impact assessments, and </w:t>
      </w:r>
      <w:r>
        <w:rPr>
          <w:sz w:val="24"/>
          <w:szCs w:val="24"/>
        </w:rPr>
        <w:t>covers</w:t>
      </w:r>
      <w:r w:rsidRPr="00C207DB">
        <w:rPr>
          <w:sz w:val="24"/>
          <w:szCs w:val="24"/>
        </w:rPr>
        <w:t xml:space="preserve"> specific</w:t>
      </w:r>
      <w:r>
        <w:rPr>
          <w:sz w:val="24"/>
          <w:szCs w:val="24"/>
        </w:rPr>
        <w:t xml:space="preserve"> technical</w:t>
      </w:r>
      <w:r w:rsidRPr="00C207DB">
        <w:rPr>
          <w:sz w:val="24"/>
          <w:szCs w:val="24"/>
        </w:rPr>
        <w:t xml:space="preserve"> issues</w:t>
      </w:r>
      <w:r>
        <w:rPr>
          <w:sz w:val="24"/>
          <w:szCs w:val="24"/>
        </w:rPr>
        <w:t>,</w:t>
      </w:r>
      <w:r w:rsidRPr="00C207DB">
        <w:rPr>
          <w:sz w:val="24"/>
          <w:szCs w:val="24"/>
        </w:rPr>
        <w:t xml:space="preserve"> </w:t>
      </w:r>
      <w:r>
        <w:rPr>
          <w:sz w:val="24"/>
          <w:szCs w:val="24"/>
        </w:rPr>
        <w:t>such as the criteria against which to assess whether</w:t>
      </w:r>
      <w:r w:rsidRPr="00C207DB">
        <w:rPr>
          <w:sz w:val="24"/>
          <w:szCs w:val="24"/>
        </w:rPr>
        <w:t xml:space="preserve"> impacts a</w:t>
      </w:r>
      <w:r>
        <w:rPr>
          <w:sz w:val="24"/>
          <w:szCs w:val="24"/>
        </w:rPr>
        <w:t>re</w:t>
      </w:r>
      <w:r w:rsidRPr="00C207DB">
        <w:rPr>
          <w:sz w:val="24"/>
          <w:szCs w:val="24"/>
        </w:rPr>
        <w:t xml:space="preserve"> direct or indirect. </w:t>
      </w:r>
    </w:p>
    <w:p w:rsidR="00153DD1" w:rsidRDefault="00153DD1" w:rsidP="00153DD1">
      <w:pPr>
        <w:rPr>
          <w:sz w:val="24"/>
          <w:szCs w:val="24"/>
        </w:rPr>
      </w:pPr>
      <w:r>
        <w:rPr>
          <w:sz w:val="24"/>
          <w:szCs w:val="24"/>
        </w:rPr>
        <w:t>In this new version</w:t>
      </w:r>
      <w:r w:rsidRPr="00C207DB">
        <w:rPr>
          <w:sz w:val="24"/>
          <w:szCs w:val="24"/>
        </w:rPr>
        <w:t xml:space="preserve"> of RPC </w:t>
      </w:r>
      <w:r>
        <w:rPr>
          <w:sz w:val="24"/>
          <w:szCs w:val="24"/>
        </w:rPr>
        <w:t>case histories, we have sought to incorporate key methodological issues that have arisen recently, whilst also including some long standing case studies wher</w:t>
      </w:r>
      <w:r w:rsidR="00D625E0">
        <w:rPr>
          <w:sz w:val="24"/>
          <w:szCs w:val="24"/>
        </w:rPr>
        <w:t>e we believe that the issue is still</w:t>
      </w:r>
      <w:r>
        <w:rPr>
          <w:sz w:val="24"/>
          <w:szCs w:val="24"/>
        </w:rPr>
        <w:t xml:space="preserve"> relevant under the BIT</w:t>
      </w:r>
      <w:r w:rsidRPr="00C207DB">
        <w:rPr>
          <w:sz w:val="24"/>
          <w:szCs w:val="24"/>
        </w:rPr>
        <w:t xml:space="preserve">. </w:t>
      </w:r>
      <w:r>
        <w:rPr>
          <w:sz w:val="24"/>
          <w:szCs w:val="24"/>
        </w:rPr>
        <w:t>With the BIT still being relatively new, there are inevitably some areas where we do not yet have case studies. We will look to fill these in over time. I</w:t>
      </w:r>
      <w:r w:rsidRPr="00C207DB">
        <w:rPr>
          <w:sz w:val="24"/>
          <w:szCs w:val="24"/>
        </w:rPr>
        <w:t xml:space="preserve">t is intended that </w:t>
      </w:r>
      <w:r>
        <w:rPr>
          <w:sz w:val="24"/>
          <w:szCs w:val="24"/>
        </w:rPr>
        <w:t>case histories will be</w:t>
      </w:r>
      <w:r w:rsidRPr="00C207DB">
        <w:rPr>
          <w:sz w:val="24"/>
          <w:szCs w:val="24"/>
        </w:rPr>
        <w:t xml:space="preserve"> updated regularly to ensure </w:t>
      </w:r>
      <w:r>
        <w:rPr>
          <w:sz w:val="24"/>
          <w:szCs w:val="24"/>
        </w:rPr>
        <w:t xml:space="preserve">that </w:t>
      </w:r>
      <w:r w:rsidRPr="00C207DB">
        <w:rPr>
          <w:sz w:val="24"/>
          <w:szCs w:val="24"/>
        </w:rPr>
        <w:t xml:space="preserve">it reflects new issues or complexities </w:t>
      </w:r>
      <w:r>
        <w:rPr>
          <w:sz w:val="24"/>
          <w:szCs w:val="24"/>
        </w:rPr>
        <w:t xml:space="preserve">soon after </w:t>
      </w:r>
      <w:r w:rsidRPr="00C207DB">
        <w:rPr>
          <w:sz w:val="24"/>
          <w:szCs w:val="24"/>
        </w:rPr>
        <w:t>th</w:t>
      </w:r>
      <w:r>
        <w:rPr>
          <w:sz w:val="24"/>
          <w:szCs w:val="24"/>
        </w:rPr>
        <w:t>ey</w:t>
      </w:r>
      <w:r w:rsidRPr="00C207DB">
        <w:rPr>
          <w:sz w:val="24"/>
          <w:szCs w:val="24"/>
        </w:rPr>
        <w:t xml:space="preserve"> arise.</w:t>
      </w:r>
    </w:p>
    <w:p w:rsidR="00153DD1" w:rsidRPr="00C207DB" w:rsidRDefault="00153DD1" w:rsidP="00153DD1">
      <w:pPr>
        <w:rPr>
          <w:sz w:val="24"/>
          <w:szCs w:val="24"/>
        </w:rPr>
      </w:pPr>
      <w:r w:rsidRPr="00C207DB">
        <w:rPr>
          <w:sz w:val="24"/>
          <w:szCs w:val="24"/>
        </w:rPr>
        <w:t xml:space="preserve">We </w:t>
      </w:r>
      <w:r>
        <w:rPr>
          <w:sz w:val="24"/>
          <w:szCs w:val="24"/>
        </w:rPr>
        <w:t>hope we have</w:t>
      </w:r>
      <w:r w:rsidRPr="00C207DB">
        <w:rPr>
          <w:sz w:val="24"/>
          <w:szCs w:val="24"/>
        </w:rPr>
        <w:t xml:space="preserve"> </w:t>
      </w:r>
      <w:r>
        <w:rPr>
          <w:sz w:val="24"/>
          <w:szCs w:val="24"/>
        </w:rPr>
        <w:t>captured many of the issues relevant for departments and where they have sought further clarity on</w:t>
      </w:r>
      <w:r w:rsidRPr="00C207DB">
        <w:rPr>
          <w:sz w:val="24"/>
          <w:szCs w:val="24"/>
        </w:rPr>
        <w:t xml:space="preserve"> how </w:t>
      </w:r>
      <w:r w:rsidR="00D625E0">
        <w:rPr>
          <w:sz w:val="24"/>
          <w:szCs w:val="24"/>
        </w:rPr>
        <w:t xml:space="preserve">the </w:t>
      </w:r>
      <w:r w:rsidRPr="00C207DB">
        <w:rPr>
          <w:sz w:val="24"/>
          <w:szCs w:val="24"/>
        </w:rPr>
        <w:t xml:space="preserve">RPC applies the </w:t>
      </w:r>
      <w:r>
        <w:rPr>
          <w:sz w:val="24"/>
          <w:szCs w:val="24"/>
        </w:rPr>
        <w:t>framework</w:t>
      </w:r>
      <w:r w:rsidRPr="00C207DB">
        <w:rPr>
          <w:sz w:val="24"/>
          <w:szCs w:val="24"/>
        </w:rPr>
        <w:t xml:space="preserve"> rules. If you have comments or suggestions </w:t>
      </w:r>
      <w:r>
        <w:rPr>
          <w:sz w:val="24"/>
          <w:szCs w:val="24"/>
        </w:rPr>
        <w:t xml:space="preserve">on </w:t>
      </w:r>
      <w:r w:rsidRPr="00C207DB">
        <w:rPr>
          <w:sz w:val="24"/>
          <w:szCs w:val="24"/>
        </w:rPr>
        <w:t>how to improve the document further</w:t>
      </w:r>
      <w:r>
        <w:rPr>
          <w:sz w:val="24"/>
          <w:szCs w:val="24"/>
        </w:rPr>
        <w:t>, p</w:t>
      </w:r>
      <w:r w:rsidRPr="00C207DB">
        <w:rPr>
          <w:sz w:val="24"/>
          <w:szCs w:val="24"/>
        </w:rPr>
        <w:t>lease contact us</w:t>
      </w:r>
      <w:r>
        <w:rPr>
          <w:sz w:val="24"/>
          <w:szCs w:val="24"/>
        </w:rPr>
        <w:t xml:space="preserve"> at </w:t>
      </w:r>
      <w:hyperlink r:id="rId13" w:history="1">
        <w:r w:rsidRPr="00C207DB">
          <w:rPr>
            <w:rStyle w:val="Hyperlink"/>
            <w:sz w:val="24"/>
            <w:szCs w:val="24"/>
          </w:rPr>
          <w:t>regulatoryenquiries@rpc.gsi.gov.uk</w:t>
        </w:r>
      </w:hyperlink>
    </w:p>
    <w:p w:rsidR="00153DD1" w:rsidRDefault="00153DD1" w:rsidP="00153DD1"/>
    <w:p w:rsidR="00153DD1" w:rsidRPr="003537BE" w:rsidRDefault="00153DD1" w:rsidP="00153DD1">
      <w:pPr>
        <w:spacing w:after="0" w:line="240" w:lineRule="auto"/>
        <w:rPr>
          <w:rFonts w:ascii="Times New Roman" w:eastAsia="Times New Roman" w:hAnsi="Times New Roman" w:cs="Times New Roman"/>
          <w:sz w:val="28"/>
          <w:szCs w:val="28"/>
          <w:lang w:eastAsia="en-GB"/>
        </w:rPr>
      </w:pPr>
    </w:p>
    <w:p w:rsidR="00153DD1" w:rsidRPr="00EC1B78" w:rsidRDefault="00153DD1" w:rsidP="00153DD1">
      <w:pPr>
        <w:rPr>
          <w:b/>
          <w:color w:val="E36C0A" w:themeColor="accent6" w:themeShade="BF"/>
          <w:sz w:val="44"/>
          <w:szCs w:val="44"/>
        </w:rPr>
      </w:pPr>
    </w:p>
    <w:p w:rsidR="00153DD1" w:rsidRDefault="00153DD1" w:rsidP="00153DD1">
      <w:pPr>
        <w:rPr>
          <w:b/>
          <w:color w:val="E36C0A" w:themeColor="accent6" w:themeShade="BF"/>
          <w:sz w:val="32"/>
        </w:rPr>
      </w:pPr>
      <w:r>
        <w:rPr>
          <w:b/>
          <w:color w:val="E36C0A" w:themeColor="accent6" w:themeShade="BF"/>
          <w:sz w:val="32"/>
        </w:rPr>
        <w:br w:type="page"/>
      </w:r>
    </w:p>
    <w:p w:rsidR="00153DD1" w:rsidRPr="00D92A4C" w:rsidRDefault="00153DD1" w:rsidP="00153DD1">
      <w:pPr>
        <w:spacing w:after="0"/>
        <w:rPr>
          <w:rFonts w:eastAsia="Times New Roman" w:cstheme="minorHAnsi"/>
          <w:sz w:val="24"/>
          <w:szCs w:val="24"/>
          <w:lang w:eastAsia="en-GB"/>
        </w:rPr>
      </w:pPr>
      <w:r w:rsidRPr="00D92A4C">
        <w:rPr>
          <w:rFonts w:eastAsia="Times New Roman" w:cstheme="minorHAnsi"/>
          <w:sz w:val="24"/>
          <w:szCs w:val="24"/>
          <w:lang w:eastAsia="en-GB"/>
        </w:rPr>
        <w:lastRenderedPageBreak/>
        <w:t>The document is structured as follows:</w:t>
      </w:r>
    </w:p>
    <w:p w:rsidR="00153DD1" w:rsidRPr="00D92A4C" w:rsidRDefault="00153DD1" w:rsidP="00153DD1">
      <w:pPr>
        <w:spacing w:after="0"/>
        <w:rPr>
          <w:rFonts w:eastAsia="Times New Roman" w:cstheme="minorHAnsi"/>
          <w:b/>
          <w:sz w:val="24"/>
          <w:szCs w:val="24"/>
          <w:lang w:eastAsia="en-GB"/>
        </w:rPr>
      </w:pPr>
    </w:p>
    <w:p w:rsidR="00153DD1" w:rsidRDefault="00153DD1" w:rsidP="00153DD1">
      <w:pPr>
        <w:spacing w:after="0"/>
        <w:rPr>
          <w:rFonts w:eastAsia="Times New Roman" w:cstheme="minorHAnsi"/>
          <w:sz w:val="24"/>
          <w:szCs w:val="24"/>
          <w:lang w:eastAsia="en-GB"/>
        </w:rPr>
      </w:pPr>
      <w:r>
        <w:rPr>
          <w:rFonts w:eastAsia="Times New Roman" w:cstheme="minorHAnsi"/>
          <w:b/>
          <w:sz w:val="24"/>
          <w:szCs w:val="24"/>
          <w:lang w:eastAsia="en-GB"/>
        </w:rPr>
        <w:t>Part I: Introduction.</w:t>
      </w:r>
      <w:r w:rsidRPr="00D92A4C">
        <w:rPr>
          <w:rFonts w:eastAsia="Times New Roman" w:cstheme="minorHAnsi"/>
          <w:sz w:val="24"/>
          <w:szCs w:val="24"/>
          <w:lang w:eastAsia="en-GB"/>
        </w:rPr>
        <w:t xml:space="preserve"> </w:t>
      </w:r>
      <w:r>
        <w:rPr>
          <w:rFonts w:eastAsia="Times New Roman" w:cstheme="minorHAnsi"/>
          <w:sz w:val="24"/>
          <w:szCs w:val="24"/>
          <w:lang w:eastAsia="en-GB"/>
        </w:rPr>
        <w:t xml:space="preserve">This </w:t>
      </w:r>
      <w:r w:rsidRPr="00D92A4C">
        <w:rPr>
          <w:rFonts w:eastAsia="Times New Roman" w:cstheme="minorHAnsi"/>
          <w:sz w:val="24"/>
          <w:szCs w:val="24"/>
          <w:lang w:eastAsia="en-GB"/>
        </w:rPr>
        <w:t xml:space="preserve">sets out some background information, the aim of the document, </w:t>
      </w:r>
      <w:proofErr w:type="gramStart"/>
      <w:r w:rsidRPr="00D92A4C">
        <w:rPr>
          <w:rFonts w:eastAsia="Times New Roman" w:cstheme="minorHAnsi"/>
          <w:sz w:val="24"/>
          <w:szCs w:val="24"/>
          <w:lang w:eastAsia="en-GB"/>
        </w:rPr>
        <w:t>advice</w:t>
      </w:r>
      <w:proofErr w:type="gramEnd"/>
      <w:r w:rsidRPr="00D92A4C">
        <w:rPr>
          <w:rFonts w:eastAsia="Times New Roman" w:cstheme="minorHAnsi"/>
          <w:sz w:val="24"/>
          <w:szCs w:val="24"/>
          <w:lang w:eastAsia="en-GB"/>
        </w:rPr>
        <w:t xml:space="preserve"> on how to use it and how </w:t>
      </w:r>
      <w:r>
        <w:rPr>
          <w:rFonts w:eastAsia="Times New Roman" w:cstheme="minorHAnsi"/>
          <w:sz w:val="24"/>
          <w:szCs w:val="24"/>
          <w:lang w:eastAsia="en-GB"/>
        </w:rPr>
        <w:t xml:space="preserve">the </w:t>
      </w:r>
      <w:r w:rsidRPr="00D92A4C">
        <w:rPr>
          <w:rFonts w:eastAsia="Times New Roman" w:cstheme="minorHAnsi"/>
          <w:sz w:val="24"/>
          <w:szCs w:val="24"/>
          <w:lang w:eastAsia="en-GB"/>
        </w:rPr>
        <w:t xml:space="preserve">RPC </w:t>
      </w:r>
      <w:r>
        <w:rPr>
          <w:rFonts w:eastAsia="Times New Roman" w:cstheme="minorHAnsi"/>
          <w:sz w:val="24"/>
          <w:szCs w:val="24"/>
          <w:lang w:eastAsia="en-GB"/>
        </w:rPr>
        <w:t xml:space="preserve">applies </w:t>
      </w:r>
      <w:hyperlink r:id="rId14" w:history="1">
        <w:r w:rsidRPr="00D92A4C">
          <w:rPr>
            <w:rStyle w:val="Hyperlink"/>
            <w:rFonts w:eastAsia="Times New Roman" w:cstheme="minorHAnsi"/>
            <w:sz w:val="24"/>
            <w:szCs w:val="24"/>
            <w:lang w:eastAsia="en-GB"/>
          </w:rPr>
          <w:t>recommendations</w:t>
        </w:r>
      </w:hyperlink>
      <w:r w:rsidRPr="00D92A4C">
        <w:rPr>
          <w:rFonts w:eastAsia="Times New Roman" w:cstheme="minorHAnsi"/>
          <w:sz w:val="24"/>
          <w:szCs w:val="24"/>
          <w:lang w:eastAsia="en-GB"/>
        </w:rPr>
        <w:t xml:space="preserve"> when scrutinising evidence presented in impact assessments.</w:t>
      </w:r>
    </w:p>
    <w:p w:rsidR="00153DD1" w:rsidRDefault="00153DD1" w:rsidP="00153DD1">
      <w:pPr>
        <w:spacing w:after="0"/>
        <w:rPr>
          <w:rFonts w:eastAsia="Times New Roman" w:cstheme="minorHAnsi"/>
          <w:sz w:val="24"/>
          <w:szCs w:val="24"/>
          <w:lang w:eastAsia="en-GB"/>
        </w:rPr>
      </w:pPr>
    </w:p>
    <w:p w:rsidR="00153DD1" w:rsidRPr="000F1A09" w:rsidRDefault="00153DD1" w:rsidP="00153DD1">
      <w:pPr>
        <w:spacing w:after="0"/>
        <w:rPr>
          <w:b/>
          <w:sz w:val="24"/>
          <w:szCs w:val="24"/>
        </w:rPr>
      </w:pPr>
      <w:r w:rsidRPr="000F1A09">
        <w:rPr>
          <w:b/>
          <w:sz w:val="24"/>
          <w:szCs w:val="24"/>
        </w:rPr>
        <w:t>Part II: Impact Assessment Evidence Base</w:t>
      </w:r>
      <w:r>
        <w:rPr>
          <w:b/>
          <w:sz w:val="24"/>
          <w:szCs w:val="24"/>
        </w:rPr>
        <w:t xml:space="preserve">. </w:t>
      </w:r>
      <w:r w:rsidRPr="000F1A09">
        <w:rPr>
          <w:sz w:val="24"/>
          <w:szCs w:val="24"/>
        </w:rPr>
        <w:t xml:space="preserve">This is the main part of the document </w:t>
      </w:r>
      <w:r>
        <w:rPr>
          <w:sz w:val="24"/>
          <w:szCs w:val="24"/>
        </w:rPr>
        <w:t xml:space="preserve">and </w:t>
      </w:r>
      <w:r w:rsidRPr="00D92A4C">
        <w:rPr>
          <w:rFonts w:eastAsia="Times New Roman" w:cstheme="minorHAnsi"/>
          <w:sz w:val="24"/>
          <w:szCs w:val="24"/>
          <w:lang w:eastAsia="en-GB"/>
        </w:rPr>
        <w:t>relates to specific issues of better regulation methodology underpinning the B</w:t>
      </w:r>
      <w:r>
        <w:rPr>
          <w:rFonts w:eastAsia="Times New Roman" w:cstheme="minorHAnsi"/>
          <w:sz w:val="24"/>
          <w:szCs w:val="24"/>
          <w:lang w:eastAsia="en-GB"/>
        </w:rPr>
        <w:t xml:space="preserve">IT. </w:t>
      </w:r>
      <w:r w:rsidRPr="000F1A09">
        <w:rPr>
          <w:sz w:val="24"/>
          <w:szCs w:val="24"/>
        </w:rPr>
        <w:t xml:space="preserve"> </w:t>
      </w:r>
      <w:r w:rsidRPr="00D92A4C">
        <w:rPr>
          <w:rFonts w:eastAsia="Times New Roman" w:cstheme="minorHAnsi"/>
          <w:sz w:val="24"/>
          <w:szCs w:val="24"/>
          <w:lang w:eastAsia="en-GB"/>
        </w:rPr>
        <w:t xml:space="preserve">It sets out examples that help clarify </w:t>
      </w:r>
      <w:r>
        <w:rPr>
          <w:rFonts w:eastAsia="Times New Roman" w:cstheme="minorHAnsi"/>
          <w:sz w:val="24"/>
          <w:szCs w:val="24"/>
          <w:lang w:eastAsia="en-GB"/>
        </w:rPr>
        <w:t xml:space="preserve">how the RPC applies </w:t>
      </w:r>
      <w:r w:rsidRPr="00D92A4C">
        <w:rPr>
          <w:rFonts w:eastAsia="Times New Roman" w:cstheme="minorHAnsi"/>
          <w:sz w:val="24"/>
          <w:szCs w:val="24"/>
          <w:lang w:eastAsia="en-GB"/>
        </w:rPr>
        <w:t xml:space="preserve">the rules in the </w:t>
      </w:r>
      <w:r w:rsidR="00EB6EFC">
        <w:rPr>
          <w:rFonts w:eastAsia="Times New Roman" w:cstheme="minorHAnsi"/>
          <w:sz w:val="24"/>
          <w:szCs w:val="24"/>
          <w:lang w:eastAsia="en-GB"/>
        </w:rPr>
        <w:t>Better Regulation Framework Manual (</w:t>
      </w:r>
      <w:r w:rsidRPr="00D92A4C">
        <w:rPr>
          <w:rFonts w:eastAsia="Times New Roman" w:cstheme="minorHAnsi"/>
          <w:sz w:val="24"/>
          <w:szCs w:val="24"/>
          <w:lang w:eastAsia="en-GB"/>
        </w:rPr>
        <w:t>BRFM</w:t>
      </w:r>
      <w:r w:rsidR="00EB6EFC">
        <w:rPr>
          <w:rFonts w:eastAsia="Times New Roman" w:cstheme="minorHAnsi"/>
          <w:sz w:val="24"/>
          <w:szCs w:val="24"/>
          <w:lang w:eastAsia="en-GB"/>
        </w:rPr>
        <w:t>)</w:t>
      </w:r>
      <w:r w:rsidRPr="00D92A4C">
        <w:rPr>
          <w:rFonts w:eastAsia="Times New Roman" w:cstheme="minorHAnsi"/>
          <w:sz w:val="24"/>
          <w:szCs w:val="24"/>
          <w:lang w:eastAsia="en-GB"/>
        </w:rPr>
        <w:t xml:space="preserve">. </w:t>
      </w:r>
      <w:r>
        <w:rPr>
          <w:rFonts w:eastAsia="Times New Roman" w:cstheme="minorHAnsi"/>
          <w:sz w:val="24"/>
          <w:szCs w:val="24"/>
          <w:lang w:eastAsia="en-GB"/>
        </w:rPr>
        <w:t xml:space="preserve">It is structured in the </w:t>
      </w:r>
      <w:r>
        <w:rPr>
          <w:sz w:val="24"/>
          <w:szCs w:val="24"/>
        </w:rPr>
        <w:t>following way:</w:t>
      </w:r>
    </w:p>
    <w:p w:rsidR="00153DD1" w:rsidRPr="006315DA" w:rsidRDefault="00153DD1" w:rsidP="00CE5B54">
      <w:pPr>
        <w:pStyle w:val="ListParagraph"/>
        <w:numPr>
          <w:ilvl w:val="0"/>
          <w:numId w:val="33"/>
        </w:numPr>
        <w:spacing w:line="240" w:lineRule="auto"/>
        <w:rPr>
          <w:sz w:val="24"/>
          <w:szCs w:val="24"/>
        </w:rPr>
      </w:pPr>
      <w:r w:rsidRPr="006315DA">
        <w:rPr>
          <w:color w:val="000000" w:themeColor="text1"/>
          <w:sz w:val="24"/>
          <w:szCs w:val="24"/>
        </w:rPr>
        <w:t>Problem under consideration</w:t>
      </w:r>
    </w:p>
    <w:p w:rsidR="00153DD1" w:rsidRDefault="00153DD1" w:rsidP="00CE5B54">
      <w:pPr>
        <w:pStyle w:val="ListParagraph"/>
        <w:numPr>
          <w:ilvl w:val="0"/>
          <w:numId w:val="33"/>
        </w:numPr>
        <w:spacing w:line="240" w:lineRule="auto"/>
        <w:rPr>
          <w:sz w:val="24"/>
          <w:szCs w:val="24"/>
        </w:rPr>
      </w:pPr>
      <w:r w:rsidRPr="006315DA">
        <w:rPr>
          <w:sz w:val="24"/>
          <w:szCs w:val="24"/>
        </w:rPr>
        <w:t>Options</w:t>
      </w:r>
    </w:p>
    <w:p w:rsidR="00153DD1" w:rsidRDefault="00153DD1" w:rsidP="00CE5B54">
      <w:pPr>
        <w:pStyle w:val="ListParagraph"/>
        <w:numPr>
          <w:ilvl w:val="0"/>
          <w:numId w:val="33"/>
        </w:numPr>
        <w:spacing w:line="240" w:lineRule="auto"/>
        <w:rPr>
          <w:sz w:val="24"/>
          <w:szCs w:val="24"/>
        </w:rPr>
      </w:pPr>
      <w:r w:rsidRPr="006315DA">
        <w:rPr>
          <w:sz w:val="24"/>
          <w:szCs w:val="24"/>
        </w:rPr>
        <w:t>Constructing reliable estimates of costs and benefits</w:t>
      </w:r>
    </w:p>
    <w:p w:rsidR="00153DD1" w:rsidRDefault="00153DD1" w:rsidP="00CE5B54">
      <w:pPr>
        <w:pStyle w:val="ListParagraph"/>
        <w:numPr>
          <w:ilvl w:val="0"/>
          <w:numId w:val="33"/>
        </w:numPr>
        <w:spacing w:line="240" w:lineRule="auto"/>
        <w:rPr>
          <w:sz w:val="24"/>
          <w:szCs w:val="24"/>
        </w:rPr>
      </w:pPr>
      <w:r w:rsidRPr="006315DA">
        <w:rPr>
          <w:sz w:val="24"/>
          <w:szCs w:val="24"/>
        </w:rPr>
        <w:t>Business Impacts Target (BIT) methodology</w:t>
      </w:r>
    </w:p>
    <w:p w:rsidR="00153DD1" w:rsidRPr="006315DA" w:rsidRDefault="00153DD1" w:rsidP="00CE5B54">
      <w:pPr>
        <w:pStyle w:val="ListParagraph"/>
        <w:numPr>
          <w:ilvl w:val="0"/>
          <w:numId w:val="33"/>
        </w:numPr>
        <w:spacing w:line="240" w:lineRule="auto"/>
        <w:rPr>
          <w:sz w:val="24"/>
          <w:szCs w:val="24"/>
        </w:rPr>
      </w:pPr>
      <w:r w:rsidRPr="006315DA">
        <w:rPr>
          <w:sz w:val="24"/>
          <w:szCs w:val="24"/>
        </w:rPr>
        <w:t>Non-qualifying regulatory provisions</w:t>
      </w:r>
    </w:p>
    <w:p w:rsidR="00153DD1" w:rsidRPr="000A68A6" w:rsidRDefault="00153DD1" w:rsidP="00CE5B54">
      <w:pPr>
        <w:pStyle w:val="ListParagraph"/>
        <w:numPr>
          <w:ilvl w:val="0"/>
          <w:numId w:val="30"/>
        </w:numPr>
        <w:tabs>
          <w:tab w:val="left" w:pos="1276"/>
        </w:tabs>
        <w:spacing w:line="240" w:lineRule="auto"/>
        <w:rPr>
          <w:vanish/>
          <w:sz w:val="24"/>
          <w:szCs w:val="24"/>
        </w:rPr>
      </w:pPr>
    </w:p>
    <w:p w:rsidR="00153DD1" w:rsidRPr="000A68A6" w:rsidRDefault="00153DD1" w:rsidP="00CE5B54">
      <w:pPr>
        <w:pStyle w:val="ListParagraph"/>
        <w:numPr>
          <w:ilvl w:val="0"/>
          <w:numId w:val="30"/>
        </w:numPr>
        <w:tabs>
          <w:tab w:val="left" w:pos="1276"/>
        </w:tabs>
        <w:spacing w:line="240" w:lineRule="auto"/>
        <w:rPr>
          <w:vanish/>
          <w:sz w:val="24"/>
          <w:szCs w:val="24"/>
        </w:rPr>
      </w:pPr>
    </w:p>
    <w:p w:rsidR="00153DD1" w:rsidRDefault="00153DD1" w:rsidP="00CE5B54">
      <w:pPr>
        <w:pStyle w:val="ListParagraph"/>
        <w:numPr>
          <w:ilvl w:val="0"/>
          <w:numId w:val="33"/>
        </w:numPr>
        <w:spacing w:line="240" w:lineRule="auto"/>
        <w:rPr>
          <w:color w:val="000000" w:themeColor="text1"/>
          <w:sz w:val="24"/>
          <w:szCs w:val="24"/>
        </w:rPr>
      </w:pPr>
      <w:r w:rsidRPr="006315DA">
        <w:rPr>
          <w:color w:val="000000" w:themeColor="text1"/>
          <w:sz w:val="24"/>
          <w:szCs w:val="24"/>
        </w:rPr>
        <w:t>Methodolog</w:t>
      </w:r>
      <w:r>
        <w:rPr>
          <w:color w:val="000000" w:themeColor="text1"/>
          <w:sz w:val="24"/>
          <w:szCs w:val="24"/>
        </w:rPr>
        <w:t xml:space="preserve">ical </w:t>
      </w:r>
      <w:r w:rsidRPr="006315DA">
        <w:rPr>
          <w:color w:val="000000" w:themeColor="text1"/>
          <w:sz w:val="24"/>
          <w:szCs w:val="24"/>
        </w:rPr>
        <w:t xml:space="preserve">issues </w:t>
      </w:r>
      <w:r>
        <w:rPr>
          <w:color w:val="000000" w:themeColor="text1"/>
          <w:sz w:val="24"/>
          <w:szCs w:val="24"/>
        </w:rPr>
        <w:t>where</w:t>
      </w:r>
      <w:r w:rsidRPr="006315DA">
        <w:rPr>
          <w:color w:val="000000" w:themeColor="text1"/>
          <w:sz w:val="24"/>
          <w:szCs w:val="24"/>
        </w:rPr>
        <w:t xml:space="preserve"> regulators</w:t>
      </w:r>
      <w:r>
        <w:rPr>
          <w:color w:val="000000" w:themeColor="text1"/>
          <w:sz w:val="24"/>
          <w:szCs w:val="24"/>
        </w:rPr>
        <w:t xml:space="preserve"> are involved*</w:t>
      </w:r>
    </w:p>
    <w:p w:rsidR="00153DD1" w:rsidRDefault="00153DD1" w:rsidP="00CE5B54">
      <w:pPr>
        <w:pStyle w:val="ListParagraph"/>
        <w:numPr>
          <w:ilvl w:val="0"/>
          <w:numId w:val="33"/>
        </w:numPr>
        <w:spacing w:line="240" w:lineRule="auto"/>
        <w:rPr>
          <w:color w:val="000000" w:themeColor="text1"/>
          <w:sz w:val="24"/>
          <w:szCs w:val="24"/>
        </w:rPr>
      </w:pPr>
      <w:r w:rsidRPr="006315DA">
        <w:rPr>
          <w:color w:val="000000" w:themeColor="text1"/>
          <w:sz w:val="24"/>
          <w:szCs w:val="24"/>
        </w:rPr>
        <w:t>Small and Micro Business Assessment</w:t>
      </w:r>
    </w:p>
    <w:p w:rsidR="00153DD1" w:rsidRPr="006315DA" w:rsidRDefault="00153DD1" w:rsidP="00CE5B54">
      <w:pPr>
        <w:pStyle w:val="ListParagraph"/>
        <w:numPr>
          <w:ilvl w:val="0"/>
          <w:numId w:val="33"/>
        </w:numPr>
        <w:spacing w:line="240" w:lineRule="auto"/>
        <w:rPr>
          <w:color w:val="000000" w:themeColor="text1"/>
          <w:sz w:val="24"/>
          <w:szCs w:val="24"/>
        </w:rPr>
      </w:pPr>
      <w:r w:rsidRPr="006315DA">
        <w:rPr>
          <w:color w:val="000000" w:themeColor="text1"/>
          <w:sz w:val="24"/>
          <w:szCs w:val="24"/>
        </w:rPr>
        <w:t>Wider impacts</w:t>
      </w:r>
    </w:p>
    <w:p w:rsidR="00153DD1" w:rsidRDefault="00153DD1" w:rsidP="00153DD1">
      <w:pPr>
        <w:spacing w:after="0"/>
        <w:rPr>
          <w:rFonts w:eastAsia="Times New Roman" w:cstheme="minorHAnsi"/>
          <w:b/>
          <w:sz w:val="24"/>
          <w:szCs w:val="24"/>
          <w:lang w:eastAsia="en-GB"/>
        </w:rPr>
      </w:pPr>
      <w:r>
        <w:rPr>
          <w:rFonts w:eastAsia="Times New Roman" w:cstheme="minorHAnsi"/>
          <w:b/>
          <w:sz w:val="24"/>
          <w:szCs w:val="24"/>
          <w:lang w:eastAsia="en-GB"/>
        </w:rPr>
        <w:t xml:space="preserve">* </w:t>
      </w:r>
      <w:r w:rsidRPr="0044477B">
        <w:rPr>
          <w:rFonts w:eastAsia="Times New Roman" w:cstheme="minorHAnsi"/>
          <w:sz w:val="24"/>
          <w:szCs w:val="24"/>
          <w:lang w:eastAsia="en-GB"/>
        </w:rPr>
        <w:t>Please</w:t>
      </w:r>
      <w:r>
        <w:rPr>
          <w:rFonts w:eastAsia="Times New Roman" w:cstheme="minorHAnsi"/>
          <w:sz w:val="24"/>
          <w:szCs w:val="24"/>
          <w:lang w:eastAsia="en-GB"/>
        </w:rPr>
        <w:t xml:space="preserve"> note that this presently covers issues relating to departmental IAs rather than submissions from regulators. The latter will be covered, as the number cases submitted from regulators builds up, by a further RPC case </w:t>
      </w:r>
      <w:r w:rsidR="00D625E0">
        <w:rPr>
          <w:rFonts w:eastAsia="Times New Roman" w:cstheme="minorHAnsi"/>
          <w:sz w:val="24"/>
          <w:szCs w:val="24"/>
          <w:lang w:eastAsia="en-GB"/>
        </w:rPr>
        <w:t>histories document in 2017</w:t>
      </w:r>
      <w:r>
        <w:rPr>
          <w:rFonts w:eastAsia="Times New Roman" w:cstheme="minorHAnsi"/>
          <w:sz w:val="24"/>
          <w:szCs w:val="24"/>
          <w:lang w:eastAsia="en-GB"/>
        </w:rPr>
        <w:t>.</w:t>
      </w:r>
    </w:p>
    <w:p w:rsidR="00153DD1" w:rsidRDefault="00153DD1" w:rsidP="00153DD1">
      <w:pPr>
        <w:spacing w:after="0"/>
        <w:rPr>
          <w:rFonts w:eastAsia="Times New Roman" w:cstheme="minorHAnsi"/>
          <w:b/>
          <w:sz w:val="24"/>
          <w:szCs w:val="24"/>
          <w:lang w:eastAsia="en-GB"/>
        </w:rPr>
      </w:pPr>
    </w:p>
    <w:p w:rsidR="00153DD1" w:rsidRDefault="00153DD1" w:rsidP="00153DD1">
      <w:pPr>
        <w:spacing w:after="0"/>
        <w:rPr>
          <w:rFonts w:eastAsia="Times New Roman" w:cstheme="minorHAnsi"/>
          <w:sz w:val="24"/>
          <w:szCs w:val="24"/>
          <w:lang w:eastAsia="en-GB"/>
        </w:rPr>
      </w:pPr>
      <w:r>
        <w:rPr>
          <w:rFonts w:eastAsia="Times New Roman" w:cstheme="minorHAnsi"/>
          <w:b/>
          <w:sz w:val="24"/>
          <w:szCs w:val="24"/>
          <w:lang w:eastAsia="en-GB"/>
        </w:rPr>
        <w:t>Part</w:t>
      </w:r>
      <w:r w:rsidRPr="00D92A4C">
        <w:rPr>
          <w:rFonts w:eastAsia="Times New Roman" w:cstheme="minorHAnsi"/>
          <w:b/>
          <w:sz w:val="24"/>
          <w:szCs w:val="24"/>
          <w:lang w:eastAsia="en-GB"/>
        </w:rPr>
        <w:t xml:space="preserve"> </w:t>
      </w:r>
      <w:r>
        <w:rPr>
          <w:rFonts w:eastAsia="Times New Roman" w:cstheme="minorHAnsi"/>
          <w:b/>
          <w:sz w:val="24"/>
          <w:szCs w:val="24"/>
          <w:lang w:eastAsia="en-GB"/>
        </w:rPr>
        <w:t>III</w:t>
      </w:r>
      <w:r w:rsidRPr="00D92A4C">
        <w:rPr>
          <w:rFonts w:eastAsia="Times New Roman" w:cstheme="minorHAnsi"/>
          <w:sz w:val="24"/>
          <w:szCs w:val="24"/>
          <w:lang w:eastAsia="en-GB"/>
        </w:rPr>
        <w:t xml:space="preserve"> </w:t>
      </w:r>
      <w:r w:rsidRPr="006315DA">
        <w:rPr>
          <w:rFonts w:eastAsia="Times New Roman" w:cstheme="minorHAnsi"/>
          <w:b/>
          <w:sz w:val="24"/>
          <w:szCs w:val="24"/>
          <w:lang w:eastAsia="en-GB"/>
        </w:rPr>
        <w:t>Post Implementation Reviews (PIRs)</w:t>
      </w:r>
      <w:r w:rsidRPr="00D92A4C">
        <w:rPr>
          <w:rFonts w:eastAsia="Times New Roman" w:cstheme="minorHAnsi"/>
          <w:sz w:val="24"/>
          <w:szCs w:val="24"/>
          <w:lang w:eastAsia="en-GB"/>
        </w:rPr>
        <w:t xml:space="preserve">. </w:t>
      </w:r>
      <w:r>
        <w:rPr>
          <w:rFonts w:eastAsia="Times New Roman" w:cstheme="minorHAnsi"/>
          <w:sz w:val="24"/>
          <w:szCs w:val="24"/>
          <w:lang w:eastAsia="en-GB"/>
        </w:rPr>
        <w:t>This sets out how the RPC will be assessing post implementation reviews and how it will be applying the framework and other cross-departmental guidance in this area.</w:t>
      </w:r>
    </w:p>
    <w:p w:rsidR="00153DD1" w:rsidRDefault="00153DD1" w:rsidP="00153DD1">
      <w:pPr>
        <w:rPr>
          <w:b/>
          <w:color w:val="E36C0A" w:themeColor="accent6" w:themeShade="BF"/>
          <w:sz w:val="44"/>
          <w:szCs w:val="44"/>
        </w:rPr>
      </w:pPr>
      <w:r>
        <w:rPr>
          <w:b/>
          <w:color w:val="E36C0A" w:themeColor="accent6" w:themeShade="BF"/>
          <w:sz w:val="44"/>
          <w:szCs w:val="44"/>
        </w:rPr>
        <w:br w:type="page"/>
      </w:r>
    </w:p>
    <w:p w:rsidR="00153DD1" w:rsidRPr="00D92A4C" w:rsidRDefault="00153DD1" w:rsidP="00153DD1">
      <w:pPr>
        <w:rPr>
          <w:b/>
          <w:color w:val="E36C0A" w:themeColor="accent6" w:themeShade="BF"/>
          <w:sz w:val="32"/>
        </w:rPr>
      </w:pPr>
      <w:r>
        <w:rPr>
          <w:b/>
          <w:color w:val="E36C0A" w:themeColor="accent6" w:themeShade="BF"/>
          <w:sz w:val="44"/>
          <w:szCs w:val="44"/>
        </w:rPr>
        <w:lastRenderedPageBreak/>
        <w:t>Part I</w:t>
      </w:r>
      <w:r w:rsidRPr="00FC5FA4">
        <w:rPr>
          <w:b/>
          <w:color w:val="E36C0A" w:themeColor="accent6" w:themeShade="BF"/>
          <w:sz w:val="44"/>
          <w:szCs w:val="44"/>
        </w:rPr>
        <w:t xml:space="preserve">: Introduction </w:t>
      </w:r>
    </w:p>
    <w:p w:rsidR="00153DD1" w:rsidRPr="00695C67" w:rsidRDefault="00153DD1" w:rsidP="00CE5B54">
      <w:pPr>
        <w:pStyle w:val="ListParagraph"/>
        <w:numPr>
          <w:ilvl w:val="0"/>
          <w:numId w:val="10"/>
        </w:numPr>
        <w:ind w:left="284" w:hanging="284"/>
        <w:rPr>
          <w:b/>
          <w:color w:val="E36C0A" w:themeColor="accent6" w:themeShade="BF"/>
          <w:sz w:val="32"/>
          <w:szCs w:val="32"/>
        </w:rPr>
      </w:pPr>
      <w:r w:rsidRPr="00695C67">
        <w:rPr>
          <w:b/>
          <w:color w:val="E36C0A" w:themeColor="accent6" w:themeShade="BF"/>
          <w:sz w:val="32"/>
          <w:szCs w:val="32"/>
        </w:rPr>
        <w:t>Structure and aim of the guide</w:t>
      </w:r>
    </w:p>
    <w:p w:rsidR="00153DD1" w:rsidRPr="00D92A4C" w:rsidRDefault="00153DD1" w:rsidP="00153DD1">
      <w:pPr>
        <w:spacing w:after="0"/>
        <w:rPr>
          <w:rFonts w:eastAsia="Times New Roman" w:cstheme="minorHAnsi"/>
          <w:sz w:val="24"/>
          <w:szCs w:val="24"/>
          <w:lang w:eastAsia="en-GB"/>
        </w:rPr>
      </w:pPr>
      <w:r w:rsidRPr="00D92A4C">
        <w:rPr>
          <w:rFonts w:eastAsia="Times New Roman" w:cstheme="minorHAnsi"/>
          <w:sz w:val="24"/>
          <w:szCs w:val="24"/>
          <w:lang w:eastAsia="en-GB"/>
        </w:rPr>
        <w:t xml:space="preserve">This document is aimed at </w:t>
      </w:r>
      <w:r>
        <w:rPr>
          <w:rFonts w:eastAsia="Times New Roman" w:cstheme="minorHAnsi"/>
          <w:sz w:val="24"/>
          <w:szCs w:val="24"/>
          <w:lang w:eastAsia="en-GB"/>
        </w:rPr>
        <w:t>readers</w:t>
      </w:r>
      <w:r w:rsidRPr="00D92A4C">
        <w:rPr>
          <w:rFonts w:eastAsia="Times New Roman" w:cstheme="minorHAnsi"/>
          <w:sz w:val="24"/>
          <w:szCs w:val="24"/>
          <w:lang w:eastAsia="en-GB"/>
        </w:rPr>
        <w:t xml:space="preserve"> with some experience of IAs and the better regulation framework, and assumes a degree of familiarity with the </w:t>
      </w:r>
      <w:r w:rsidRPr="00491E52">
        <w:rPr>
          <w:rFonts w:eastAsia="Times New Roman" w:cstheme="minorHAnsi"/>
          <w:sz w:val="24"/>
          <w:szCs w:val="24"/>
          <w:lang w:eastAsia="en-GB"/>
        </w:rPr>
        <w:t>Better Regulation Framework Manual</w:t>
      </w:r>
      <w:r w:rsidRPr="00D92A4C">
        <w:rPr>
          <w:rFonts w:eastAsia="Times New Roman" w:cstheme="minorHAnsi"/>
          <w:sz w:val="24"/>
          <w:szCs w:val="24"/>
          <w:lang w:eastAsia="en-GB"/>
        </w:rPr>
        <w:t xml:space="preserve"> and </w:t>
      </w:r>
      <w:hyperlink r:id="rId15" w:history="1">
        <w:r w:rsidRPr="00D92A4C">
          <w:rPr>
            <w:rFonts w:eastAsia="Times New Roman" w:cstheme="minorHAnsi"/>
            <w:color w:val="0000FF"/>
            <w:sz w:val="24"/>
            <w:szCs w:val="24"/>
            <w:u w:val="single"/>
            <w:lang w:eastAsia="en-GB"/>
          </w:rPr>
          <w:t>The Green Book</w:t>
        </w:r>
      </w:hyperlink>
      <w:r w:rsidRPr="00D92A4C">
        <w:rPr>
          <w:rFonts w:eastAsia="Times New Roman" w:cstheme="minorHAnsi"/>
          <w:sz w:val="24"/>
          <w:szCs w:val="24"/>
          <w:lang w:eastAsia="en-GB"/>
        </w:rPr>
        <w:t xml:space="preserve">. When using this document you may </w:t>
      </w:r>
      <w:r>
        <w:rPr>
          <w:rFonts w:eastAsia="Times New Roman" w:cstheme="minorHAnsi"/>
          <w:sz w:val="24"/>
          <w:szCs w:val="24"/>
          <w:lang w:eastAsia="en-GB"/>
        </w:rPr>
        <w:t xml:space="preserve">sometimes </w:t>
      </w:r>
      <w:r w:rsidRPr="00D92A4C">
        <w:rPr>
          <w:rFonts w:eastAsia="Times New Roman" w:cstheme="minorHAnsi"/>
          <w:sz w:val="24"/>
          <w:szCs w:val="24"/>
          <w:lang w:eastAsia="en-GB"/>
        </w:rPr>
        <w:t xml:space="preserve">find it useful to also have a copy of these documents at hand. </w:t>
      </w:r>
    </w:p>
    <w:p w:rsidR="00153DD1" w:rsidRPr="00D92A4C" w:rsidRDefault="00153DD1" w:rsidP="00153DD1">
      <w:pPr>
        <w:spacing w:after="0"/>
        <w:rPr>
          <w:rFonts w:eastAsia="Times New Roman" w:cstheme="minorHAnsi"/>
          <w:sz w:val="24"/>
          <w:szCs w:val="24"/>
          <w:lang w:eastAsia="en-GB"/>
        </w:rPr>
      </w:pPr>
    </w:p>
    <w:p w:rsidR="00153DD1" w:rsidRPr="00D92A4C" w:rsidRDefault="00153DD1" w:rsidP="00153DD1">
      <w:pPr>
        <w:spacing w:after="0"/>
        <w:rPr>
          <w:rFonts w:eastAsia="Times New Roman" w:cstheme="minorHAnsi"/>
          <w:sz w:val="24"/>
          <w:szCs w:val="24"/>
          <w:lang w:eastAsia="en-GB"/>
        </w:rPr>
      </w:pPr>
      <w:r w:rsidRPr="00D92A4C">
        <w:rPr>
          <w:rFonts w:eastAsia="Times New Roman" w:cstheme="minorHAnsi"/>
          <w:sz w:val="24"/>
          <w:szCs w:val="24"/>
          <w:lang w:eastAsia="en-GB"/>
        </w:rPr>
        <w:t>This document is designed to be of assistance in the writing of IAs and</w:t>
      </w:r>
      <w:r>
        <w:rPr>
          <w:rFonts w:eastAsia="Times New Roman" w:cstheme="minorHAnsi"/>
          <w:sz w:val="24"/>
          <w:szCs w:val="24"/>
          <w:lang w:eastAsia="en-GB"/>
        </w:rPr>
        <w:t xml:space="preserve"> in the assessment of</w:t>
      </w:r>
      <w:r w:rsidRPr="00D92A4C">
        <w:rPr>
          <w:rFonts w:eastAsia="Times New Roman" w:cstheme="minorHAnsi"/>
          <w:sz w:val="24"/>
          <w:szCs w:val="24"/>
          <w:lang w:eastAsia="en-GB"/>
        </w:rPr>
        <w:t xml:space="preserve"> p</w:t>
      </w:r>
      <w:r>
        <w:rPr>
          <w:rFonts w:eastAsia="Times New Roman" w:cstheme="minorHAnsi"/>
          <w:sz w:val="24"/>
          <w:szCs w:val="24"/>
          <w:lang w:eastAsia="en-GB"/>
        </w:rPr>
        <w:t>roposals</w:t>
      </w:r>
      <w:r w:rsidR="00D625E0">
        <w:rPr>
          <w:rFonts w:eastAsia="Times New Roman" w:cstheme="minorHAnsi"/>
          <w:sz w:val="24"/>
          <w:szCs w:val="24"/>
          <w:lang w:eastAsia="en-GB"/>
        </w:rPr>
        <w:t xml:space="preserve"> for</w:t>
      </w:r>
      <w:r w:rsidRPr="00D92A4C">
        <w:rPr>
          <w:rFonts w:eastAsia="Times New Roman" w:cstheme="minorHAnsi"/>
          <w:sz w:val="24"/>
          <w:szCs w:val="24"/>
          <w:lang w:eastAsia="en-GB"/>
        </w:rPr>
        <w:t xml:space="preserve"> </w:t>
      </w:r>
      <w:r>
        <w:rPr>
          <w:rFonts w:eastAsia="Times New Roman" w:cstheme="minorHAnsi"/>
          <w:sz w:val="24"/>
          <w:szCs w:val="24"/>
          <w:lang w:eastAsia="en-GB"/>
        </w:rPr>
        <w:t xml:space="preserve">BIT </w:t>
      </w:r>
      <w:r w:rsidRPr="00D92A4C">
        <w:rPr>
          <w:rFonts w:eastAsia="Times New Roman" w:cstheme="minorHAnsi"/>
          <w:sz w:val="24"/>
          <w:szCs w:val="24"/>
          <w:lang w:eastAsia="en-GB"/>
        </w:rPr>
        <w:t>purpose</w:t>
      </w:r>
      <w:r>
        <w:rPr>
          <w:rFonts w:eastAsia="Times New Roman" w:cstheme="minorHAnsi"/>
          <w:sz w:val="24"/>
          <w:szCs w:val="24"/>
          <w:lang w:eastAsia="en-GB"/>
        </w:rPr>
        <w:t>s</w:t>
      </w:r>
      <w:r w:rsidRPr="00D92A4C">
        <w:rPr>
          <w:rFonts w:eastAsia="Times New Roman" w:cstheme="minorHAnsi"/>
          <w:sz w:val="24"/>
          <w:szCs w:val="24"/>
          <w:lang w:eastAsia="en-GB"/>
        </w:rPr>
        <w:t>. However, it is important to re</w:t>
      </w:r>
      <w:r>
        <w:rPr>
          <w:rFonts w:eastAsia="Times New Roman" w:cstheme="minorHAnsi"/>
          <w:sz w:val="24"/>
          <w:szCs w:val="24"/>
          <w:lang w:eastAsia="en-GB"/>
        </w:rPr>
        <w:t>cognise</w:t>
      </w:r>
      <w:r w:rsidRPr="00D92A4C">
        <w:rPr>
          <w:rFonts w:eastAsia="Times New Roman" w:cstheme="minorHAnsi"/>
          <w:sz w:val="24"/>
          <w:szCs w:val="24"/>
          <w:lang w:eastAsia="en-GB"/>
        </w:rPr>
        <w:t xml:space="preserve"> that no two p</w:t>
      </w:r>
      <w:r>
        <w:rPr>
          <w:rFonts w:eastAsia="Times New Roman" w:cstheme="minorHAnsi"/>
          <w:sz w:val="24"/>
          <w:szCs w:val="24"/>
          <w:lang w:eastAsia="en-GB"/>
        </w:rPr>
        <w:t>roposals</w:t>
      </w:r>
      <w:r w:rsidRPr="00D92A4C">
        <w:rPr>
          <w:rFonts w:eastAsia="Times New Roman" w:cstheme="minorHAnsi"/>
          <w:sz w:val="24"/>
          <w:szCs w:val="24"/>
          <w:lang w:eastAsia="en-GB"/>
        </w:rPr>
        <w:t xml:space="preserve"> are identical. If you have particularly complex issues regarding the better regulation framework</w:t>
      </w:r>
      <w:r>
        <w:rPr>
          <w:rFonts w:eastAsia="Times New Roman" w:cstheme="minorHAnsi"/>
          <w:sz w:val="24"/>
          <w:szCs w:val="24"/>
          <w:lang w:eastAsia="en-GB"/>
        </w:rPr>
        <w:t>,</w:t>
      </w:r>
      <w:r w:rsidRPr="00D92A4C">
        <w:rPr>
          <w:rFonts w:eastAsia="Times New Roman" w:cstheme="minorHAnsi"/>
          <w:sz w:val="24"/>
          <w:szCs w:val="24"/>
          <w:lang w:eastAsia="en-GB"/>
        </w:rPr>
        <w:t xml:space="preserve"> you are advised to discuss them with the RPC secretariat </w:t>
      </w:r>
      <w:r>
        <w:rPr>
          <w:rFonts w:eastAsia="Times New Roman" w:cstheme="minorHAnsi"/>
          <w:sz w:val="24"/>
          <w:szCs w:val="24"/>
          <w:lang w:eastAsia="en-GB"/>
        </w:rPr>
        <w:t>and/</w:t>
      </w:r>
      <w:r w:rsidRPr="00D92A4C">
        <w:rPr>
          <w:rFonts w:eastAsia="Times New Roman" w:cstheme="minorHAnsi"/>
          <w:sz w:val="24"/>
          <w:szCs w:val="24"/>
          <w:lang w:eastAsia="en-GB"/>
        </w:rPr>
        <w:t xml:space="preserve">or the Better Regulation Executive (BRE) before submitting an IA.   </w:t>
      </w:r>
    </w:p>
    <w:p w:rsidR="00153DD1" w:rsidRPr="00D92A4C" w:rsidRDefault="00153DD1" w:rsidP="00153DD1">
      <w:pPr>
        <w:spacing w:after="0"/>
        <w:rPr>
          <w:rFonts w:eastAsia="Times New Roman" w:cstheme="minorHAnsi"/>
          <w:b/>
          <w:sz w:val="24"/>
          <w:szCs w:val="24"/>
          <w:lang w:eastAsia="en-GB"/>
        </w:rPr>
      </w:pPr>
    </w:p>
    <w:p w:rsidR="00153DD1" w:rsidRPr="00B908C0" w:rsidRDefault="00153DD1" w:rsidP="00153DD1">
      <w:pPr>
        <w:rPr>
          <w:b/>
          <w:color w:val="E36C0A" w:themeColor="accent6" w:themeShade="BF"/>
          <w:sz w:val="32"/>
          <w:szCs w:val="32"/>
        </w:rPr>
      </w:pPr>
      <w:r>
        <w:rPr>
          <w:b/>
          <w:color w:val="E36C0A" w:themeColor="accent6" w:themeShade="BF"/>
          <w:sz w:val="32"/>
          <w:szCs w:val="32"/>
        </w:rPr>
        <w:t>ii.</w:t>
      </w:r>
      <w:r w:rsidRPr="00B908C0">
        <w:rPr>
          <w:b/>
          <w:color w:val="E36C0A" w:themeColor="accent6" w:themeShade="BF"/>
          <w:sz w:val="32"/>
          <w:szCs w:val="32"/>
        </w:rPr>
        <w:t xml:space="preserve"> How to use the guide</w:t>
      </w:r>
    </w:p>
    <w:p w:rsidR="00153DD1" w:rsidRPr="00D92A4C" w:rsidRDefault="00153DD1" w:rsidP="00153DD1">
      <w:pPr>
        <w:spacing w:after="0" w:line="240" w:lineRule="auto"/>
        <w:rPr>
          <w:sz w:val="24"/>
          <w:szCs w:val="24"/>
        </w:rPr>
      </w:pPr>
      <w:r w:rsidRPr="00D92A4C">
        <w:rPr>
          <w:sz w:val="24"/>
          <w:szCs w:val="24"/>
        </w:rPr>
        <w:t xml:space="preserve">There are a number of key documents and guides that the RPC </w:t>
      </w:r>
      <w:r>
        <w:rPr>
          <w:sz w:val="24"/>
          <w:szCs w:val="24"/>
        </w:rPr>
        <w:t xml:space="preserve">applies </w:t>
      </w:r>
      <w:r w:rsidRPr="00D92A4C">
        <w:rPr>
          <w:sz w:val="24"/>
          <w:szCs w:val="24"/>
        </w:rPr>
        <w:t xml:space="preserve">when scrutinising impact assessments. </w:t>
      </w:r>
      <w:r w:rsidR="00D625E0">
        <w:rPr>
          <w:sz w:val="24"/>
          <w:szCs w:val="24"/>
        </w:rPr>
        <w:t xml:space="preserve">These documents would </w:t>
      </w:r>
      <w:r>
        <w:rPr>
          <w:sz w:val="24"/>
          <w:szCs w:val="24"/>
        </w:rPr>
        <w:t xml:space="preserve">also </w:t>
      </w:r>
      <w:r w:rsidR="00D625E0">
        <w:rPr>
          <w:sz w:val="24"/>
          <w:szCs w:val="24"/>
        </w:rPr>
        <w:t xml:space="preserve">be </w:t>
      </w:r>
      <w:r>
        <w:rPr>
          <w:sz w:val="24"/>
          <w:szCs w:val="24"/>
        </w:rPr>
        <w:t xml:space="preserve">of help to departments when developing IAs and PIRs. </w:t>
      </w:r>
    </w:p>
    <w:p w:rsidR="00153DD1" w:rsidRDefault="00153DD1" w:rsidP="00153DD1">
      <w:pPr>
        <w:spacing w:after="0" w:line="240" w:lineRule="auto"/>
        <w:ind w:firstLine="720"/>
        <w:rPr>
          <w:sz w:val="24"/>
          <w:szCs w:val="24"/>
        </w:rPr>
      </w:pPr>
    </w:p>
    <w:p w:rsidR="00153DD1" w:rsidRPr="00043A82" w:rsidRDefault="00153DD1" w:rsidP="00153DD1">
      <w:pPr>
        <w:spacing w:after="0" w:line="240" w:lineRule="auto"/>
        <w:rPr>
          <w:b/>
          <w:sz w:val="24"/>
          <w:szCs w:val="24"/>
        </w:rPr>
      </w:pPr>
      <w:r w:rsidRPr="00043A82">
        <w:rPr>
          <w:b/>
          <w:sz w:val="24"/>
          <w:szCs w:val="24"/>
        </w:rPr>
        <w:t>Core documents and guidance</w:t>
      </w:r>
    </w:p>
    <w:p w:rsidR="00153DD1" w:rsidRPr="00D92A4C" w:rsidRDefault="00153DD1" w:rsidP="00153DD1">
      <w:pPr>
        <w:spacing w:after="0" w:line="240" w:lineRule="auto"/>
        <w:rPr>
          <w:sz w:val="24"/>
          <w:szCs w:val="24"/>
        </w:rPr>
      </w:pPr>
    </w:p>
    <w:p w:rsidR="00153DD1" w:rsidRPr="00491E52" w:rsidRDefault="004F2E23" w:rsidP="00153DD1">
      <w:pPr>
        <w:pStyle w:val="ListParagraph"/>
        <w:numPr>
          <w:ilvl w:val="0"/>
          <w:numId w:val="1"/>
        </w:numPr>
        <w:spacing w:after="0" w:line="240" w:lineRule="auto"/>
        <w:rPr>
          <w:color w:val="000000" w:themeColor="text1"/>
          <w:sz w:val="24"/>
          <w:szCs w:val="24"/>
        </w:rPr>
      </w:pPr>
      <w:hyperlink r:id="rId16" w:history="1">
        <w:r w:rsidR="00153DD1" w:rsidRPr="00491E52">
          <w:rPr>
            <w:rStyle w:val="Hyperlink"/>
            <w:sz w:val="24"/>
            <w:szCs w:val="24"/>
          </w:rPr>
          <w:t>RPC recommendations</w:t>
        </w:r>
      </w:hyperlink>
      <w:r w:rsidR="00153DD1" w:rsidRPr="00491E52">
        <w:rPr>
          <w:color w:val="000000" w:themeColor="text1"/>
          <w:sz w:val="24"/>
          <w:szCs w:val="24"/>
        </w:rPr>
        <w:t xml:space="preserve"> - </w:t>
      </w:r>
      <w:r w:rsidR="00153DD1" w:rsidRPr="00491E52">
        <w:rPr>
          <w:sz w:val="24"/>
          <w:szCs w:val="24"/>
          <w:lang w:val="en"/>
        </w:rPr>
        <w:t xml:space="preserve">To provide further clarity, the Committee has set out seven </w:t>
      </w:r>
      <w:hyperlink r:id="rId17" w:history="1">
        <w:r w:rsidR="00153DD1" w:rsidRPr="00491E52">
          <w:rPr>
            <w:rStyle w:val="Hyperlink"/>
            <w:rFonts w:eastAsia="Times New Roman" w:cstheme="minorHAnsi"/>
            <w:sz w:val="24"/>
            <w:szCs w:val="24"/>
            <w:lang w:eastAsia="en-GB"/>
          </w:rPr>
          <w:t>recommendations</w:t>
        </w:r>
      </w:hyperlink>
      <w:r w:rsidR="00153DD1" w:rsidRPr="00491E52">
        <w:rPr>
          <w:sz w:val="24"/>
          <w:szCs w:val="24"/>
          <w:lang w:val="en"/>
        </w:rPr>
        <w:t xml:space="preserve"> based on the common themes emerging from the scrutiny of IAs.</w:t>
      </w:r>
    </w:p>
    <w:p w:rsidR="00153DD1" w:rsidRPr="00043A82" w:rsidRDefault="00153DD1" w:rsidP="00153DD1">
      <w:pPr>
        <w:pStyle w:val="ListParagraph"/>
        <w:spacing w:after="0" w:line="240" w:lineRule="auto"/>
        <w:rPr>
          <w:b/>
          <w:sz w:val="24"/>
          <w:szCs w:val="24"/>
        </w:rPr>
      </w:pPr>
    </w:p>
    <w:p w:rsidR="00153DD1" w:rsidRPr="00D92A4C" w:rsidRDefault="00153DD1" w:rsidP="00153DD1">
      <w:pPr>
        <w:pStyle w:val="ListParagraph"/>
        <w:numPr>
          <w:ilvl w:val="0"/>
          <w:numId w:val="1"/>
        </w:numPr>
        <w:spacing w:after="0" w:line="240" w:lineRule="auto"/>
        <w:rPr>
          <w:b/>
          <w:sz w:val="24"/>
          <w:szCs w:val="24"/>
        </w:rPr>
      </w:pPr>
      <w:r w:rsidRPr="00491E52">
        <w:rPr>
          <w:rFonts w:eastAsia="Times New Roman" w:cstheme="minorHAnsi"/>
          <w:sz w:val="24"/>
          <w:szCs w:val="24"/>
          <w:lang w:eastAsia="en-GB"/>
        </w:rPr>
        <w:t>Better Regulation Framework Manual</w:t>
      </w:r>
      <w:r w:rsidRPr="00491E52">
        <w:rPr>
          <w:b/>
          <w:sz w:val="24"/>
          <w:szCs w:val="24"/>
        </w:rPr>
        <w:t xml:space="preserve"> </w:t>
      </w:r>
      <w:r>
        <w:rPr>
          <w:sz w:val="24"/>
          <w:szCs w:val="24"/>
        </w:rPr>
        <w:t xml:space="preserve">- </w:t>
      </w:r>
      <w:r w:rsidRPr="00D92A4C">
        <w:rPr>
          <w:sz w:val="24"/>
          <w:szCs w:val="24"/>
        </w:rPr>
        <w:t xml:space="preserve">This manual contains guidance for compliance with the regulatory framework, designed to put the Government’s better regulation principles into practice. </w:t>
      </w:r>
    </w:p>
    <w:p w:rsidR="00153DD1" w:rsidRPr="00D92A4C" w:rsidRDefault="00153DD1" w:rsidP="00153DD1">
      <w:pPr>
        <w:spacing w:after="0" w:line="240" w:lineRule="auto"/>
        <w:rPr>
          <w:sz w:val="24"/>
          <w:szCs w:val="24"/>
        </w:rPr>
      </w:pPr>
    </w:p>
    <w:p w:rsidR="00153DD1" w:rsidRPr="00043A82" w:rsidRDefault="004F2E23" w:rsidP="00153DD1">
      <w:pPr>
        <w:pStyle w:val="ListParagraph"/>
        <w:numPr>
          <w:ilvl w:val="0"/>
          <w:numId w:val="1"/>
        </w:numPr>
        <w:spacing w:after="0" w:line="240" w:lineRule="auto"/>
        <w:rPr>
          <w:b/>
          <w:sz w:val="24"/>
          <w:szCs w:val="24"/>
        </w:rPr>
      </w:pPr>
      <w:hyperlink r:id="rId18" w:history="1">
        <w:r w:rsidR="00153DD1" w:rsidRPr="00D92A4C">
          <w:rPr>
            <w:rFonts w:eastAsia="Times New Roman" w:cstheme="minorHAnsi"/>
            <w:color w:val="0000FF"/>
            <w:sz w:val="24"/>
            <w:szCs w:val="24"/>
            <w:u w:val="single"/>
            <w:lang w:eastAsia="en-GB"/>
          </w:rPr>
          <w:t>The Green Book</w:t>
        </w:r>
      </w:hyperlink>
      <w:r w:rsidR="00153DD1" w:rsidRPr="00D92A4C">
        <w:rPr>
          <w:rFonts w:eastAsia="Times New Roman" w:cstheme="minorHAnsi"/>
          <w:color w:val="0000FF"/>
          <w:sz w:val="24"/>
          <w:szCs w:val="24"/>
          <w:u w:val="single"/>
          <w:lang w:eastAsia="en-GB"/>
        </w:rPr>
        <w:t xml:space="preserve"> </w:t>
      </w:r>
      <w:r w:rsidR="00153DD1">
        <w:rPr>
          <w:rFonts w:eastAsia="Times New Roman" w:cstheme="minorHAnsi"/>
          <w:color w:val="0000FF"/>
          <w:sz w:val="24"/>
          <w:szCs w:val="24"/>
          <w:lang w:eastAsia="en-GB"/>
        </w:rPr>
        <w:t xml:space="preserve">- </w:t>
      </w:r>
      <w:r w:rsidR="00153DD1" w:rsidRPr="00D92A4C">
        <w:rPr>
          <w:sz w:val="24"/>
          <w:szCs w:val="24"/>
        </w:rPr>
        <w:t xml:space="preserve">HM Treasury guidance for public sector bodies on how to appraise proposals before committing to a policy, programme or project. </w:t>
      </w:r>
    </w:p>
    <w:p w:rsidR="00153DD1" w:rsidRPr="00043A82" w:rsidRDefault="00153DD1" w:rsidP="00153DD1">
      <w:pPr>
        <w:pStyle w:val="ListParagraph"/>
        <w:rPr>
          <w:b/>
          <w:sz w:val="24"/>
          <w:szCs w:val="24"/>
        </w:rPr>
      </w:pPr>
    </w:p>
    <w:p w:rsidR="00153DD1" w:rsidRPr="00D92A4C" w:rsidRDefault="00153DD1" w:rsidP="00153DD1">
      <w:pPr>
        <w:pStyle w:val="ListParagraph"/>
        <w:spacing w:after="0" w:line="240" w:lineRule="auto"/>
        <w:ind w:left="0"/>
        <w:rPr>
          <w:b/>
          <w:sz w:val="24"/>
          <w:szCs w:val="24"/>
        </w:rPr>
      </w:pPr>
      <w:r>
        <w:rPr>
          <w:b/>
          <w:sz w:val="24"/>
          <w:szCs w:val="24"/>
        </w:rPr>
        <w:t>Supplementary literature</w:t>
      </w:r>
    </w:p>
    <w:p w:rsidR="00153DD1" w:rsidRPr="00D92A4C" w:rsidRDefault="00153DD1" w:rsidP="00153DD1">
      <w:pPr>
        <w:spacing w:after="0" w:line="240" w:lineRule="auto"/>
        <w:rPr>
          <w:sz w:val="24"/>
          <w:szCs w:val="24"/>
        </w:rPr>
      </w:pPr>
    </w:p>
    <w:p w:rsidR="00153DD1" w:rsidRPr="007947A8" w:rsidRDefault="004F2E23" w:rsidP="00153DD1">
      <w:pPr>
        <w:pStyle w:val="ListParagraph"/>
        <w:numPr>
          <w:ilvl w:val="0"/>
          <w:numId w:val="1"/>
        </w:numPr>
        <w:spacing w:after="0" w:line="240" w:lineRule="auto"/>
        <w:rPr>
          <w:b/>
          <w:sz w:val="24"/>
          <w:szCs w:val="24"/>
        </w:rPr>
      </w:pPr>
      <w:hyperlink r:id="rId19" w:history="1">
        <w:r w:rsidR="00153DD1" w:rsidRPr="00D92A4C">
          <w:rPr>
            <w:rStyle w:val="Hyperlink"/>
            <w:sz w:val="24"/>
            <w:szCs w:val="24"/>
          </w:rPr>
          <w:t>Supplementary guidance to green book</w:t>
        </w:r>
      </w:hyperlink>
      <w:r w:rsidR="00153DD1" w:rsidRPr="00D92A4C">
        <w:rPr>
          <w:b/>
          <w:sz w:val="24"/>
          <w:szCs w:val="24"/>
        </w:rPr>
        <w:t xml:space="preserve"> </w:t>
      </w:r>
      <w:r w:rsidR="00153DD1" w:rsidRPr="00032862">
        <w:rPr>
          <w:sz w:val="24"/>
          <w:szCs w:val="24"/>
        </w:rPr>
        <w:t xml:space="preserve">- </w:t>
      </w:r>
      <w:r w:rsidR="00153DD1" w:rsidRPr="00D92A4C">
        <w:rPr>
          <w:sz w:val="24"/>
          <w:szCs w:val="24"/>
        </w:rPr>
        <w:t xml:space="preserve">The Green Book is supplemented by a number of more technical documents which relate to specific policy areas, such as the environment, transport and crime. </w:t>
      </w:r>
    </w:p>
    <w:p w:rsidR="00153DD1" w:rsidRPr="007947A8" w:rsidRDefault="00153DD1" w:rsidP="00153DD1">
      <w:pPr>
        <w:pStyle w:val="ListParagraph"/>
        <w:spacing w:after="0" w:line="240" w:lineRule="auto"/>
        <w:rPr>
          <w:b/>
          <w:sz w:val="24"/>
          <w:szCs w:val="24"/>
        </w:rPr>
      </w:pPr>
    </w:p>
    <w:p w:rsidR="00153DD1" w:rsidRPr="00D92A4C" w:rsidRDefault="00153DD1" w:rsidP="00153DD1">
      <w:pPr>
        <w:pStyle w:val="ListParagraph"/>
        <w:numPr>
          <w:ilvl w:val="0"/>
          <w:numId w:val="1"/>
        </w:numPr>
        <w:spacing w:after="0" w:line="240" w:lineRule="auto"/>
        <w:rPr>
          <w:b/>
          <w:sz w:val="24"/>
          <w:szCs w:val="24"/>
        </w:rPr>
      </w:pPr>
      <w:r>
        <w:rPr>
          <w:sz w:val="24"/>
          <w:szCs w:val="24"/>
        </w:rPr>
        <w:t>Guide For Conducting Post Implementation Reviews – produced by the Cross Government Evaluation Group (August 2015).</w:t>
      </w:r>
    </w:p>
    <w:p w:rsidR="00153DD1" w:rsidRPr="00D92A4C" w:rsidRDefault="00153DD1" w:rsidP="00153DD1">
      <w:pPr>
        <w:spacing w:after="0" w:line="240" w:lineRule="auto"/>
        <w:rPr>
          <w:sz w:val="24"/>
          <w:szCs w:val="24"/>
        </w:rPr>
      </w:pPr>
    </w:p>
    <w:p w:rsidR="00153DD1" w:rsidRPr="00043A82" w:rsidRDefault="004F2E23" w:rsidP="00153DD1">
      <w:pPr>
        <w:pStyle w:val="ListParagraph"/>
        <w:numPr>
          <w:ilvl w:val="0"/>
          <w:numId w:val="1"/>
        </w:numPr>
        <w:spacing w:after="0" w:line="240" w:lineRule="auto"/>
        <w:rPr>
          <w:b/>
          <w:sz w:val="24"/>
          <w:szCs w:val="24"/>
        </w:rPr>
      </w:pPr>
      <w:hyperlink r:id="rId20" w:history="1">
        <w:r w:rsidR="00153DD1" w:rsidRPr="00D92A4C">
          <w:rPr>
            <w:rStyle w:val="Hyperlink"/>
            <w:sz w:val="24"/>
            <w:szCs w:val="24"/>
          </w:rPr>
          <w:t>Magenta book</w:t>
        </w:r>
      </w:hyperlink>
      <w:r w:rsidR="00153DD1" w:rsidRPr="00D92A4C">
        <w:rPr>
          <w:b/>
          <w:sz w:val="24"/>
          <w:szCs w:val="24"/>
        </w:rPr>
        <w:t xml:space="preserve"> </w:t>
      </w:r>
      <w:r w:rsidR="00153DD1" w:rsidRPr="00032862">
        <w:rPr>
          <w:sz w:val="24"/>
          <w:szCs w:val="24"/>
        </w:rPr>
        <w:t>-</w:t>
      </w:r>
      <w:r w:rsidR="00153DD1">
        <w:rPr>
          <w:b/>
          <w:sz w:val="24"/>
          <w:szCs w:val="24"/>
        </w:rPr>
        <w:t xml:space="preserve"> </w:t>
      </w:r>
      <w:r w:rsidR="00153DD1" w:rsidRPr="00D92A4C">
        <w:rPr>
          <w:sz w:val="24"/>
          <w:szCs w:val="24"/>
        </w:rPr>
        <w:t xml:space="preserve">This is the HM Treasury guidance for how to carry out an evaluation of an existing policy, programme or project. This is equivalent to the Green Book, but </w:t>
      </w:r>
      <w:r w:rsidR="00153DD1" w:rsidRPr="00D92A4C">
        <w:rPr>
          <w:sz w:val="24"/>
          <w:szCs w:val="24"/>
        </w:rPr>
        <w:lastRenderedPageBreak/>
        <w:t>relates to ex post evaluation and is</w:t>
      </w:r>
      <w:r w:rsidR="00153DD1">
        <w:rPr>
          <w:sz w:val="24"/>
          <w:szCs w:val="24"/>
        </w:rPr>
        <w:t>,</w:t>
      </w:r>
      <w:r w:rsidR="00153DD1" w:rsidRPr="00D92A4C">
        <w:rPr>
          <w:sz w:val="24"/>
          <w:szCs w:val="24"/>
        </w:rPr>
        <w:t xml:space="preserve"> therefore</w:t>
      </w:r>
      <w:r w:rsidR="00153DD1">
        <w:rPr>
          <w:sz w:val="24"/>
          <w:szCs w:val="24"/>
        </w:rPr>
        <w:t>, also</w:t>
      </w:r>
      <w:r w:rsidR="00153DD1" w:rsidRPr="00D92A4C">
        <w:rPr>
          <w:sz w:val="24"/>
          <w:szCs w:val="24"/>
        </w:rPr>
        <w:t xml:space="preserve"> of particular relevance for post implementation reviews. </w:t>
      </w:r>
    </w:p>
    <w:p w:rsidR="00153DD1" w:rsidRPr="00D71479" w:rsidRDefault="00153DD1" w:rsidP="00153DD1">
      <w:pPr>
        <w:pStyle w:val="ListParagraph"/>
        <w:rPr>
          <w:sz w:val="24"/>
          <w:szCs w:val="24"/>
        </w:rPr>
      </w:pPr>
    </w:p>
    <w:p w:rsidR="00153DD1" w:rsidRDefault="00153DD1" w:rsidP="00153DD1">
      <w:pPr>
        <w:rPr>
          <w:sz w:val="24"/>
          <w:szCs w:val="24"/>
        </w:rPr>
      </w:pPr>
      <w:r>
        <w:rPr>
          <w:sz w:val="24"/>
          <w:szCs w:val="24"/>
        </w:rPr>
        <w:t>This</w:t>
      </w:r>
      <w:r w:rsidRPr="00D92A4C">
        <w:rPr>
          <w:sz w:val="24"/>
          <w:szCs w:val="24"/>
        </w:rPr>
        <w:t xml:space="preserve"> </w:t>
      </w:r>
      <w:r w:rsidR="00D625E0">
        <w:rPr>
          <w:sz w:val="24"/>
          <w:szCs w:val="24"/>
        </w:rPr>
        <w:t xml:space="preserve">case histories </w:t>
      </w:r>
      <w:r w:rsidRPr="00D92A4C">
        <w:rPr>
          <w:sz w:val="24"/>
          <w:szCs w:val="24"/>
        </w:rPr>
        <w:t>document has been structured in such a way that the order in which method</w:t>
      </w:r>
      <w:r w:rsidR="00D625E0">
        <w:rPr>
          <w:sz w:val="24"/>
          <w:szCs w:val="24"/>
        </w:rPr>
        <w:t xml:space="preserve">ology issues are discussed </w:t>
      </w:r>
      <w:r w:rsidRPr="00D92A4C">
        <w:rPr>
          <w:sz w:val="24"/>
          <w:szCs w:val="24"/>
        </w:rPr>
        <w:t xml:space="preserve">follows the order of analytical steps that departments need to consider when developing an impact assessment. </w:t>
      </w:r>
      <w:r>
        <w:rPr>
          <w:sz w:val="24"/>
          <w:szCs w:val="24"/>
        </w:rPr>
        <w:t>T</w:t>
      </w:r>
      <w:r w:rsidRPr="00D92A4C">
        <w:rPr>
          <w:sz w:val="24"/>
          <w:szCs w:val="24"/>
        </w:rPr>
        <w:t>he document can</w:t>
      </w:r>
      <w:r>
        <w:rPr>
          <w:sz w:val="24"/>
          <w:szCs w:val="24"/>
        </w:rPr>
        <w:t>, therefore,</w:t>
      </w:r>
      <w:r w:rsidRPr="00D92A4C">
        <w:rPr>
          <w:sz w:val="24"/>
          <w:szCs w:val="24"/>
        </w:rPr>
        <w:t xml:space="preserve"> be used as a source of refe</w:t>
      </w:r>
      <w:r w:rsidR="00D625E0">
        <w:rPr>
          <w:sz w:val="24"/>
          <w:szCs w:val="24"/>
        </w:rPr>
        <w:t>rence for a specific methodological</w:t>
      </w:r>
      <w:r w:rsidRPr="00D92A4C">
        <w:rPr>
          <w:sz w:val="24"/>
          <w:szCs w:val="24"/>
        </w:rPr>
        <w:t xml:space="preserve"> issue rather than be read cover to cover.</w:t>
      </w:r>
      <w:r>
        <w:rPr>
          <w:sz w:val="24"/>
          <w:szCs w:val="24"/>
        </w:rPr>
        <w:t xml:space="preserve"> The</w:t>
      </w:r>
      <w:r w:rsidRPr="00D92A4C">
        <w:rPr>
          <w:sz w:val="24"/>
          <w:szCs w:val="24"/>
        </w:rPr>
        <w:t xml:space="preserve"> </w:t>
      </w:r>
      <w:r>
        <w:rPr>
          <w:sz w:val="24"/>
          <w:szCs w:val="24"/>
        </w:rPr>
        <w:t>table below may help indicate potential linkages between various methodological issues.</w:t>
      </w:r>
    </w:p>
    <w:p w:rsidR="00153DD1" w:rsidRDefault="00153DD1" w:rsidP="00153DD1">
      <w:pPr>
        <w:rPr>
          <w:color w:val="C00000"/>
          <w:sz w:val="24"/>
          <w:szCs w:val="24"/>
        </w:rPr>
      </w:pPr>
    </w:p>
    <w:p w:rsidR="002D53B6" w:rsidRDefault="002D53B6" w:rsidP="00695C67">
      <w:pPr>
        <w:rPr>
          <w:color w:val="C00000"/>
          <w:sz w:val="24"/>
          <w:szCs w:val="24"/>
        </w:rPr>
      </w:pPr>
    </w:p>
    <w:p w:rsidR="002D53B6" w:rsidRDefault="002D53B6">
      <w:pPr>
        <w:rPr>
          <w:b/>
          <w:color w:val="E36C0A" w:themeColor="accent6" w:themeShade="BF"/>
          <w:sz w:val="32"/>
          <w:szCs w:val="32"/>
        </w:rPr>
        <w:sectPr w:rsidR="002D53B6" w:rsidSect="00E2498D">
          <w:footerReference w:type="default" r:id="rId21"/>
          <w:footerReference w:type="first" r:id="rId22"/>
          <w:pgSz w:w="11906" w:h="16838"/>
          <w:pgMar w:top="1440" w:right="1440" w:bottom="1440" w:left="1440" w:header="708" w:footer="708" w:gutter="0"/>
          <w:pgNumType w:start="1"/>
          <w:cols w:space="708"/>
          <w:titlePg/>
          <w:docGrid w:linePitch="360"/>
        </w:sectPr>
      </w:pPr>
    </w:p>
    <w:tbl>
      <w:tblPr>
        <w:tblStyle w:val="MediumGrid3-Accent6"/>
        <w:tblpPr w:leftFromText="180" w:rightFromText="180" w:vertAnchor="text" w:horzAnchor="margin" w:tblpXSpec="right" w:tblpY="56"/>
        <w:tblW w:w="14000" w:type="dxa"/>
        <w:tblLayout w:type="fixed"/>
        <w:tblLook w:val="04A0" w:firstRow="1" w:lastRow="0" w:firstColumn="1" w:lastColumn="0" w:noHBand="0" w:noVBand="1"/>
      </w:tblPr>
      <w:tblGrid>
        <w:gridCol w:w="2518"/>
        <w:gridCol w:w="567"/>
        <w:gridCol w:w="851"/>
        <w:gridCol w:w="567"/>
        <w:gridCol w:w="567"/>
        <w:gridCol w:w="620"/>
        <w:gridCol w:w="642"/>
        <w:gridCol w:w="566"/>
        <w:gridCol w:w="566"/>
        <w:gridCol w:w="566"/>
        <w:gridCol w:w="566"/>
        <w:gridCol w:w="566"/>
        <w:gridCol w:w="566"/>
        <w:gridCol w:w="566"/>
        <w:gridCol w:w="566"/>
        <w:gridCol w:w="566"/>
        <w:gridCol w:w="566"/>
        <w:gridCol w:w="590"/>
        <w:gridCol w:w="686"/>
        <w:gridCol w:w="732"/>
      </w:tblGrid>
      <w:tr w:rsidR="00153DD1" w:rsidRPr="004269DE" w:rsidTr="00E91192">
        <w:trPr>
          <w:cnfStyle w:val="100000000000" w:firstRow="1" w:lastRow="0" w:firstColumn="0" w:lastColumn="0" w:oddVBand="0" w:evenVBand="0" w:oddHBand="0"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518" w:type="dxa"/>
            <w:tcBorders>
              <w:top w:val="single" w:sz="12" w:space="0" w:color="984806" w:themeColor="accent6" w:themeShade="80"/>
              <w:left w:val="single" w:sz="12" w:space="0" w:color="984806" w:themeColor="accent6" w:themeShade="80"/>
            </w:tcBorders>
            <w:shd w:val="clear" w:color="auto" w:fill="FFFFFF" w:themeFill="background1"/>
          </w:tcPr>
          <w:p w:rsidR="00153DD1" w:rsidRPr="00EB2402" w:rsidRDefault="00153DD1" w:rsidP="00153DD1">
            <w:pPr>
              <w:pStyle w:val="ListParagraph"/>
              <w:ind w:left="0"/>
              <w:rPr>
                <w:color w:val="E36C0A" w:themeColor="accent6" w:themeShade="BF"/>
                <w:sz w:val="32"/>
                <w:szCs w:val="32"/>
              </w:rPr>
            </w:pPr>
          </w:p>
        </w:tc>
        <w:tc>
          <w:tcPr>
            <w:tcW w:w="1985" w:type="dxa"/>
            <w:gridSpan w:val="3"/>
            <w:tcBorders>
              <w:top w:val="single" w:sz="12" w:space="0" w:color="984806" w:themeColor="accent6" w:themeShade="80"/>
            </w:tcBorders>
            <w:shd w:val="clear" w:color="auto" w:fill="EEECE1" w:themeFill="background2"/>
          </w:tcPr>
          <w:p w:rsidR="00153DD1" w:rsidRPr="00EB2402" w:rsidRDefault="00153DD1" w:rsidP="00153DD1">
            <w:pPr>
              <w:pStyle w:val="ListParagraph"/>
              <w:ind w:left="0"/>
              <w:jc w:val="center"/>
              <w:cnfStyle w:val="100000000000" w:firstRow="1" w:lastRow="0" w:firstColumn="0" w:lastColumn="0" w:oddVBand="0" w:evenVBand="0" w:oddHBand="0" w:evenHBand="0" w:firstRowFirstColumn="0" w:firstRowLastColumn="0" w:lastRowFirstColumn="0" w:lastRowLastColumn="0"/>
              <w:rPr>
                <w:bCs w:val="0"/>
                <w:i/>
                <w:color w:val="808080" w:themeColor="background1" w:themeShade="80"/>
                <w:sz w:val="20"/>
                <w:szCs w:val="20"/>
              </w:rPr>
            </w:pPr>
            <w:r w:rsidRPr="00EB2402">
              <w:rPr>
                <w:b w:val="0"/>
                <w:i/>
                <w:color w:val="808080" w:themeColor="background1" w:themeShade="80"/>
                <w:sz w:val="20"/>
                <w:szCs w:val="20"/>
              </w:rPr>
              <w:t>Problem under consideration</w:t>
            </w:r>
          </w:p>
          <w:p w:rsidR="00153DD1" w:rsidRPr="00EB2402" w:rsidRDefault="00153DD1" w:rsidP="00153DD1">
            <w:pPr>
              <w:pStyle w:val="ListParagraph"/>
              <w:ind w:left="0"/>
              <w:jc w:val="center"/>
              <w:cnfStyle w:val="100000000000" w:firstRow="1" w:lastRow="0" w:firstColumn="0" w:lastColumn="0" w:oddVBand="0" w:evenVBand="0" w:oddHBand="0" w:evenHBand="0" w:firstRowFirstColumn="0" w:firstRowLastColumn="0" w:lastRowFirstColumn="0" w:lastRowLastColumn="0"/>
              <w:rPr>
                <w:b w:val="0"/>
                <w:i/>
                <w:color w:val="808080" w:themeColor="background1" w:themeShade="80"/>
                <w:sz w:val="20"/>
                <w:szCs w:val="20"/>
              </w:rPr>
            </w:pPr>
            <w:r w:rsidRPr="00EB2402">
              <w:rPr>
                <w:b w:val="0"/>
                <w:i/>
                <w:color w:val="808080" w:themeColor="background1" w:themeShade="80"/>
                <w:sz w:val="20"/>
                <w:szCs w:val="20"/>
              </w:rPr>
              <w:t>&amp; options</w:t>
            </w:r>
          </w:p>
        </w:tc>
        <w:tc>
          <w:tcPr>
            <w:tcW w:w="1187" w:type="dxa"/>
            <w:gridSpan w:val="2"/>
            <w:tcBorders>
              <w:top w:val="single" w:sz="12" w:space="0" w:color="984806" w:themeColor="accent6" w:themeShade="80"/>
            </w:tcBorders>
            <w:shd w:val="clear" w:color="auto" w:fill="EEECE1" w:themeFill="background2"/>
          </w:tcPr>
          <w:p w:rsidR="00153DD1" w:rsidRPr="00EB2402" w:rsidRDefault="00153DD1" w:rsidP="00153DD1">
            <w:pPr>
              <w:pStyle w:val="ListParagraph"/>
              <w:ind w:left="0"/>
              <w:jc w:val="center"/>
              <w:cnfStyle w:val="100000000000" w:firstRow="1" w:lastRow="0" w:firstColumn="0" w:lastColumn="0" w:oddVBand="0" w:evenVBand="0" w:oddHBand="0" w:evenHBand="0" w:firstRowFirstColumn="0" w:firstRowLastColumn="0" w:lastRowFirstColumn="0" w:lastRowLastColumn="0"/>
              <w:rPr>
                <w:b w:val="0"/>
                <w:i/>
                <w:color w:val="808080" w:themeColor="background1" w:themeShade="80"/>
                <w:sz w:val="20"/>
                <w:szCs w:val="20"/>
              </w:rPr>
            </w:pPr>
            <w:r>
              <w:rPr>
                <w:b w:val="0"/>
                <w:i/>
                <w:color w:val="808080" w:themeColor="background1" w:themeShade="80"/>
                <w:sz w:val="20"/>
                <w:szCs w:val="20"/>
              </w:rPr>
              <w:t>Preparing</w:t>
            </w:r>
            <w:r w:rsidRPr="00EB2402">
              <w:rPr>
                <w:b w:val="0"/>
                <w:i/>
                <w:color w:val="808080" w:themeColor="background1" w:themeShade="80"/>
                <w:sz w:val="20"/>
                <w:szCs w:val="20"/>
              </w:rPr>
              <w:t xml:space="preserve"> reliable estimates</w:t>
            </w:r>
          </w:p>
        </w:tc>
        <w:tc>
          <w:tcPr>
            <w:tcW w:w="6892" w:type="dxa"/>
            <w:gridSpan w:val="12"/>
            <w:tcBorders>
              <w:top w:val="single" w:sz="12" w:space="0" w:color="984806" w:themeColor="accent6" w:themeShade="80"/>
            </w:tcBorders>
            <w:shd w:val="clear" w:color="auto" w:fill="EEECE1" w:themeFill="background2"/>
          </w:tcPr>
          <w:p w:rsidR="00153DD1" w:rsidRPr="00EB2402" w:rsidRDefault="00153DD1" w:rsidP="00153DD1">
            <w:pPr>
              <w:pStyle w:val="ListParagraph"/>
              <w:ind w:left="0"/>
              <w:jc w:val="center"/>
              <w:cnfStyle w:val="100000000000" w:firstRow="1" w:lastRow="0" w:firstColumn="0" w:lastColumn="0" w:oddVBand="0" w:evenVBand="0" w:oddHBand="0" w:evenHBand="0" w:firstRowFirstColumn="0" w:firstRowLastColumn="0" w:lastRowFirstColumn="0" w:lastRowLastColumn="0"/>
              <w:rPr>
                <w:b w:val="0"/>
                <w:i/>
                <w:color w:val="808080" w:themeColor="background1" w:themeShade="80"/>
                <w:sz w:val="20"/>
                <w:szCs w:val="20"/>
              </w:rPr>
            </w:pPr>
          </w:p>
          <w:p w:rsidR="00153DD1" w:rsidRPr="00EB2402" w:rsidRDefault="008A7265" w:rsidP="008A7265">
            <w:pPr>
              <w:pStyle w:val="ListParagraph"/>
              <w:ind w:left="0"/>
              <w:cnfStyle w:val="100000000000" w:firstRow="1" w:lastRow="0" w:firstColumn="0" w:lastColumn="0" w:oddVBand="0" w:evenVBand="0" w:oddHBand="0" w:evenHBand="0" w:firstRowFirstColumn="0" w:firstRowLastColumn="0" w:lastRowFirstColumn="0" w:lastRowLastColumn="0"/>
              <w:rPr>
                <w:b w:val="0"/>
                <w:i/>
                <w:color w:val="808080" w:themeColor="background1" w:themeShade="80"/>
                <w:sz w:val="20"/>
                <w:szCs w:val="20"/>
              </w:rPr>
            </w:pPr>
            <w:r>
              <w:rPr>
                <w:b w:val="0"/>
                <w:i/>
                <w:color w:val="808080" w:themeColor="background1" w:themeShade="80"/>
                <w:sz w:val="20"/>
                <w:szCs w:val="20"/>
              </w:rPr>
              <w:t xml:space="preserve">  </w:t>
            </w:r>
            <w:r w:rsidR="00153DD1" w:rsidRPr="00EB2402">
              <w:rPr>
                <w:b w:val="0"/>
                <w:i/>
                <w:color w:val="808080" w:themeColor="background1" w:themeShade="80"/>
                <w:sz w:val="20"/>
                <w:szCs w:val="20"/>
              </w:rPr>
              <w:t xml:space="preserve">Methodology </w:t>
            </w:r>
            <w:r w:rsidR="00153DD1">
              <w:rPr>
                <w:b w:val="0"/>
                <w:i/>
                <w:color w:val="808080" w:themeColor="background1" w:themeShade="80"/>
                <w:sz w:val="20"/>
                <w:szCs w:val="20"/>
              </w:rPr>
              <w:t xml:space="preserve">issues </w:t>
            </w:r>
            <w:r w:rsidR="00153DD1" w:rsidRPr="00EB2402">
              <w:rPr>
                <w:b w:val="0"/>
                <w:i/>
                <w:color w:val="808080" w:themeColor="background1" w:themeShade="80"/>
                <w:sz w:val="20"/>
                <w:szCs w:val="20"/>
              </w:rPr>
              <w:t xml:space="preserve">affecting Business Impact Target </w:t>
            </w:r>
            <w:r w:rsidR="00153DD1">
              <w:rPr>
                <w:b w:val="0"/>
                <w:i/>
                <w:color w:val="808080" w:themeColor="background1" w:themeShade="80"/>
                <w:sz w:val="20"/>
                <w:szCs w:val="20"/>
              </w:rPr>
              <w:t xml:space="preserve">and scope </w:t>
            </w:r>
            <w:r w:rsidR="00153DD1" w:rsidRPr="00EB2402">
              <w:rPr>
                <w:b w:val="0"/>
                <w:i/>
                <w:color w:val="808080" w:themeColor="background1" w:themeShade="80"/>
                <w:sz w:val="20"/>
                <w:szCs w:val="20"/>
              </w:rPr>
              <w:t>classification</w:t>
            </w:r>
          </w:p>
        </w:tc>
        <w:tc>
          <w:tcPr>
            <w:tcW w:w="686" w:type="dxa"/>
            <w:tcBorders>
              <w:top w:val="single" w:sz="12" w:space="0" w:color="984806" w:themeColor="accent6" w:themeShade="80"/>
            </w:tcBorders>
            <w:shd w:val="clear" w:color="auto" w:fill="EEECE1" w:themeFill="background2"/>
          </w:tcPr>
          <w:p w:rsidR="00153DD1" w:rsidRPr="00E91192" w:rsidRDefault="00153DD1" w:rsidP="00153DD1">
            <w:pPr>
              <w:pStyle w:val="ListParagraph"/>
              <w:ind w:left="0"/>
              <w:jc w:val="center"/>
              <w:cnfStyle w:val="100000000000" w:firstRow="1" w:lastRow="0" w:firstColumn="0" w:lastColumn="0" w:oddVBand="0" w:evenVBand="0" w:oddHBand="0" w:evenHBand="0" w:firstRowFirstColumn="0" w:firstRowLastColumn="0" w:lastRowFirstColumn="0" w:lastRowLastColumn="0"/>
              <w:rPr>
                <w:b w:val="0"/>
                <w:i/>
                <w:color w:val="808080" w:themeColor="background1" w:themeShade="80"/>
                <w:sz w:val="20"/>
                <w:szCs w:val="20"/>
              </w:rPr>
            </w:pPr>
          </w:p>
          <w:p w:rsidR="00153DD1" w:rsidRPr="00E91192" w:rsidRDefault="00153DD1" w:rsidP="00153DD1">
            <w:pPr>
              <w:pStyle w:val="ListParagraph"/>
              <w:ind w:left="0"/>
              <w:jc w:val="center"/>
              <w:cnfStyle w:val="100000000000" w:firstRow="1" w:lastRow="0" w:firstColumn="0" w:lastColumn="0" w:oddVBand="0" w:evenVBand="0" w:oddHBand="0" w:evenHBand="0" w:firstRowFirstColumn="0" w:firstRowLastColumn="0" w:lastRowFirstColumn="0" w:lastRowLastColumn="0"/>
              <w:rPr>
                <w:b w:val="0"/>
                <w:i/>
                <w:color w:val="808080" w:themeColor="background1" w:themeShade="80"/>
                <w:sz w:val="20"/>
                <w:szCs w:val="20"/>
              </w:rPr>
            </w:pPr>
            <w:r w:rsidRPr="00E91192">
              <w:rPr>
                <w:b w:val="0"/>
                <w:i/>
                <w:color w:val="808080" w:themeColor="background1" w:themeShade="80"/>
                <w:sz w:val="20"/>
                <w:szCs w:val="20"/>
              </w:rPr>
              <w:t>SMB</w:t>
            </w:r>
          </w:p>
        </w:tc>
        <w:tc>
          <w:tcPr>
            <w:tcW w:w="732" w:type="dxa"/>
            <w:tcBorders>
              <w:top w:val="single" w:sz="12" w:space="0" w:color="984806" w:themeColor="accent6" w:themeShade="80"/>
              <w:right w:val="single" w:sz="12" w:space="0" w:color="984806" w:themeColor="accent6" w:themeShade="80"/>
            </w:tcBorders>
            <w:shd w:val="clear" w:color="auto" w:fill="EEECE1" w:themeFill="background2"/>
          </w:tcPr>
          <w:p w:rsidR="00153DD1" w:rsidRPr="00E91192" w:rsidRDefault="00153DD1" w:rsidP="00153DD1">
            <w:pPr>
              <w:pStyle w:val="ListParagraph"/>
              <w:ind w:left="0"/>
              <w:jc w:val="center"/>
              <w:cnfStyle w:val="100000000000" w:firstRow="1" w:lastRow="0" w:firstColumn="0" w:lastColumn="0" w:oddVBand="0" w:evenVBand="0" w:oddHBand="0" w:evenHBand="0" w:firstRowFirstColumn="0" w:firstRowLastColumn="0" w:lastRowFirstColumn="0" w:lastRowLastColumn="0"/>
              <w:rPr>
                <w:b w:val="0"/>
                <w:i/>
                <w:color w:val="808080" w:themeColor="background1" w:themeShade="80"/>
                <w:sz w:val="20"/>
                <w:szCs w:val="20"/>
              </w:rPr>
            </w:pPr>
          </w:p>
          <w:p w:rsidR="00153DD1" w:rsidRPr="00E91192" w:rsidRDefault="00153DD1" w:rsidP="00153DD1">
            <w:pPr>
              <w:pStyle w:val="ListParagraph"/>
              <w:ind w:left="0"/>
              <w:jc w:val="center"/>
              <w:cnfStyle w:val="100000000000" w:firstRow="1" w:lastRow="0" w:firstColumn="0" w:lastColumn="0" w:oddVBand="0" w:evenVBand="0" w:oddHBand="0" w:evenHBand="0" w:firstRowFirstColumn="0" w:firstRowLastColumn="0" w:lastRowFirstColumn="0" w:lastRowLastColumn="0"/>
              <w:rPr>
                <w:b w:val="0"/>
                <w:i/>
                <w:color w:val="808080" w:themeColor="background1" w:themeShade="80"/>
                <w:sz w:val="20"/>
                <w:szCs w:val="20"/>
              </w:rPr>
            </w:pPr>
            <w:r w:rsidRPr="00E91192">
              <w:rPr>
                <w:b w:val="0"/>
                <w:i/>
                <w:color w:val="808080" w:themeColor="background1" w:themeShade="80"/>
                <w:sz w:val="20"/>
                <w:szCs w:val="20"/>
              </w:rPr>
              <w:t>NPV</w:t>
            </w:r>
          </w:p>
        </w:tc>
      </w:tr>
      <w:tr w:rsidR="003674AE" w:rsidRPr="00EB2402" w:rsidTr="003D2144">
        <w:trPr>
          <w:cnfStyle w:val="000000100000" w:firstRow="0" w:lastRow="0" w:firstColumn="0" w:lastColumn="0" w:oddVBand="0" w:evenVBand="0" w:oddHBand="1" w:evenHBand="0" w:firstRowFirstColumn="0" w:firstRowLastColumn="0" w:lastRowFirstColumn="0" w:lastRowLastColumn="0"/>
          <w:cantSplit/>
          <w:trHeight w:val="2422"/>
        </w:trPr>
        <w:tc>
          <w:tcPr>
            <w:cnfStyle w:val="001000000000" w:firstRow="0" w:lastRow="0" w:firstColumn="1" w:lastColumn="0" w:oddVBand="0" w:evenVBand="0" w:oddHBand="0" w:evenHBand="0" w:firstRowFirstColumn="0" w:firstRowLastColumn="0" w:lastRowFirstColumn="0" w:lastRowLastColumn="0"/>
            <w:tcW w:w="2518" w:type="dxa"/>
            <w:tcBorders>
              <w:left w:val="single" w:sz="12" w:space="0" w:color="984806" w:themeColor="accent6" w:themeShade="80"/>
            </w:tcBorders>
            <w:shd w:val="clear" w:color="auto" w:fill="FFFFFF" w:themeFill="background1"/>
          </w:tcPr>
          <w:p w:rsidR="008A7265" w:rsidRDefault="008A7265" w:rsidP="00153DD1">
            <w:pPr>
              <w:pStyle w:val="ListParagraph"/>
              <w:ind w:left="0"/>
              <w:rPr>
                <w:b w:val="0"/>
                <w:i/>
                <w:color w:val="000000" w:themeColor="text1"/>
                <w:sz w:val="20"/>
                <w:szCs w:val="20"/>
              </w:rPr>
            </w:pPr>
          </w:p>
          <w:p w:rsidR="008A7265" w:rsidRDefault="008A7265" w:rsidP="00153DD1">
            <w:pPr>
              <w:pStyle w:val="ListParagraph"/>
              <w:ind w:left="0"/>
              <w:rPr>
                <w:b w:val="0"/>
                <w:i/>
                <w:color w:val="000000" w:themeColor="text1"/>
                <w:sz w:val="20"/>
                <w:szCs w:val="20"/>
              </w:rPr>
            </w:pPr>
          </w:p>
          <w:p w:rsidR="008A7265" w:rsidRPr="00AC21C4" w:rsidRDefault="008A7265" w:rsidP="00153DD1">
            <w:pPr>
              <w:pStyle w:val="ListParagraph"/>
              <w:ind w:left="0"/>
              <w:jc w:val="center"/>
              <w:rPr>
                <w:color w:val="000000" w:themeColor="text1"/>
                <w:sz w:val="44"/>
                <w:szCs w:val="44"/>
              </w:rPr>
            </w:pPr>
            <w:r w:rsidRPr="00AC21C4">
              <w:rPr>
                <w:color w:val="E36C0A" w:themeColor="accent6" w:themeShade="BF"/>
                <w:sz w:val="44"/>
                <w:szCs w:val="44"/>
              </w:rPr>
              <w:t>Issue Matrix</w:t>
            </w:r>
          </w:p>
        </w:tc>
        <w:tc>
          <w:tcPr>
            <w:tcW w:w="567" w:type="dxa"/>
            <w:shd w:val="clear" w:color="auto" w:fill="F79646" w:themeFill="accent6"/>
            <w:textDirection w:val="btLr"/>
          </w:tcPr>
          <w:p w:rsidR="008A7265" w:rsidRPr="00EB2402" w:rsidRDefault="008A7265" w:rsidP="00153DD1">
            <w:pPr>
              <w:pStyle w:val="ListParagraph"/>
              <w:ind w:left="113" w:right="113"/>
              <w:cnfStyle w:val="000000100000" w:firstRow="0" w:lastRow="0" w:firstColumn="0" w:lastColumn="0" w:oddVBand="0" w:evenVBand="0" w:oddHBand="1" w:evenHBand="0" w:firstRowFirstColumn="0" w:firstRowLastColumn="0" w:lastRowFirstColumn="0" w:lastRowLastColumn="0"/>
              <w:rPr>
                <w:b/>
                <w:i/>
                <w:color w:val="000000" w:themeColor="text1"/>
              </w:rPr>
            </w:pPr>
            <w:r w:rsidRPr="00EB2402">
              <w:rPr>
                <w:b/>
                <w:i/>
                <w:color w:val="000000" w:themeColor="text1"/>
              </w:rPr>
              <w:t>Problem / rationale</w:t>
            </w:r>
          </w:p>
        </w:tc>
        <w:tc>
          <w:tcPr>
            <w:tcW w:w="851" w:type="dxa"/>
            <w:shd w:val="clear" w:color="auto" w:fill="F79646" w:themeFill="accent6"/>
            <w:textDirection w:val="btLr"/>
          </w:tcPr>
          <w:p w:rsidR="008A7265" w:rsidRPr="00EB2402" w:rsidRDefault="008A7265" w:rsidP="00153DD1">
            <w:pPr>
              <w:pStyle w:val="ListParagraph"/>
              <w:ind w:left="113" w:right="113"/>
              <w:cnfStyle w:val="000000100000" w:firstRow="0" w:lastRow="0" w:firstColumn="0" w:lastColumn="0" w:oddVBand="0" w:evenVBand="0" w:oddHBand="1" w:evenHBand="0" w:firstRowFirstColumn="0" w:firstRowLastColumn="0" w:lastRowFirstColumn="0" w:lastRowLastColumn="0"/>
              <w:rPr>
                <w:b/>
                <w:i/>
                <w:color w:val="000000" w:themeColor="text1"/>
              </w:rPr>
            </w:pPr>
            <w:r w:rsidRPr="00EB2402">
              <w:rPr>
                <w:b/>
                <w:i/>
                <w:color w:val="000000" w:themeColor="text1"/>
              </w:rPr>
              <w:t>Linking options to problem</w:t>
            </w:r>
          </w:p>
        </w:tc>
        <w:tc>
          <w:tcPr>
            <w:tcW w:w="567" w:type="dxa"/>
            <w:shd w:val="clear" w:color="auto" w:fill="F79646" w:themeFill="accent6"/>
            <w:textDirection w:val="btLr"/>
          </w:tcPr>
          <w:p w:rsidR="008A7265" w:rsidRPr="00EB2402" w:rsidRDefault="008A7265" w:rsidP="00153DD1">
            <w:pPr>
              <w:pStyle w:val="ListParagraph"/>
              <w:ind w:left="113" w:right="113"/>
              <w:cnfStyle w:val="000000100000" w:firstRow="0" w:lastRow="0" w:firstColumn="0" w:lastColumn="0" w:oddVBand="0" w:evenVBand="0" w:oddHBand="1" w:evenHBand="0" w:firstRowFirstColumn="0" w:firstRowLastColumn="0" w:lastRowFirstColumn="0" w:lastRowLastColumn="0"/>
              <w:rPr>
                <w:b/>
                <w:i/>
                <w:color w:val="000000" w:themeColor="text1"/>
              </w:rPr>
            </w:pPr>
            <w:r w:rsidRPr="00EB2402">
              <w:rPr>
                <w:b/>
                <w:i/>
                <w:color w:val="000000" w:themeColor="text1"/>
              </w:rPr>
              <w:t>Non-regulatory  options</w:t>
            </w:r>
          </w:p>
        </w:tc>
        <w:tc>
          <w:tcPr>
            <w:tcW w:w="567" w:type="dxa"/>
            <w:shd w:val="clear" w:color="auto" w:fill="F79646" w:themeFill="accent6"/>
            <w:textDirection w:val="btLr"/>
          </w:tcPr>
          <w:p w:rsidR="008A7265" w:rsidRPr="00EB2402" w:rsidRDefault="008A7265" w:rsidP="00153DD1">
            <w:pPr>
              <w:pStyle w:val="ListParagraph"/>
              <w:ind w:left="113" w:right="113"/>
              <w:cnfStyle w:val="000000100000" w:firstRow="0" w:lastRow="0" w:firstColumn="0" w:lastColumn="0" w:oddVBand="0" w:evenVBand="0" w:oddHBand="1" w:evenHBand="0" w:firstRowFirstColumn="0" w:firstRowLastColumn="0" w:lastRowFirstColumn="0" w:lastRowLastColumn="0"/>
              <w:rPr>
                <w:b/>
                <w:i/>
                <w:color w:val="000000" w:themeColor="text1"/>
              </w:rPr>
            </w:pPr>
            <w:r w:rsidRPr="00EB2402">
              <w:rPr>
                <w:b/>
                <w:i/>
                <w:color w:val="000000" w:themeColor="text1"/>
              </w:rPr>
              <w:t>Counterfactual</w:t>
            </w:r>
          </w:p>
        </w:tc>
        <w:tc>
          <w:tcPr>
            <w:tcW w:w="620" w:type="dxa"/>
            <w:shd w:val="clear" w:color="auto" w:fill="F79646" w:themeFill="accent6"/>
            <w:textDirection w:val="btLr"/>
          </w:tcPr>
          <w:p w:rsidR="008A7265" w:rsidRPr="00EB2402" w:rsidRDefault="008A7265" w:rsidP="00153DD1">
            <w:pPr>
              <w:pStyle w:val="ListParagraph"/>
              <w:ind w:left="113" w:right="113"/>
              <w:cnfStyle w:val="000000100000" w:firstRow="0" w:lastRow="0" w:firstColumn="0" w:lastColumn="0" w:oddVBand="0" w:evenVBand="0" w:oddHBand="1" w:evenHBand="0" w:firstRowFirstColumn="0" w:firstRowLastColumn="0" w:lastRowFirstColumn="0" w:lastRowLastColumn="0"/>
              <w:rPr>
                <w:b/>
                <w:i/>
                <w:color w:val="000000" w:themeColor="text1"/>
              </w:rPr>
            </w:pPr>
            <w:r w:rsidRPr="00EB2402">
              <w:rPr>
                <w:b/>
                <w:i/>
                <w:color w:val="000000" w:themeColor="text1"/>
              </w:rPr>
              <w:t xml:space="preserve">Proportionality </w:t>
            </w:r>
          </w:p>
          <w:p w:rsidR="008A7265" w:rsidRPr="00EB2402" w:rsidRDefault="008A7265" w:rsidP="00153DD1">
            <w:pPr>
              <w:pStyle w:val="ListParagraph"/>
              <w:ind w:left="113" w:right="113"/>
              <w:cnfStyle w:val="000000100000" w:firstRow="0" w:lastRow="0" w:firstColumn="0" w:lastColumn="0" w:oddVBand="0" w:evenVBand="0" w:oddHBand="1" w:evenHBand="0" w:firstRowFirstColumn="0" w:firstRowLastColumn="0" w:lastRowFirstColumn="0" w:lastRowLastColumn="0"/>
              <w:rPr>
                <w:b/>
                <w:i/>
                <w:color w:val="000000" w:themeColor="text1"/>
              </w:rPr>
            </w:pPr>
          </w:p>
        </w:tc>
        <w:tc>
          <w:tcPr>
            <w:tcW w:w="642" w:type="dxa"/>
            <w:shd w:val="clear" w:color="auto" w:fill="FABF8F" w:themeFill="accent6" w:themeFillTint="99"/>
            <w:textDirection w:val="btLr"/>
          </w:tcPr>
          <w:p w:rsidR="008A7265" w:rsidRPr="00EB2402" w:rsidRDefault="008A7265" w:rsidP="00153DD1">
            <w:pPr>
              <w:pStyle w:val="ListParagraph"/>
              <w:ind w:left="113" w:right="113"/>
              <w:cnfStyle w:val="000000100000" w:firstRow="0" w:lastRow="0" w:firstColumn="0" w:lastColumn="0" w:oddVBand="0" w:evenVBand="0" w:oddHBand="1" w:evenHBand="0" w:firstRowFirstColumn="0" w:firstRowLastColumn="0" w:lastRowFirstColumn="0" w:lastRowLastColumn="0"/>
              <w:rPr>
                <w:b/>
                <w:i/>
                <w:color w:val="000000" w:themeColor="text1"/>
              </w:rPr>
            </w:pPr>
            <w:r w:rsidRPr="00EB2402">
              <w:rPr>
                <w:b/>
                <w:i/>
                <w:color w:val="000000" w:themeColor="text1"/>
              </w:rPr>
              <w:t>Direct / indirect</w:t>
            </w:r>
          </w:p>
        </w:tc>
        <w:tc>
          <w:tcPr>
            <w:tcW w:w="566" w:type="dxa"/>
            <w:shd w:val="clear" w:color="auto" w:fill="FABF8F" w:themeFill="accent6" w:themeFillTint="99"/>
            <w:textDirection w:val="btLr"/>
          </w:tcPr>
          <w:p w:rsidR="008A7265" w:rsidRPr="00EB2402" w:rsidRDefault="008A7265" w:rsidP="00153DD1">
            <w:pPr>
              <w:pStyle w:val="ListParagraph"/>
              <w:ind w:left="113" w:right="113"/>
              <w:cnfStyle w:val="000000100000" w:firstRow="0" w:lastRow="0" w:firstColumn="0" w:lastColumn="0" w:oddVBand="0" w:evenVBand="0" w:oddHBand="1" w:evenHBand="0" w:firstRowFirstColumn="0" w:firstRowLastColumn="0" w:lastRowFirstColumn="0" w:lastRowLastColumn="0"/>
              <w:rPr>
                <w:b/>
                <w:i/>
                <w:color w:val="000000" w:themeColor="text1"/>
              </w:rPr>
            </w:pPr>
            <w:r w:rsidRPr="00EB2402">
              <w:rPr>
                <w:b/>
                <w:i/>
                <w:color w:val="000000" w:themeColor="text1"/>
              </w:rPr>
              <w:t xml:space="preserve">EU / international </w:t>
            </w:r>
          </w:p>
        </w:tc>
        <w:tc>
          <w:tcPr>
            <w:tcW w:w="566" w:type="dxa"/>
            <w:shd w:val="clear" w:color="auto" w:fill="FABF8F" w:themeFill="accent6" w:themeFillTint="99"/>
            <w:textDirection w:val="btLr"/>
          </w:tcPr>
          <w:p w:rsidR="008A7265" w:rsidRPr="00EB2402" w:rsidRDefault="008A7265" w:rsidP="00153DD1">
            <w:pPr>
              <w:pStyle w:val="ListParagraph"/>
              <w:ind w:left="113" w:right="113"/>
              <w:cnfStyle w:val="000000100000" w:firstRow="0" w:lastRow="0" w:firstColumn="0" w:lastColumn="0" w:oddVBand="0" w:evenVBand="0" w:oddHBand="1" w:evenHBand="0" w:firstRowFirstColumn="0" w:firstRowLastColumn="0" w:lastRowFirstColumn="0" w:lastRowLastColumn="0"/>
              <w:rPr>
                <w:b/>
                <w:i/>
                <w:color w:val="000000" w:themeColor="text1"/>
              </w:rPr>
            </w:pPr>
            <w:r w:rsidRPr="00EB2402">
              <w:rPr>
                <w:b/>
                <w:i/>
                <w:color w:val="000000" w:themeColor="text1"/>
              </w:rPr>
              <w:t>Non-compliance</w:t>
            </w:r>
          </w:p>
        </w:tc>
        <w:tc>
          <w:tcPr>
            <w:tcW w:w="566" w:type="dxa"/>
            <w:shd w:val="clear" w:color="auto" w:fill="FABF8F" w:themeFill="accent6" w:themeFillTint="99"/>
            <w:textDirection w:val="btLr"/>
          </w:tcPr>
          <w:p w:rsidR="008A7265" w:rsidRPr="00EB2402" w:rsidRDefault="008A7265" w:rsidP="00153DD1">
            <w:pPr>
              <w:pStyle w:val="ListParagraph"/>
              <w:ind w:left="113" w:right="113"/>
              <w:cnfStyle w:val="000000100000" w:firstRow="0" w:lastRow="0" w:firstColumn="0" w:lastColumn="0" w:oddVBand="0" w:evenVBand="0" w:oddHBand="1" w:evenHBand="0" w:firstRowFirstColumn="0" w:firstRowLastColumn="0" w:lastRowFirstColumn="0" w:lastRowLastColumn="0"/>
              <w:rPr>
                <w:b/>
                <w:i/>
                <w:color w:val="000000" w:themeColor="text1"/>
              </w:rPr>
            </w:pPr>
            <w:r w:rsidRPr="00EB2402">
              <w:rPr>
                <w:b/>
                <w:i/>
                <w:color w:val="000000" w:themeColor="text1"/>
              </w:rPr>
              <w:t xml:space="preserve">Fees and charges </w:t>
            </w:r>
          </w:p>
        </w:tc>
        <w:tc>
          <w:tcPr>
            <w:tcW w:w="566" w:type="dxa"/>
            <w:shd w:val="clear" w:color="auto" w:fill="FABF8F" w:themeFill="accent6" w:themeFillTint="99"/>
            <w:textDirection w:val="btLr"/>
          </w:tcPr>
          <w:p w:rsidR="008A7265" w:rsidRPr="00EB2402" w:rsidRDefault="008A7265" w:rsidP="00153DD1">
            <w:pPr>
              <w:pStyle w:val="ListParagraph"/>
              <w:ind w:left="113" w:right="113"/>
              <w:cnfStyle w:val="000000100000" w:firstRow="0" w:lastRow="0" w:firstColumn="0" w:lastColumn="0" w:oddVBand="0" w:evenVBand="0" w:oddHBand="1" w:evenHBand="0" w:firstRowFirstColumn="0" w:firstRowLastColumn="0" w:lastRowFirstColumn="0" w:lastRowLastColumn="0"/>
              <w:rPr>
                <w:b/>
                <w:i/>
                <w:color w:val="000000" w:themeColor="text1"/>
              </w:rPr>
            </w:pPr>
            <w:r w:rsidRPr="00EB2402">
              <w:rPr>
                <w:b/>
                <w:i/>
                <w:color w:val="000000" w:themeColor="text1"/>
              </w:rPr>
              <w:t>Financial systemic risk</w:t>
            </w:r>
          </w:p>
        </w:tc>
        <w:tc>
          <w:tcPr>
            <w:tcW w:w="566" w:type="dxa"/>
            <w:shd w:val="clear" w:color="auto" w:fill="FABF8F" w:themeFill="accent6" w:themeFillTint="99"/>
            <w:textDirection w:val="btLr"/>
          </w:tcPr>
          <w:p w:rsidR="008A7265" w:rsidRPr="00EB2402" w:rsidRDefault="008A7265" w:rsidP="00153DD1">
            <w:pPr>
              <w:pStyle w:val="ListParagraph"/>
              <w:ind w:left="113" w:right="113"/>
              <w:cnfStyle w:val="000000100000" w:firstRow="0" w:lastRow="0" w:firstColumn="0" w:lastColumn="0" w:oddVBand="0" w:evenVBand="0" w:oddHBand="1" w:evenHBand="0" w:firstRowFirstColumn="0" w:firstRowLastColumn="0" w:lastRowFirstColumn="0" w:lastRowLastColumn="0"/>
              <w:rPr>
                <w:b/>
                <w:i/>
                <w:color w:val="000000" w:themeColor="text1"/>
              </w:rPr>
            </w:pPr>
            <w:r w:rsidRPr="00EB2402">
              <w:rPr>
                <w:b/>
                <w:i/>
                <w:color w:val="000000" w:themeColor="text1"/>
              </w:rPr>
              <w:t>Pro-competition</w:t>
            </w:r>
          </w:p>
        </w:tc>
        <w:tc>
          <w:tcPr>
            <w:tcW w:w="566" w:type="dxa"/>
            <w:shd w:val="clear" w:color="auto" w:fill="FABF8F" w:themeFill="accent6" w:themeFillTint="99"/>
            <w:textDirection w:val="btLr"/>
          </w:tcPr>
          <w:p w:rsidR="008A7265" w:rsidRPr="00EB2402" w:rsidRDefault="008A7265" w:rsidP="00153DD1">
            <w:pPr>
              <w:pStyle w:val="ListParagraph"/>
              <w:ind w:left="113" w:right="113"/>
              <w:cnfStyle w:val="000000100000" w:firstRow="0" w:lastRow="0" w:firstColumn="0" w:lastColumn="0" w:oddVBand="0" w:evenVBand="0" w:oddHBand="1" w:evenHBand="0" w:firstRowFirstColumn="0" w:firstRowLastColumn="0" w:lastRowFirstColumn="0" w:lastRowLastColumn="0"/>
              <w:rPr>
                <w:b/>
                <w:i/>
                <w:color w:val="000000" w:themeColor="text1"/>
              </w:rPr>
            </w:pPr>
            <w:r w:rsidRPr="00EB2402">
              <w:rPr>
                <w:b/>
                <w:i/>
                <w:color w:val="000000" w:themeColor="text1"/>
              </w:rPr>
              <w:t>Enforcement</w:t>
            </w:r>
          </w:p>
        </w:tc>
        <w:tc>
          <w:tcPr>
            <w:tcW w:w="566" w:type="dxa"/>
            <w:shd w:val="clear" w:color="auto" w:fill="FABF8F" w:themeFill="accent6" w:themeFillTint="99"/>
            <w:textDirection w:val="btLr"/>
          </w:tcPr>
          <w:p w:rsidR="008A7265" w:rsidRPr="00EB2402" w:rsidRDefault="008A7265" w:rsidP="00153DD1">
            <w:pPr>
              <w:pStyle w:val="ListParagraph"/>
              <w:ind w:left="113" w:right="113"/>
              <w:cnfStyle w:val="000000100000" w:firstRow="0" w:lastRow="0" w:firstColumn="0" w:lastColumn="0" w:oddVBand="0" w:evenVBand="0" w:oddHBand="1" w:evenHBand="0" w:firstRowFirstColumn="0" w:firstRowLastColumn="0" w:lastRowFirstColumn="0" w:lastRowLastColumn="0"/>
              <w:rPr>
                <w:b/>
                <w:i/>
                <w:color w:val="000000" w:themeColor="text1"/>
              </w:rPr>
            </w:pPr>
            <w:r w:rsidRPr="00EB2402">
              <w:rPr>
                <w:b/>
                <w:i/>
                <w:color w:val="000000" w:themeColor="text1"/>
              </w:rPr>
              <w:t>Primary / Secondary</w:t>
            </w:r>
          </w:p>
        </w:tc>
        <w:tc>
          <w:tcPr>
            <w:tcW w:w="566" w:type="dxa"/>
            <w:shd w:val="clear" w:color="auto" w:fill="FABF8F" w:themeFill="accent6" w:themeFillTint="99"/>
            <w:textDirection w:val="btLr"/>
          </w:tcPr>
          <w:p w:rsidR="008A7265" w:rsidRPr="00EB2402" w:rsidRDefault="008A7265" w:rsidP="00153DD1">
            <w:pPr>
              <w:pStyle w:val="ListParagraph"/>
              <w:ind w:left="113" w:right="113"/>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sidRPr="00EB2402">
              <w:rPr>
                <w:b/>
                <w:i/>
                <w:color w:val="000000" w:themeColor="text1"/>
                <w:sz w:val="20"/>
                <w:szCs w:val="20"/>
              </w:rPr>
              <w:t>Regulators  cost recovery</w:t>
            </w:r>
          </w:p>
        </w:tc>
        <w:tc>
          <w:tcPr>
            <w:tcW w:w="566" w:type="dxa"/>
            <w:shd w:val="clear" w:color="auto" w:fill="FABF8F" w:themeFill="accent6" w:themeFillTint="99"/>
            <w:textDirection w:val="btLr"/>
          </w:tcPr>
          <w:p w:rsidR="008A7265" w:rsidRPr="00EB2402" w:rsidRDefault="008A7265" w:rsidP="00153DD1">
            <w:pPr>
              <w:pStyle w:val="ListParagraph"/>
              <w:ind w:left="113" w:right="113"/>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sidRPr="00EB2402">
              <w:rPr>
                <w:b/>
                <w:i/>
                <w:color w:val="000000" w:themeColor="text1"/>
                <w:sz w:val="20"/>
                <w:szCs w:val="20"/>
              </w:rPr>
              <w:t>Permissive regulation</w:t>
            </w:r>
          </w:p>
        </w:tc>
        <w:tc>
          <w:tcPr>
            <w:tcW w:w="566" w:type="dxa"/>
            <w:shd w:val="clear" w:color="auto" w:fill="FABF8F" w:themeFill="accent6" w:themeFillTint="99"/>
            <w:textDirection w:val="btLr"/>
          </w:tcPr>
          <w:p w:rsidR="008A7265" w:rsidRPr="00EB2402" w:rsidRDefault="008A7265" w:rsidP="00153DD1">
            <w:pPr>
              <w:pStyle w:val="ListParagraph"/>
              <w:ind w:left="113" w:right="113"/>
              <w:cnfStyle w:val="000000100000" w:firstRow="0" w:lastRow="0" w:firstColumn="0" w:lastColumn="0" w:oddVBand="0" w:evenVBand="0" w:oddHBand="1" w:evenHBand="0" w:firstRowFirstColumn="0" w:firstRowLastColumn="0" w:lastRowFirstColumn="0" w:lastRowLastColumn="0"/>
              <w:rPr>
                <w:b/>
                <w:i/>
                <w:color w:val="000000" w:themeColor="text1"/>
              </w:rPr>
            </w:pPr>
            <w:r w:rsidRPr="00EB2402">
              <w:rPr>
                <w:b/>
                <w:i/>
                <w:color w:val="000000" w:themeColor="text1"/>
              </w:rPr>
              <w:t xml:space="preserve">Mix of </w:t>
            </w:r>
            <w:proofErr w:type="spellStart"/>
            <w:r w:rsidRPr="00EB2402">
              <w:rPr>
                <w:b/>
                <w:i/>
                <w:color w:val="000000" w:themeColor="text1"/>
              </w:rPr>
              <w:t>reg</w:t>
            </w:r>
            <w:proofErr w:type="spellEnd"/>
            <w:r w:rsidRPr="00EB2402">
              <w:rPr>
                <w:b/>
                <w:i/>
                <w:color w:val="000000" w:themeColor="text1"/>
              </w:rPr>
              <w:t xml:space="preserve">  &amp; </w:t>
            </w:r>
            <w:proofErr w:type="spellStart"/>
            <w:r w:rsidRPr="00EB2402">
              <w:rPr>
                <w:b/>
                <w:i/>
                <w:color w:val="000000" w:themeColor="text1"/>
              </w:rPr>
              <w:t>dereg</w:t>
            </w:r>
            <w:proofErr w:type="spellEnd"/>
            <w:r w:rsidRPr="00EB2402">
              <w:rPr>
                <w:b/>
                <w:i/>
                <w:color w:val="000000" w:themeColor="text1"/>
              </w:rPr>
              <w:t xml:space="preserve"> </w:t>
            </w:r>
          </w:p>
        </w:tc>
        <w:tc>
          <w:tcPr>
            <w:tcW w:w="590" w:type="dxa"/>
            <w:shd w:val="clear" w:color="auto" w:fill="FABF8F" w:themeFill="accent6" w:themeFillTint="99"/>
            <w:textDirection w:val="btLr"/>
          </w:tcPr>
          <w:p w:rsidR="008A7265" w:rsidRPr="00EB2402" w:rsidRDefault="008A7265" w:rsidP="00153DD1">
            <w:pPr>
              <w:pStyle w:val="ListParagraph"/>
              <w:ind w:left="113" w:right="113"/>
              <w:cnfStyle w:val="000000100000" w:firstRow="0" w:lastRow="0" w:firstColumn="0" w:lastColumn="0" w:oddVBand="0" w:evenVBand="0" w:oddHBand="1" w:evenHBand="0" w:firstRowFirstColumn="0" w:firstRowLastColumn="0" w:lastRowFirstColumn="0" w:lastRowLastColumn="0"/>
              <w:rPr>
                <w:b/>
                <w:i/>
                <w:color w:val="000000" w:themeColor="text1"/>
              </w:rPr>
            </w:pPr>
            <w:r w:rsidRPr="00EB2402">
              <w:rPr>
                <w:b/>
                <w:i/>
                <w:color w:val="000000" w:themeColor="text1"/>
              </w:rPr>
              <w:t>Gross/ net profit</w:t>
            </w:r>
          </w:p>
        </w:tc>
        <w:tc>
          <w:tcPr>
            <w:tcW w:w="686" w:type="dxa"/>
            <w:shd w:val="clear" w:color="auto" w:fill="F79646" w:themeFill="accent6"/>
            <w:textDirection w:val="btLr"/>
          </w:tcPr>
          <w:p w:rsidR="008A7265" w:rsidRPr="00EB2402" w:rsidRDefault="008A7265" w:rsidP="00153DD1">
            <w:pPr>
              <w:pStyle w:val="ListParagraph"/>
              <w:ind w:left="113" w:right="113"/>
              <w:cnfStyle w:val="000000100000" w:firstRow="0" w:lastRow="0" w:firstColumn="0" w:lastColumn="0" w:oddVBand="0" w:evenVBand="0" w:oddHBand="1" w:evenHBand="0" w:firstRowFirstColumn="0" w:firstRowLastColumn="0" w:lastRowFirstColumn="0" w:lastRowLastColumn="0"/>
              <w:rPr>
                <w:b/>
                <w:i/>
                <w:color w:val="000000" w:themeColor="text1"/>
              </w:rPr>
            </w:pPr>
            <w:proofErr w:type="spellStart"/>
            <w:r w:rsidRPr="00EB2402">
              <w:rPr>
                <w:b/>
                <w:i/>
                <w:color w:val="000000" w:themeColor="text1"/>
              </w:rPr>
              <w:t>SaMBA</w:t>
            </w:r>
            <w:proofErr w:type="spellEnd"/>
          </w:p>
        </w:tc>
        <w:tc>
          <w:tcPr>
            <w:tcW w:w="732" w:type="dxa"/>
            <w:tcBorders>
              <w:right w:val="single" w:sz="12" w:space="0" w:color="984806" w:themeColor="accent6" w:themeShade="80"/>
            </w:tcBorders>
            <w:shd w:val="clear" w:color="auto" w:fill="F79646" w:themeFill="accent6"/>
            <w:textDirection w:val="btLr"/>
          </w:tcPr>
          <w:p w:rsidR="008A7265" w:rsidRPr="00EB2402" w:rsidRDefault="008A7265" w:rsidP="00153DD1">
            <w:pPr>
              <w:pStyle w:val="ListParagraph"/>
              <w:ind w:left="113" w:right="113"/>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sidRPr="00EB2402">
              <w:rPr>
                <w:b/>
                <w:i/>
                <w:color w:val="000000" w:themeColor="text1"/>
                <w:sz w:val="20"/>
                <w:szCs w:val="20"/>
              </w:rPr>
              <w:t>Wider  &amp;</w:t>
            </w:r>
            <w:r>
              <w:rPr>
                <w:b/>
                <w:i/>
                <w:color w:val="000000" w:themeColor="text1"/>
                <w:sz w:val="20"/>
                <w:szCs w:val="20"/>
              </w:rPr>
              <w:t xml:space="preserve"> </w:t>
            </w:r>
            <w:r w:rsidRPr="00EB2402">
              <w:rPr>
                <w:b/>
                <w:i/>
                <w:color w:val="000000" w:themeColor="text1"/>
                <w:sz w:val="20"/>
                <w:szCs w:val="20"/>
              </w:rPr>
              <w:t>non-business impacts</w:t>
            </w:r>
          </w:p>
        </w:tc>
      </w:tr>
      <w:tr w:rsidR="008A7265" w:rsidRPr="00EB2402" w:rsidTr="003D2144">
        <w:tc>
          <w:tcPr>
            <w:cnfStyle w:val="001000000000" w:firstRow="0" w:lastRow="0" w:firstColumn="1" w:lastColumn="0" w:oddVBand="0" w:evenVBand="0" w:oddHBand="0" w:evenHBand="0" w:firstRowFirstColumn="0" w:firstRowLastColumn="0" w:lastRowFirstColumn="0" w:lastRowLastColumn="0"/>
            <w:tcW w:w="2518" w:type="dxa"/>
            <w:tcBorders>
              <w:left w:val="single" w:sz="12" w:space="0" w:color="984806" w:themeColor="accent6" w:themeShade="80"/>
            </w:tcBorders>
          </w:tcPr>
          <w:p w:rsidR="008A7265" w:rsidRPr="00EB2402" w:rsidRDefault="008A7265" w:rsidP="00153DD1">
            <w:pPr>
              <w:pStyle w:val="ListParagraph"/>
              <w:ind w:left="0"/>
              <w:rPr>
                <w:i/>
                <w:color w:val="0D0D0D" w:themeColor="text1" w:themeTint="F2"/>
              </w:rPr>
            </w:pPr>
            <w:r w:rsidRPr="00EB2402">
              <w:rPr>
                <w:i/>
                <w:color w:val="0D0D0D" w:themeColor="text1" w:themeTint="F2"/>
              </w:rPr>
              <w:t>Problem/ rationale</w:t>
            </w:r>
          </w:p>
        </w:tc>
        <w:tc>
          <w:tcPr>
            <w:tcW w:w="567" w:type="dxa"/>
            <w:shd w:val="clear" w:color="auto" w:fill="FFFFFF" w:themeFill="background1"/>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851"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Pr>
                <w:rFonts w:cstheme="minorHAnsi"/>
                <w:b/>
                <w:i/>
                <w:color w:val="000000" w:themeColor="text1"/>
                <w:sz w:val="20"/>
                <w:szCs w:val="20"/>
              </w:rPr>
              <w:t>√</w:t>
            </w:r>
          </w:p>
        </w:tc>
        <w:tc>
          <w:tcPr>
            <w:tcW w:w="567"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7"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620"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642"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90"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68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732" w:type="dxa"/>
            <w:tcBorders>
              <w:right w:val="single" w:sz="12" w:space="0" w:color="984806" w:themeColor="accent6" w:themeShade="80"/>
            </w:tcBorders>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r>
      <w:tr w:rsidR="003D2144" w:rsidRPr="00EB2402" w:rsidTr="003D2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single" w:sz="12" w:space="0" w:color="984806" w:themeColor="accent6" w:themeShade="80"/>
            </w:tcBorders>
          </w:tcPr>
          <w:p w:rsidR="008A7265" w:rsidRPr="00EB2402" w:rsidRDefault="008A7265" w:rsidP="00153DD1">
            <w:pPr>
              <w:pStyle w:val="ListParagraph"/>
              <w:ind w:left="0"/>
              <w:rPr>
                <w:i/>
                <w:color w:val="0D0D0D" w:themeColor="text1" w:themeTint="F2"/>
              </w:rPr>
            </w:pPr>
            <w:r w:rsidRPr="00EB2402">
              <w:rPr>
                <w:i/>
                <w:color w:val="0D0D0D" w:themeColor="text1" w:themeTint="F2"/>
              </w:rPr>
              <w:t>Linking options to problem</w:t>
            </w:r>
          </w:p>
        </w:tc>
        <w:tc>
          <w:tcPr>
            <w:tcW w:w="567"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Pr>
                <w:rFonts w:cstheme="minorHAnsi"/>
                <w:b/>
                <w:i/>
                <w:color w:val="000000" w:themeColor="text1"/>
                <w:sz w:val="20"/>
                <w:szCs w:val="20"/>
              </w:rPr>
              <w:t>√</w:t>
            </w:r>
          </w:p>
        </w:tc>
        <w:tc>
          <w:tcPr>
            <w:tcW w:w="851" w:type="dxa"/>
            <w:shd w:val="clear" w:color="auto" w:fill="FFFFFF" w:themeFill="background1"/>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7" w:type="dxa"/>
            <w:shd w:val="clear" w:color="auto" w:fill="FABF8F" w:themeFill="accent6" w:themeFillTint="99"/>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Pr>
                <w:rFonts w:cstheme="minorHAnsi"/>
                <w:b/>
                <w:i/>
                <w:color w:val="000000" w:themeColor="text1"/>
                <w:sz w:val="20"/>
                <w:szCs w:val="20"/>
              </w:rPr>
              <w:t>√</w:t>
            </w:r>
          </w:p>
        </w:tc>
        <w:tc>
          <w:tcPr>
            <w:tcW w:w="567"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620"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642"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90"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68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732" w:type="dxa"/>
            <w:tcBorders>
              <w:right w:val="single" w:sz="12" w:space="0" w:color="984806" w:themeColor="accent6" w:themeShade="80"/>
            </w:tcBorders>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r>
      <w:tr w:rsidR="003D2144" w:rsidRPr="00EB2402" w:rsidTr="003D2144">
        <w:tc>
          <w:tcPr>
            <w:cnfStyle w:val="001000000000" w:firstRow="0" w:lastRow="0" w:firstColumn="1" w:lastColumn="0" w:oddVBand="0" w:evenVBand="0" w:oddHBand="0" w:evenHBand="0" w:firstRowFirstColumn="0" w:firstRowLastColumn="0" w:lastRowFirstColumn="0" w:lastRowLastColumn="0"/>
            <w:tcW w:w="2518" w:type="dxa"/>
            <w:tcBorders>
              <w:left w:val="single" w:sz="12" w:space="0" w:color="984806" w:themeColor="accent6" w:themeShade="80"/>
            </w:tcBorders>
          </w:tcPr>
          <w:p w:rsidR="008A7265" w:rsidRPr="00EB2402" w:rsidRDefault="008A7265" w:rsidP="00153DD1">
            <w:pPr>
              <w:pStyle w:val="ListParagraph"/>
              <w:ind w:left="0"/>
              <w:rPr>
                <w:i/>
                <w:color w:val="0D0D0D" w:themeColor="text1" w:themeTint="F2"/>
              </w:rPr>
            </w:pPr>
            <w:r w:rsidRPr="00EB2402">
              <w:rPr>
                <w:i/>
                <w:color w:val="0D0D0D" w:themeColor="text1" w:themeTint="F2"/>
              </w:rPr>
              <w:t>Non-</w:t>
            </w:r>
            <w:proofErr w:type="spellStart"/>
            <w:r w:rsidRPr="00EB2402">
              <w:rPr>
                <w:i/>
                <w:color w:val="0D0D0D" w:themeColor="text1" w:themeTint="F2"/>
              </w:rPr>
              <w:t>reg</w:t>
            </w:r>
            <w:proofErr w:type="spellEnd"/>
            <w:r w:rsidRPr="00EB2402">
              <w:rPr>
                <w:i/>
                <w:color w:val="0D0D0D" w:themeColor="text1" w:themeTint="F2"/>
              </w:rPr>
              <w:t xml:space="preserve"> options</w:t>
            </w:r>
          </w:p>
        </w:tc>
        <w:tc>
          <w:tcPr>
            <w:tcW w:w="567"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Pr>
                <w:rFonts w:cstheme="minorHAnsi"/>
                <w:b/>
                <w:i/>
                <w:color w:val="000000" w:themeColor="text1"/>
                <w:sz w:val="20"/>
                <w:szCs w:val="20"/>
              </w:rPr>
              <w:t>√</w:t>
            </w:r>
          </w:p>
        </w:tc>
        <w:tc>
          <w:tcPr>
            <w:tcW w:w="851"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Pr>
                <w:rFonts w:cstheme="minorHAnsi"/>
                <w:b/>
                <w:i/>
                <w:color w:val="000000" w:themeColor="text1"/>
                <w:sz w:val="20"/>
                <w:szCs w:val="20"/>
              </w:rPr>
              <w:t>√</w:t>
            </w:r>
          </w:p>
        </w:tc>
        <w:tc>
          <w:tcPr>
            <w:tcW w:w="567" w:type="dxa"/>
            <w:shd w:val="clear" w:color="auto" w:fill="FFFFFF" w:themeFill="background1"/>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7" w:type="dxa"/>
            <w:shd w:val="clear" w:color="auto" w:fill="FDE9D9" w:themeFill="accent6" w:themeFillTint="33"/>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Pr>
                <w:rFonts w:cstheme="minorHAnsi"/>
                <w:b/>
                <w:i/>
                <w:color w:val="000000" w:themeColor="text1"/>
                <w:sz w:val="20"/>
                <w:szCs w:val="20"/>
              </w:rPr>
              <w:t>√</w:t>
            </w:r>
          </w:p>
        </w:tc>
        <w:tc>
          <w:tcPr>
            <w:tcW w:w="620"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642"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90"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68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732" w:type="dxa"/>
            <w:tcBorders>
              <w:right w:val="single" w:sz="12" w:space="0" w:color="984806" w:themeColor="accent6" w:themeShade="80"/>
            </w:tcBorders>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r>
      <w:tr w:rsidR="00E91192" w:rsidRPr="00EB2402" w:rsidTr="003D2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single" w:sz="12" w:space="0" w:color="984806" w:themeColor="accent6" w:themeShade="80"/>
            </w:tcBorders>
          </w:tcPr>
          <w:p w:rsidR="008A7265" w:rsidRPr="00EB2402" w:rsidRDefault="008A7265" w:rsidP="00153DD1">
            <w:pPr>
              <w:pStyle w:val="ListParagraph"/>
              <w:ind w:left="0"/>
              <w:rPr>
                <w:i/>
                <w:color w:val="0D0D0D" w:themeColor="text1" w:themeTint="F2"/>
              </w:rPr>
            </w:pPr>
            <w:r w:rsidRPr="00EB2402">
              <w:rPr>
                <w:i/>
                <w:color w:val="0D0D0D" w:themeColor="text1" w:themeTint="F2"/>
              </w:rPr>
              <w:t>Counterfactua</w:t>
            </w:r>
            <w:r>
              <w:rPr>
                <w:i/>
                <w:color w:val="0D0D0D" w:themeColor="text1" w:themeTint="F2"/>
              </w:rPr>
              <w:t>l</w:t>
            </w:r>
          </w:p>
        </w:tc>
        <w:tc>
          <w:tcPr>
            <w:tcW w:w="567"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851"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7"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7" w:type="dxa"/>
            <w:shd w:val="clear" w:color="auto" w:fill="FFFFFF" w:themeFill="background1"/>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620" w:type="dxa"/>
            <w:shd w:val="clear" w:color="auto" w:fill="FABF8F" w:themeFill="accent6" w:themeFillTint="99"/>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642"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90"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68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732" w:type="dxa"/>
            <w:tcBorders>
              <w:right w:val="single" w:sz="12" w:space="0" w:color="984806" w:themeColor="accent6" w:themeShade="80"/>
            </w:tcBorders>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r>
      <w:tr w:rsidR="00E91192" w:rsidRPr="00EB2402" w:rsidTr="003D2144">
        <w:tc>
          <w:tcPr>
            <w:cnfStyle w:val="001000000000" w:firstRow="0" w:lastRow="0" w:firstColumn="1" w:lastColumn="0" w:oddVBand="0" w:evenVBand="0" w:oddHBand="0" w:evenHBand="0" w:firstRowFirstColumn="0" w:firstRowLastColumn="0" w:lastRowFirstColumn="0" w:lastRowLastColumn="0"/>
            <w:tcW w:w="2518" w:type="dxa"/>
            <w:tcBorders>
              <w:left w:val="single" w:sz="12" w:space="0" w:color="984806" w:themeColor="accent6" w:themeShade="80"/>
            </w:tcBorders>
          </w:tcPr>
          <w:p w:rsidR="008A7265" w:rsidRPr="00EB2402" w:rsidRDefault="008A7265" w:rsidP="00153DD1">
            <w:pPr>
              <w:pStyle w:val="ListParagraph"/>
              <w:ind w:left="0"/>
              <w:rPr>
                <w:i/>
                <w:color w:val="0D0D0D" w:themeColor="text1" w:themeTint="F2"/>
              </w:rPr>
            </w:pPr>
            <w:r w:rsidRPr="00EB2402">
              <w:rPr>
                <w:i/>
                <w:color w:val="0D0D0D" w:themeColor="text1" w:themeTint="F2"/>
              </w:rPr>
              <w:t xml:space="preserve">Proportionality </w:t>
            </w:r>
          </w:p>
        </w:tc>
        <w:tc>
          <w:tcPr>
            <w:tcW w:w="567"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Pr>
                <w:rFonts w:cstheme="minorHAnsi"/>
                <w:b/>
                <w:i/>
                <w:color w:val="000000" w:themeColor="text1"/>
                <w:sz w:val="20"/>
                <w:szCs w:val="20"/>
              </w:rPr>
              <w:t>√</w:t>
            </w:r>
          </w:p>
        </w:tc>
        <w:tc>
          <w:tcPr>
            <w:tcW w:w="851"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7"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7"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620" w:type="dxa"/>
            <w:shd w:val="clear" w:color="auto" w:fill="FFFFFF" w:themeFill="background1"/>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642" w:type="dxa"/>
            <w:shd w:val="clear" w:color="auto" w:fill="FDE9D9" w:themeFill="accent6" w:themeFillTint="33"/>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Pr>
                <w:rFonts w:cstheme="minorHAnsi"/>
                <w:b/>
                <w:i/>
                <w:color w:val="000000" w:themeColor="text1"/>
                <w:sz w:val="20"/>
                <w:szCs w:val="20"/>
              </w:rPr>
              <w:t>√</w:t>
            </w: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90"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68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732" w:type="dxa"/>
            <w:tcBorders>
              <w:right w:val="single" w:sz="12" w:space="0" w:color="984806" w:themeColor="accent6" w:themeShade="80"/>
            </w:tcBorders>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r>
      <w:tr w:rsidR="00E91192" w:rsidRPr="00EB2402" w:rsidTr="003D2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single" w:sz="12" w:space="0" w:color="984806" w:themeColor="accent6" w:themeShade="80"/>
            </w:tcBorders>
            <w:shd w:val="clear" w:color="auto" w:fill="FABF8F" w:themeFill="accent6" w:themeFillTint="99"/>
          </w:tcPr>
          <w:p w:rsidR="008A7265" w:rsidRPr="00EB2402" w:rsidRDefault="008A7265" w:rsidP="00153DD1">
            <w:pPr>
              <w:pStyle w:val="ListParagraph"/>
              <w:ind w:left="0"/>
              <w:rPr>
                <w:i/>
                <w:color w:val="0D0D0D" w:themeColor="text1" w:themeTint="F2"/>
              </w:rPr>
            </w:pPr>
            <w:r w:rsidRPr="00EB2402">
              <w:rPr>
                <w:i/>
                <w:color w:val="0D0D0D" w:themeColor="text1" w:themeTint="F2"/>
              </w:rPr>
              <w:t>Direct/ indirect</w:t>
            </w:r>
          </w:p>
        </w:tc>
        <w:tc>
          <w:tcPr>
            <w:tcW w:w="567"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851"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7"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7"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Pr>
                <w:rFonts w:cstheme="minorHAnsi"/>
                <w:b/>
                <w:i/>
                <w:color w:val="000000" w:themeColor="text1"/>
                <w:sz w:val="20"/>
                <w:szCs w:val="20"/>
              </w:rPr>
              <w:t>√</w:t>
            </w:r>
          </w:p>
        </w:tc>
        <w:tc>
          <w:tcPr>
            <w:tcW w:w="620"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642" w:type="dxa"/>
            <w:shd w:val="clear" w:color="auto" w:fill="FFFFFF" w:themeFill="background1"/>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shd w:val="clear" w:color="auto" w:fill="FABF8F" w:themeFill="accent6" w:themeFillTint="99"/>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Pr>
                <w:rFonts w:cstheme="minorHAnsi"/>
                <w:b/>
                <w:i/>
                <w:color w:val="000000" w:themeColor="text1"/>
                <w:sz w:val="20"/>
                <w:szCs w:val="20"/>
              </w:rPr>
              <w:t>√</w:t>
            </w: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Pr>
                <w:rFonts w:cstheme="minorHAnsi"/>
                <w:b/>
                <w:i/>
                <w:color w:val="000000" w:themeColor="text1"/>
                <w:sz w:val="20"/>
                <w:szCs w:val="20"/>
              </w:rPr>
              <w:t>√</w:t>
            </w: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Pr>
                <w:rFonts w:cstheme="minorHAnsi"/>
                <w:b/>
                <w:i/>
                <w:color w:val="000000" w:themeColor="text1"/>
                <w:sz w:val="20"/>
                <w:szCs w:val="20"/>
              </w:rPr>
              <w:t>√</w:t>
            </w: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Pr>
                <w:rFonts w:cstheme="minorHAnsi"/>
                <w:b/>
                <w:i/>
                <w:color w:val="000000" w:themeColor="text1"/>
                <w:sz w:val="20"/>
                <w:szCs w:val="20"/>
              </w:rPr>
              <w:t>√</w:t>
            </w: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90"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Pr>
                <w:rFonts w:cstheme="minorHAnsi"/>
                <w:b/>
                <w:i/>
                <w:color w:val="000000" w:themeColor="text1"/>
                <w:sz w:val="20"/>
                <w:szCs w:val="20"/>
              </w:rPr>
              <w:t>√</w:t>
            </w:r>
          </w:p>
        </w:tc>
        <w:tc>
          <w:tcPr>
            <w:tcW w:w="68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732" w:type="dxa"/>
            <w:tcBorders>
              <w:right w:val="single" w:sz="12" w:space="0" w:color="984806" w:themeColor="accent6" w:themeShade="80"/>
            </w:tcBorders>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r>
      <w:tr w:rsidR="00E91192" w:rsidRPr="00EB2402" w:rsidTr="003D2144">
        <w:tc>
          <w:tcPr>
            <w:cnfStyle w:val="001000000000" w:firstRow="0" w:lastRow="0" w:firstColumn="1" w:lastColumn="0" w:oddVBand="0" w:evenVBand="0" w:oddHBand="0" w:evenHBand="0" w:firstRowFirstColumn="0" w:firstRowLastColumn="0" w:lastRowFirstColumn="0" w:lastRowLastColumn="0"/>
            <w:tcW w:w="2518" w:type="dxa"/>
            <w:tcBorders>
              <w:left w:val="single" w:sz="12" w:space="0" w:color="984806" w:themeColor="accent6" w:themeShade="80"/>
            </w:tcBorders>
            <w:shd w:val="clear" w:color="auto" w:fill="FABF8F" w:themeFill="accent6" w:themeFillTint="99"/>
          </w:tcPr>
          <w:p w:rsidR="008A7265" w:rsidRPr="00EB2402" w:rsidRDefault="008A7265" w:rsidP="00153DD1">
            <w:pPr>
              <w:pStyle w:val="ListParagraph"/>
              <w:ind w:left="0"/>
              <w:rPr>
                <w:i/>
                <w:color w:val="0D0D0D" w:themeColor="text1" w:themeTint="F2"/>
              </w:rPr>
            </w:pPr>
            <w:r w:rsidRPr="00EB2402">
              <w:rPr>
                <w:i/>
                <w:color w:val="0D0D0D" w:themeColor="text1" w:themeTint="F2"/>
              </w:rPr>
              <w:t>EU / international</w:t>
            </w:r>
          </w:p>
        </w:tc>
        <w:tc>
          <w:tcPr>
            <w:tcW w:w="567"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851"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7"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7"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Pr>
                <w:rFonts w:cstheme="minorHAnsi"/>
                <w:b/>
                <w:i/>
                <w:color w:val="000000" w:themeColor="text1"/>
                <w:sz w:val="20"/>
                <w:szCs w:val="20"/>
              </w:rPr>
              <w:t>√</w:t>
            </w:r>
          </w:p>
        </w:tc>
        <w:tc>
          <w:tcPr>
            <w:tcW w:w="620"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642"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shd w:val="clear" w:color="auto" w:fill="FFFFFF" w:themeFill="background1"/>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shd w:val="clear" w:color="auto" w:fill="FDE9D9" w:themeFill="accent6" w:themeFillTint="33"/>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90"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68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732" w:type="dxa"/>
            <w:tcBorders>
              <w:right w:val="single" w:sz="12" w:space="0" w:color="984806" w:themeColor="accent6" w:themeShade="80"/>
            </w:tcBorders>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r>
      <w:tr w:rsidR="003674AE" w:rsidRPr="00EB2402" w:rsidTr="003D2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single" w:sz="12" w:space="0" w:color="984806" w:themeColor="accent6" w:themeShade="80"/>
            </w:tcBorders>
            <w:shd w:val="clear" w:color="auto" w:fill="FABF8F" w:themeFill="accent6" w:themeFillTint="99"/>
          </w:tcPr>
          <w:p w:rsidR="008A7265" w:rsidRPr="00EB2402" w:rsidRDefault="008A7265" w:rsidP="00153DD1">
            <w:pPr>
              <w:pStyle w:val="ListParagraph"/>
              <w:ind w:left="0"/>
              <w:rPr>
                <w:i/>
                <w:color w:val="0D0D0D" w:themeColor="text1" w:themeTint="F2"/>
              </w:rPr>
            </w:pPr>
            <w:r w:rsidRPr="00EB2402">
              <w:rPr>
                <w:i/>
                <w:color w:val="0D0D0D" w:themeColor="text1" w:themeTint="F2"/>
              </w:rPr>
              <w:t>Non-compliance</w:t>
            </w:r>
          </w:p>
        </w:tc>
        <w:tc>
          <w:tcPr>
            <w:tcW w:w="567"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851"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7"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7"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620"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642"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shd w:val="clear" w:color="auto" w:fill="FFFFFF" w:themeFill="background1"/>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shd w:val="clear" w:color="auto" w:fill="FABF8F" w:themeFill="accent6" w:themeFillTint="99"/>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90"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68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732" w:type="dxa"/>
            <w:tcBorders>
              <w:right w:val="single" w:sz="12" w:space="0" w:color="984806" w:themeColor="accent6" w:themeShade="80"/>
            </w:tcBorders>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r>
      <w:tr w:rsidR="003674AE" w:rsidRPr="00EB2402" w:rsidTr="003D2144">
        <w:tc>
          <w:tcPr>
            <w:cnfStyle w:val="001000000000" w:firstRow="0" w:lastRow="0" w:firstColumn="1" w:lastColumn="0" w:oddVBand="0" w:evenVBand="0" w:oddHBand="0" w:evenHBand="0" w:firstRowFirstColumn="0" w:firstRowLastColumn="0" w:lastRowFirstColumn="0" w:lastRowLastColumn="0"/>
            <w:tcW w:w="2518" w:type="dxa"/>
            <w:tcBorders>
              <w:left w:val="single" w:sz="12" w:space="0" w:color="984806" w:themeColor="accent6" w:themeShade="80"/>
            </w:tcBorders>
            <w:shd w:val="clear" w:color="auto" w:fill="FABF8F" w:themeFill="accent6" w:themeFillTint="99"/>
          </w:tcPr>
          <w:p w:rsidR="008A7265" w:rsidRPr="00EB2402" w:rsidRDefault="008A7265" w:rsidP="00153DD1">
            <w:pPr>
              <w:pStyle w:val="ListParagraph"/>
              <w:ind w:left="0"/>
              <w:rPr>
                <w:i/>
                <w:color w:val="0D0D0D" w:themeColor="text1" w:themeTint="F2"/>
              </w:rPr>
            </w:pPr>
            <w:r w:rsidRPr="00EB2402">
              <w:rPr>
                <w:i/>
                <w:color w:val="0D0D0D" w:themeColor="text1" w:themeTint="F2"/>
              </w:rPr>
              <w:t>Fees and charges</w:t>
            </w:r>
          </w:p>
        </w:tc>
        <w:tc>
          <w:tcPr>
            <w:tcW w:w="567"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851"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7"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7"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620"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642"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shd w:val="clear" w:color="auto" w:fill="FFFFFF" w:themeFill="background1"/>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shd w:val="clear" w:color="auto" w:fill="FDE9D9" w:themeFill="accent6" w:themeFillTint="33"/>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90"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68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732" w:type="dxa"/>
            <w:tcBorders>
              <w:right w:val="single" w:sz="12" w:space="0" w:color="984806" w:themeColor="accent6" w:themeShade="80"/>
            </w:tcBorders>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r>
      <w:tr w:rsidR="003674AE" w:rsidRPr="00EB2402" w:rsidTr="003D2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single" w:sz="12" w:space="0" w:color="984806" w:themeColor="accent6" w:themeShade="80"/>
            </w:tcBorders>
            <w:shd w:val="clear" w:color="auto" w:fill="FABF8F" w:themeFill="accent6" w:themeFillTint="99"/>
          </w:tcPr>
          <w:p w:rsidR="008A7265" w:rsidRPr="00EB2402" w:rsidRDefault="008A7265" w:rsidP="00153DD1">
            <w:pPr>
              <w:pStyle w:val="ListParagraph"/>
              <w:ind w:left="0"/>
              <w:rPr>
                <w:i/>
                <w:color w:val="0D0D0D" w:themeColor="text1" w:themeTint="F2"/>
              </w:rPr>
            </w:pPr>
            <w:r w:rsidRPr="00EB2402">
              <w:rPr>
                <w:i/>
                <w:color w:val="0D0D0D" w:themeColor="text1" w:themeTint="F2"/>
              </w:rPr>
              <w:t>Financial systemic risk</w:t>
            </w:r>
          </w:p>
        </w:tc>
        <w:tc>
          <w:tcPr>
            <w:tcW w:w="567"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851"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7"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7"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620"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642"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shd w:val="clear" w:color="auto" w:fill="FFFFFF" w:themeFill="background1"/>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shd w:val="clear" w:color="auto" w:fill="FABF8F" w:themeFill="accent6" w:themeFillTint="99"/>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90"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68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732" w:type="dxa"/>
            <w:tcBorders>
              <w:right w:val="single" w:sz="12" w:space="0" w:color="984806" w:themeColor="accent6" w:themeShade="80"/>
            </w:tcBorders>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r>
      <w:tr w:rsidR="003674AE" w:rsidRPr="00EB2402" w:rsidTr="003D2144">
        <w:tc>
          <w:tcPr>
            <w:cnfStyle w:val="001000000000" w:firstRow="0" w:lastRow="0" w:firstColumn="1" w:lastColumn="0" w:oddVBand="0" w:evenVBand="0" w:oddHBand="0" w:evenHBand="0" w:firstRowFirstColumn="0" w:firstRowLastColumn="0" w:lastRowFirstColumn="0" w:lastRowLastColumn="0"/>
            <w:tcW w:w="2518" w:type="dxa"/>
            <w:tcBorders>
              <w:left w:val="single" w:sz="12" w:space="0" w:color="984806" w:themeColor="accent6" w:themeShade="80"/>
            </w:tcBorders>
            <w:shd w:val="clear" w:color="auto" w:fill="FABF8F" w:themeFill="accent6" w:themeFillTint="99"/>
          </w:tcPr>
          <w:p w:rsidR="008A7265" w:rsidRPr="00EB2402" w:rsidRDefault="008A7265" w:rsidP="00153DD1">
            <w:pPr>
              <w:pStyle w:val="ListParagraph"/>
              <w:ind w:left="0"/>
              <w:rPr>
                <w:i/>
                <w:color w:val="0D0D0D" w:themeColor="text1" w:themeTint="F2"/>
              </w:rPr>
            </w:pPr>
            <w:r w:rsidRPr="00EB2402">
              <w:rPr>
                <w:i/>
                <w:color w:val="0D0D0D" w:themeColor="text1" w:themeTint="F2"/>
              </w:rPr>
              <w:t>Pro-competition</w:t>
            </w:r>
          </w:p>
        </w:tc>
        <w:tc>
          <w:tcPr>
            <w:tcW w:w="567"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Pr>
                <w:rFonts w:cstheme="minorHAnsi"/>
                <w:b/>
                <w:i/>
                <w:color w:val="000000" w:themeColor="text1"/>
                <w:sz w:val="20"/>
                <w:szCs w:val="20"/>
              </w:rPr>
              <w:t>√</w:t>
            </w:r>
          </w:p>
        </w:tc>
        <w:tc>
          <w:tcPr>
            <w:tcW w:w="851"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Pr>
                <w:rFonts w:cstheme="minorHAnsi"/>
                <w:b/>
                <w:i/>
                <w:color w:val="000000" w:themeColor="text1"/>
                <w:sz w:val="20"/>
                <w:szCs w:val="20"/>
              </w:rPr>
              <w:t>√</w:t>
            </w:r>
          </w:p>
        </w:tc>
        <w:tc>
          <w:tcPr>
            <w:tcW w:w="567"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7"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Pr>
                <w:rFonts w:cstheme="minorHAnsi"/>
                <w:b/>
                <w:i/>
                <w:color w:val="000000" w:themeColor="text1"/>
                <w:sz w:val="20"/>
                <w:szCs w:val="20"/>
              </w:rPr>
              <w:t>√</w:t>
            </w:r>
          </w:p>
        </w:tc>
        <w:tc>
          <w:tcPr>
            <w:tcW w:w="620"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Pr>
                <w:rFonts w:cstheme="minorHAnsi"/>
                <w:b/>
                <w:i/>
                <w:color w:val="000000" w:themeColor="text1"/>
                <w:sz w:val="20"/>
                <w:szCs w:val="20"/>
              </w:rPr>
              <w:t>√</w:t>
            </w:r>
          </w:p>
        </w:tc>
        <w:tc>
          <w:tcPr>
            <w:tcW w:w="642"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Pr>
                <w:rFonts w:cstheme="minorHAnsi"/>
                <w:b/>
                <w:i/>
                <w:color w:val="000000" w:themeColor="text1"/>
                <w:sz w:val="20"/>
                <w:szCs w:val="20"/>
              </w:rPr>
              <w:t>√</w:t>
            </w: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shd w:val="clear" w:color="auto" w:fill="FFFFFF" w:themeFill="background1"/>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90"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68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Pr>
                <w:rFonts w:cstheme="minorHAnsi"/>
                <w:b/>
                <w:i/>
                <w:color w:val="000000" w:themeColor="text1"/>
                <w:sz w:val="20"/>
                <w:szCs w:val="20"/>
              </w:rPr>
              <w:t>√</w:t>
            </w:r>
          </w:p>
        </w:tc>
        <w:tc>
          <w:tcPr>
            <w:tcW w:w="732" w:type="dxa"/>
            <w:tcBorders>
              <w:right w:val="single" w:sz="12" w:space="0" w:color="984806" w:themeColor="accent6" w:themeShade="80"/>
            </w:tcBorders>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Pr>
                <w:rFonts w:cstheme="minorHAnsi"/>
                <w:b/>
                <w:i/>
                <w:color w:val="000000" w:themeColor="text1"/>
                <w:sz w:val="20"/>
                <w:szCs w:val="20"/>
              </w:rPr>
              <w:t>√</w:t>
            </w:r>
          </w:p>
        </w:tc>
      </w:tr>
      <w:tr w:rsidR="003674AE" w:rsidRPr="00EB2402" w:rsidTr="003D2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single" w:sz="12" w:space="0" w:color="984806" w:themeColor="accent6" w:themeShade="80"/>
            </w:tcBorders>
            <w:shd w:val="clear" w:color="auto" w:fill="FABF8F" w:themeFill="accent6" w:themeFillTint="99"/>
          </w:tcPr>
          <w:p w:rsidR="008A7265" w:rsidRPr="00EB2402" w:rsidRDefault="008A7265" w:rsidP="00153DD1">
            <w:pPr>
              <w:pStyle w:val="ListParagraph"/>
              <w:ind w:left="0"/>
              <w:rPr>
                <w:i/>
                <w:color w:val="0D0D0D" w:themeColor="text1" w:themeTint="F2"/>
              </w:rPr>
            </w:pPr>
            <w:r w:rsidRPr="00EB2402">
              <w:rPr>
                <w:i/>
                <w:color w:val="0D0D0D" w:themeColor="text1" w:themeTint="F2"/>
              </w:rPr>
              <w:t>Enforcement</w:t>
            </w:r>
          </w:p>
        </w:tc>
        <w:tc>
          <w:tcPr>
            <w:tcW w:w="567"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851"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7"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7"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620"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642"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shd w:val="clear" w:color="auto" w:fill="FFFFFF" w:themeFill="background1"/>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90"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68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732" w:type="dxa"/>
            <w:tcBorders>
              <w:right w:val="single" w:sz="12" w:space="0" w:color="984806" w:themeColor="accent6" w:themeShade="80"/>
            </w:tcBorders>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r>
      <w:tr w:rsidR="003674AE" w:rsidRPr="00EB2402" w:rsidTr="003D2144">
        <w:tc>
          <w:tcPr>
            <w:cnfStyle w:val="001000000000" w:firstRow="0" w:lastRow="0" w:firstColumn="1" w:lastColumn="0" w:oddVBand="0" w:evenVBand="0" w:oddHBand="0" w:evenHBand="0" w:firstRowFirstColumn="0" w:firstRowLastColumn="0" w:lastRowFirstColumn="0" w:lastRowLastColumn="0"/>
            <w:tcW w:w="2518" w:type="dxa"/>
            <w:tcBorders>
              <w:left w:val="single" w:sz="12" w:space="0" w:color="984806" w:themeColor="accent6" w:themeShade="80"/>
            </w:tcBorders>
            <w:shd w:val="clear" w:color="auto" w:fill="FABF8F" w:themeFill="accent6" w:themeFillTint="99"/>
          </w:tcPr>
          <w:p w:rsidR="008A7265" w:rsidRPr="00EB2402" w:rsidRDefault="008A7265" w:rsidP="00153DD1">
            <w:pPr>
              <w:pStyle w:val="ListParagraph"/>
              <w:ind w:left="0"/>
              <w:rPr>
                <w:i/>
                <w:color w:val="0D0D0D" w:themeColor="text1" w:themeTint="F2"/>
              </w:rPr>
            </w:pPr>
            <w:r w:rsidRPr="00EB2402">
              <w:rPr>
                <w:i/>
                <w:color w:val="0D0D0D" w:themeColor="text1" w:themeTint="F2"/>
              </w:rPr>
              <w:t xml:space="preserve">Primary / secondary </w:t>
            </w:r>
          </w:p>
        </w:tc>
        <w:tc>
          <w:tcPr>
            <w:tcW w:w="567"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851"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7"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7"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620"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sidRPr="007235B7">
              <w:rPr>
                <w:b/>
                <w:i/>
                <w:color w:val="000000" w:themeColor="text1"/>
                <w:sz w:val="20"/>
                <w:szCs w:val="20"/>
              </w:rPr>
              <w:t>√</w:t>
            </w:r>
          </w:p>
        </w:tc>
        <w:tc>
          <w:tcPr>
            <w:tcW w:w="642"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Pr>
                <w:rFonts w:cstheme="minorHAnsi"/>
                <w:b/>
                <w:i/>
                <w:color w:val="000000" w:themeColor="text1"/>
                <w:sz w:val="20"/>
                <w:szCs w:val="20"/>
              </w:rPr>
              <w:t>√</w:t>
            </w: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shd w:val="clear" w:color="auto" w:fill="FFFFFF" w:themeFill="background1"/>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90"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68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732" w:type="dxa"/>
            <w:tcBorders>
              <w:right w:val="single" w:sz="12" w:space="0" w:color="984806" w:themeColor="accent6" w:themeShade="80"/>
            </w:tcBorders>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r>
      <w:tr w:rsidR="003674AE" w:rsidRPr="00EB2402" w:rsidTr="003D2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single" w:sz="12" w:space="0" w:color="984806" w:themeColor="accent6" w:themeShade="80"/>
            </w:tcBorders>
            <w:shd w:val="clear" w:color="auto" w:fill="FABF8F" w:themeFill="accent6" w:themeFillTint="99"/>
          </w:tcPr>
          <w:p w:rsidR="008A7265" w:rsidRPr="00A32565" w:rsidRDefault="008A7265" w:rsidP="00153DD1">
            <w:pPr>
              <w:pStyle w:val="ListParagraph"/>
              <w:ind w:left="0"/>
              <w:rPr>
                <w:i/>
                <w:color w:val="0D0D0D" w:themeColor="text1" w:themeTint="F2"/>
              </w:rPr>
            </w:pPr>
            <w:r w:rsidRPr="00A32565">
              <w:rPr>
                <w:i/>
                <w:color w:val="0D0D0D" w:themeColor="text1" w:themeTint="F2"/>
              </w:rPr>
              <w:t xml:space="preserve">Regulators cost recovery </w:t>
            </w:r>
          </w:p>
        </w:tc>
        <w:tc>
          <w:tcPr>
            <w:tcW w:w="567"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851"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Pr>
                <w:rFonts w:cstheme="minorHAnsi"/>
                <w:b/>
                <w:i/>
                <w:color w:val="000000" w:themeColor="text1"/>
                <w:sz w:val="20"/>
                <w:szCs w:val="20"/>
              </w:rPr>
              <w:t>√</w:t>
            </w:r>
          </w:p>
        </w:tc>
        <w:tc>
          <w:tcPr>
            <w:tcW w:w="567"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Pr>
                <w:rFonts w:cstheme="minorHAnsi"/>
                <w:b/>
                <w:i/>
                <w:color w:val="000000" w:themeColor="text1"/>
                <w:sz w:val="20"/>
                <w:szCs w:val="20"/>
              </w:rPr>
              <w:t>√</w:t>
            </w:r>
          </w:p>
        </w:tc>
        <w:tc>
          <w:tcPr>
            <w:tcW w:w="567"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Pr>
                <w:rFonts w:cstheme="minorHAnsi"/>
                <w:b/>
                <w:i/>
                <w:color w:val="000000" w:themeColor="text1"/>
                <w:sz w:val="20"/>
                <w:szCs w:val="20"/>
              </w:rPr>
              <w:t>√</w:t>
            </w:r>
          </w:p>
        </w:tc>
        <w:tc>
          <w:tcPr>
            <w:tcW w:w="620"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Pr>
                <w:rFonts w:cstheme="minorHAnsi"/>
                <w:b/>
                <w:i/>
                <w:color w:val="000000" w:themeColor="text1"/>
                <w:sz w:val="20"/>
                <w:szCs w:val="20"/>
              </w:rPr>
              <w:t>√</w:t>
            </w:r>
          </w:p>
        </w:tc>
        <w:tc>
          <w:tcPr>
            <w:tcW w:w="642"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shd w:val="clear" w:color="auto" w:fill="FFFFFF" w:themeFill="background1"/>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90"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68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732" w:type="dxa"/>
            <w:tcBorders>
              <w:right w:val="single" w:sz="12" w:space="0" w:color="984806" w:themeColor="accent6" w:themeShade="80"/>
            </w:tcBorders>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r>
      <w:tr w:rsidR="003674AE" w:rsidRPr="00EB2402" w:rsidTr="003D2144">
        <w:tc>
          <w:tcPr>
            <w:cnfStyle w:val="001000000000" w:firstRow="0" w:lastRow="0" w:firstColumn="1" w:lastColumn="0" w:oddVBand="0" w:evenVBand="0" w:oddHBand="0" w:evenHBand="0" w:firstRowFirstColumn="0" w:firstRowLastColumn="0" w:lastRowFirstColumn="0" w:lastRowLastColumn="0"/>
            <w:tcW w:w="2518" w:type="dxa"/>
            <w:tcBorders>
              <w:left w:val="single" w:sz="12" w:space="0" w:color="984806" w:themeColor="accent6" w:themeShade="80"/>
            </w:tcBorders>
            <w:shd w:val="clear" w:color="auto" w:fill="FABF8F" w:themeFill="accent6" w:themeFillTint="99"/>
          </w:tcPr>
          <w:p w:rsidR="008A7265" w:rsidRPr="00EB2402" w:rsidRDefault="008A7265" w:rsidP="00153DD1">
            <w:pPr>
              <w:pStyle w:val="ListParagraph"/>
              <w:ind w:left="0"/>
              <w:rPr>
                <w:i/>
                <w:color w:val="0D0D0D" w:themeColor="text1" w:themeTint="F2"/>
              </w:rPr>
            </w:pPr>
            <w:r w:rsidRPr="00EB2402">
              <w:rPr>
                <w:i/>
                <w:color w:val="0D0D0D" w:themeColor="text1" w:themeTint="F2"/>
              </w:rPr>
              <w:t>Permissive regulation</w:t>
            </w:r>
          </w:p>
        </w:tc>
        <w:tc>
          <w:tcPr>
            <w:tcW w:w="567"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851"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7"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7"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620"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642"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Pr>
                <w:rFonts w:cstheme="minorHAnsi"/>
                <w:b/>
                <w:i/>
                <w:color w:val="000000" w:themeColor="text1"/>
                <w:sz w:val="20"/>
                <w:szCs w:val="20"/>
              </w:rPr>
              <w:t>√</w:t>
            </w: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shd w:val="clear" w:color="auto" w:fill="FFFFFF" w:themeFill="background1"/>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90"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68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732" w:type="dxa"/>
            <w:tcBorders>
              <w:right w:val="single" w:sz="12" w:space="0" w:color="984806" w:themeColor="accent6" w:themeShade="80"/>
            </w:tcBorders>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r>
      <w:tr w:rsidR="003674AE" w:rsidRPr="00EB2402" w:rsidTr="003D2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single" w:sz="12" w:space="0" w:color="984806" w:themeColor="accent6" w:themeShade="80"/>
            </w:tcBorders>
            <w:shd w:val="clear" w:color="auto" w:fill="FABF8F" w:themeFill="accent6" w:themeFillTint="99"/>
          </w:tcPr>
          <w:p w:rsidR="008A7265" w:rsidRPr="00EB2402" w:rsidRDefault="008A7265" w:rsidP="00153DD1">
            <w:pPr>
              <w:pStyle w:val="ListParagraph"/>
              <w:ind w:left="0"/>
              <w:rPr>
                <w:i/>
                <w:color w:val="0D0D0D" w:themeColor="text1" w:themeTint="F2"/>
              </w:rPr>
            </w:pPr>
            <w:r>
              <w:rPr>
                <w:i/>
                <w:color w:val="0D0D0D" w:themeColor="text1" w:themeTint="F2"/>
              </w:rPr>
              <w:t xml:space="preserve">Mix of </w:t>
            </w:r>
            <w:proofErr w:type="spellStart"/>
            <w:r>
              <w:rPr>
                <w:i/>
                <w:color w:val="0D0D0D" w:themeColor="text1" w:themeTint="F2"/>
              </w:rPr>
              <w:t>reg</w:t>
            </w:r>
            <w:proofErr w:type="spellEnd"/>
            <w:r>
              <w:rPr>
                <w:i/>
                <w:color w:val="0D0D0D" w:themeColor="text1" w:themeTint="F2"/>
              </w:rPr>
              <w:t>/</w:t>
            </w:r>
            <w:proofErr w:type="spellStart"/>
            <w:r>
              <w:rPr>
                <w:i/>
                <w:color w:val="0D0D0D" w:themeColor="text1" w:themeTint="F2"/>
              </w:rPr>
              <w:t>dereg</w:t>
            </w:r>
            <w:proofErr w:type="spellEnd"/>
          </w:p>
        </w:tc>
        <w:tc>
          <w:tcPr>
            <w:tcW w:w="567"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851"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7"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7"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620"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Pr>
                <w:rFonts w:cstheme="minorHAnsi"/>
                <w:b/>
                <w:i/>
                <w:color w:val="000000" w:themeColor="text1"/>
                <w:sz w:val="20"/>
                <w:szCs w:val="20"/>
              </w:rPr>
              <w:t>√</w:t>
            </w:r>
          </w:p>
        </w:tc>
        <w:tc>
          <w:tcPr>
            <w:tcW w:w="642"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shd w:val="clear" w:color="auto" w:fill="FFFFFF" w:themeFill="background1"/>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90"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68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732" w:type="dxa"/>
            <w:tcBorders>
              <w:right w:val="single" w:sz="12" w:space="0" w:color="984806" w:themeColor="accent6" w:themeShade="80"/>
            </w:tcBorders>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r>
      <w:tr w:rsidR="003674AE" w:rsidRPr="00EB2402" w:rsidTr="003D2144">
        <w:tc>
          <w:tcPr>
            <w:cnfStyle w:val="001000000000" w:firstRow="0" w:lastRow="0" w:firstColumn="1" w:lastColumn="0" w:oddVBand="0" w:evenVBand="0" w:oddHBand="0" w:evenHBand="0" w:firstRowFirstColumn="0" w:firstRowLastColumn="0" w:lastRowFirstColumn="0" w:lastRowLastColumn="0"/>
            <w:tcW w:w="2518" w:type="dxa"/>
            <w:tcBorders>
              <w:left w:val="single" w:sz="12" w:space="0" w:color="984806" w:themeColor="accent6" w:themeShade="80"/>
            </w:tcBorders>
            <w:shd w:val="clear" w:color="auto" w:fill="FABF8F" w:themeFill="accent6" w:themeFillTint="99"/>
          </w:tcPr>
          <w:p w:rsidR="008A7265" w:rsidRPr="00EB2402" w:rsidRDefault="008A7265" w:rsidP="00153DD1">
            <w:pPr>
              <w:pStyle w:val="ListParagraph"/>
              <w:ind w:left="0"/>
              <w:rPr>
                <w:i/>
                <w:color w:val="0D0D0D" w:themeColor="text1" w:themeTint="F2"/>
              </w:rPr>
            </w:pPr>
            <w:r>
              <w:rPr>
                <w:i/>
                <w:color w:val="0D0D0D" w:themeColor="text1" w:themeTint="F2"/>
              </w:rPr>
              <w:t>Gross / net profit</w:t>
            </w:r>
          </w:p>
        </w:tc>
        <w:tc>
          <w:tcPr>
            <w:tcW w:w="567"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851"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7"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7"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620"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Pr>
                <w:rFonts w:cstheme="minorHAnsi"/>
                <w:b/>
                <w:i/>
                <w:color w:val="000000" w:themeColor="text1"/>
                <w:sz w:val="20"/>
                <w:szCs w:val="20"/>
              </w:rPr>
              <w:t>√</w:t>
            </w:r>
          </w:p>
        </w:tc>
        <w:tc>
          <w:tcPr>
            <w:tcW w:w="642"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Pr>
                <w:rFonts w:cstheme="minorHAnsi"/>
                <w:b/>
                <w:i/>
                <w:color w:val="000000" w:themeColor="text1"/>
                <w:sz w:val="20"/>
                <w:szCs w:val="20"/>
              </w:rPr>
              <w:t>√</w:t>
            </w: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90" w:type="dxa"/>
            <w:shd w:val="clear" w:color="auto" w:fill="FFFFFF" w:themeFill="background1"/>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686" w:type="dxa"/>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732" w:type="dxa"/>
            <w:tcBorders>
              <w:right w:val="single" w:sz="12" w:space="0" w:color="984806" w:themeColor="accent6" w:themeShade="80"/>
            </w:tcBorders>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r>
      <w:tr w:rsidR="003674AE" w:rsidRPr="00EB2402" w:rsidTr="003D2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single" w:sz="12" w:space="0" w:color="984806" w:themeColor="accent6" w:themeShade="80"/>
            </w:tcBorders>
          </w:tcPr>
          <w:p w:rsidR="008A7265" w:rsidRPr="00EB2402" w:rsidRDefault="008A7265" w:rsidP="00153DD1">
            <w:pPr>
              <w:pStyle w:val="ListParagraph"/>
              <w:ind w:left="0"/>
              <w:rPr>
                <w:i/>
                <w:color w:val="0D0D0D" w:themeColor="text1" w:themeTint="F2"/>
              </w:rPr>
            </w:pPr>
            <w:proofErr w:type="spellStart"/>
            <w:r>
              <w:rPr>
                <w:i/>
                <w:color w:val="0D0D0D" w:themeColor="text1" w:themeTint="F2"/>
              </w:rPr>
              <w:t>SaMBA</w:t>
            </w:r>
            <w:proofErr w:type="spellEnd"/>
          </w:p>
        </w:tc>
        <w:tc>
          <w:tcPr>
            <w:tcW w:w="567"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Pr>
                <w:rFonts w:cstheme="minorHAnsi"/>
                <w:b/>
                <w:i/>
                <w:color w:val="000000" w:themeColor="text1"/>
                <w:sz w:val="20"/>
                <w:szCs w:val="20"/>
              </w:rPr>
              <w:t>√</w:t>
            </w:r>
          </w:p>
        </w:tc>
        <w:tc>
          <w:tcPr>
            <w:tcW w:w="851"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Pr>
                <w:rFonts w:cstheme="minorHAnsi"/>
                <w:b/>
                <w:i/>
                <w:color w:val="000000" w:themeColor="text1"/>
                <w:sz w:val="20"/>
                <w:szCs w:val="20"/>
              </w:rPr>
              <w:t>√</w:t>
            </w:r>
          </w:p>
        </w:tc>
        <w:tc>
          <w:tcPr>
            <w:tcW w:w="567"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7"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620"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Pr>
                <w:rFonts w:cstheme="minorHAnsi"/>
                <w:b/>
                <w:i/>
                <w:color w:val="000000" w:themeColor="text1"/>
                <w:sz w:val="20"/>
                <w:szCs w:val="20"/>
              </w:rPr>
              <w:t>√</w:t>
            </w:r>
          </w:p>
        </w:tc>
        <w:tc>
          <w:tcPr>
            <w:tcW w:w="642"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Pr>
                <w:rFonts w:cstheme="minorHAnsi"/>
                <w:b/>
                <w:i/>
                <w:color w:val="000000" w:themeColor="text1"/>
                <w:sz w:val="20"/>
                <w:szCs w:val="20"/>
              </w:rPr>
              <w:t>√</w:t>
            </w: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66"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590" w:type="dxa"/>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686" w:type="dxa"/>
            <w:shd w:val="clear" w:color="auto" w:fill="FFFFFF" w:themeFill="background1"/>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732" w:type="dxa"/>
            <w:tcBorders>
              <w:right w:val="single" w:sz="12" w:space="0" w:color="984806" w:themeColor="accent6" w:themeShade="80"/>
            </w:tcBorders>
          </w:tcPr>
          <w:p w:rsidR="008A7265" w:rsidRPr="00EB2402" w:rsidRDefault="008A7265" w:rsidP="00153DD1">
            <w:pPr>
              <w:pStyle w:val="ListParagraph"/>
              <w:ind w:left="0"/>
              <w:jc w:val="cente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r>
      <w:tr w:rsidR="003674AE" w:rsidRPr="00EB2402" w:rsidTr="003D2144">
        <w:tc>
          <w:tcPr>
            <w:cnfStyle w:val="001000000000" w:firstRow="0" w:lastRow="0" w:firstColumn="1" w:lastColumn="0" w:oddVBand="0" w:evenVBand="0" w:oddHBand="0" w:evenHBand="0" w:firstRowFirstColumn="0" w:firstRowLastColumn="0" w:lastRowFirstColumn="0" w:lastRowLastColumn="0"/>
            <w:tcW w:w="2518" w:type="dxa"/>
            <w:tcBorders>
              <w:left w:val="single" w:sz="12" w:space="0" w:color="984806" w:themeColor="accent6" w:themeShade="80"/>
              <w:bottom w:val="single" w:sz="12" w:space="0" w:color="984806" w:themeColor="accent6" w:themeShade="80"/>
            </w:tcBorders>
          </w:tcPr>
          <w:p w:rsidR="008A7265" w:rsidRPr="00EB2402" w:rsidRDefault="008A7265" w:rsidP="00153DD1">
            <w:pPr>
              <w:pStyle w:val="ListParagraph"/>
              <w:ind w:left="0"/>
              <w:rPr>
                <w:i/>
                <w:color w:val="0D0D0D" w:themeColor="text1" w:themeTint="F2"/>
              </w:rPr>
            </w:pPr>
            <w:r>
              <w:rPr>
                <w:i/>
                <w:color w:val="0D0D0D" w:themeColor="text1" w:themeTint="F2"/>
              </w:rPr>
              <w:t>Wider impacts</w:t>
            </w:r>
          </w:p>
        </w:tc>
        <w:tc>
          <w:tcPr>
            <w:tcW w:w="567" w:type="dxa"/>
            <w:tcBorders>
              <w:bottom w:val="single" w:sz="12" w:space="0" w:color="984806" w:themeColor="accent6" w:themeShade="80"/>
            </w:tcBorders>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Pr>
                <w:rFonts w:cstheme="minorHAnsi"/>
                <w:b/>
                <w:i/>
                <w:color w:val="000000" w:themeColor="text1"/>
                <w:sz w:val="20"/>
                <w:szCs w:val="20"/>
              </w:rPr>
              <w:t>√</w:t>
            </w:r>
          </w:p>
        </w:tc>
        <w:tc>
          <w:tcPr>
            <w:tcW w:w="851" w:type="dxa"/>
            <w:tcBorders>
              <w:bottom w:val="single" w:sz="12" w:space="0" w:color="984806" w:themeColor="accent6" w:themeShade="80"/>
            </w:tcBorders>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Pr>
                <w:rFonts w:cstheme="minorHAnsi"/>
                <w:b/>
                <w:i/>
                <w:color w:val="000000" w:themeColor="text1"/>
                <w:sz w:val="20"/>
                <w:szCs w:val="20"/>
              </w:rPr>
              <w:t>√</w:t>
            </w:r>
          </w:p>
        </w:tc>
        <w:tc>
          <w:tcPr>
            <w:tcW w:w="567" w:type="dxa"/>
            <w:tcBorders>
              <w:bottom w:val="single" w:sz="12" w:space="0" w:color="984806" w:themeColor="accent6" w:themeShade="80"/>
            </w:tcBorders>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7" w:type="dxa"/>
            <w:tcBorders>
              <w:bottom w:val="single" w:sz="12" w:space="0" w:color="984806" w:themeColor="accent6" w:themeShade="80"/>
            </w:tcBorders>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Pr>
                <w:rFonts w:cstheme="minorHAnsi"/>
                <w:b/>
                <w:i/>
                <w:color w:val="000000" w:themeColor="text1"/>
                <w:sz w:val="20"/>
                <w:szCs w:val="20"/>
              </w:rPr>
              <w:t>√</w:t>
            </w:r>
          </w:p>
        </w:tc>
        <w:tc>
          <w:tcPr>
            <w:tcW w:w="620" w:type="dxa"/>
            <w:tcBorders>
              <w:bottom w:val="single" w:sz="12" w:space="0" w:color="984806" w:themeColor="accent6" w:themeShade="80"/>
            </w:tcBorders>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Pr>
                <w:rFonts w:cstheme="minorHAnsi"/>
                <w:b/>
                <w:i/>
                <w:color w:val="000000" w:themeColor="text1"/>
                <w:sz w:val="20"/>
                <w:szCs w:val="20"/>
              </w:rPr>
              <w:t>√</w:t>
            </w:r>
          </w:p>
        </w:tc>
        <w:tc>
          <w:tcPr>
            <w:tcW w:w="642" w:type="dxa"/>
            <w:tcBorders>
              <w:bottom w:val="single" w:sz="12" w:space="0" w:color="984806" w:themeColor="accent6" w:themeShade="80"/>
            </w:tcBorders>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Borders>
              <w:bottom w:val="single" w:sz="12" w:space="0" w:color="984806" w:themeColor="accent6" w:themeShade="80"/>
            </w:tcBorders>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Borders>
              <w:bottom w:val="single" w:sz="12" w:space="0" w:color="984806" w:themeColor="accent6" w:themeShade="80"/>
            </w:tcBorders>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Borders>
              <w:bottom w:val="single" w:sz="12" w:space="0" w:color="984806" w:themeColor="accent6" w:themeShade="80"/>
            </w:tcBorders>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Borders>
              <w:bottom w:val="single" w:sz="12" w:space="0" w:color="984806" w:themeColor="accent6" w:themeShade="80"/>
            </w:tcBorders>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Borders>
              <w:bottom w:val="single" w:sz="12" w:space="0" w:color="984806" w:themeColor="accent6" w:themeShade="80"/>
            </w:tcBorders>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Borders>
              <w:bottom w:val="single" w:sz="12" w:space="0" w:color="984806" w:themeColor="accent6" w:themeShade="80"/>
            </w:tcBorders>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Borders>
              <w:bottom w:val="single" w:sz="12" w:space="0" w:color="984806" w:themeColor="accent6" w:themeShade="80"/>
            </w:tcBorders>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Borders>
              <w:bottom w:val="single" w:sz="12" w:space="0" w:color="984806" w:themeColor="accent6" w:themeShade="80"/>
            </w:tcBorders>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Borders>
              <w:bottom w:val="single" w:sz="12" w:space="0" w:color="984806" w:themeColor="accent6" w:themeShade="80"/>
            </w:tcBorders>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66" w:type="dxa"/>
            <w:tcBorders>
              <w:bottom w:val="single" w:sz="12" w:space="0" w:color="984806" w:themeColor="accent6" w:themeShade="80"/>
            </w:tcBorders>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590" w:type="dxa"/>
            <w:tcBorders>
              <w:bottom w:val="single" w:sz="12" w:space="0" w:color="984806" w:themeColor="accent6" w:themeShade="80"/>
            </w:tcBorders>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686" w:type="dxa"/>
            <w:tcBorders>
              <w:bottom w:val="single" w:sz="12" w:space="0" w:color="984806" w:themeColor="accent6" w:themeShade="80"/>
            </w:tcBorders>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732" w:type="dxa"/>
            <w:tcBorders>
              <w:bottom w:val="single" w:sz="12" w:space="0" w:color="984806" w:themeColor="accent6" w:themeShade="80"/>
              <w:right w:val="single" w:sz="12" w:space="0" w:color="984806" w:themeColor="accent6" w:themeShade="80"/>
            </w:tcBorders>
            <w:shd w:val="clear" w:color="auto" w:fill="FFFFFF" w:themeFill="background1"/>
          </w:tcPr>
          <w:p w:rsidR="008A7265" w:rsidRPr="00EB2402" w:rsidRDefault="008A7265" w:rsidP="00153DD1">
            <w:pPr>
              <w:pStyle w:val="ListParagraph"/>
              <w:ind w:left="0"/>
              <w:jc w:val="cente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r>
    </w:tbl>
    <w:p w:rsidR="003E3582" w:rsidRDefault="003E3582" w:rsidP="00695C67">
      <w:pPr>
        <w:pStyle w:val="ListParagraph"/>
        <w:ind w:left="0"/>
        <w:rPr>
          <w:b/>
          <w:color w:val="E36C0A" w:themeColor="accent6" w:themeShade="BF"/>
          <w:sz w:val="32"/>
          <w:szCs w:val="32"/>
        </w:rPr>
        <w:sectPr w:rsidR="003E3582" w:rsidSect="00085949">
          <w:pgSz w:w="16838" w:h="11906" w:orient="landscape"/>
          <w:pgMar w:top="993" w:right="1440" w:bottom="1135" w:left="1440" w:header="709" w:footer="709" w:gutter="0"/>
          <w:cols w:space="708"/>
          <w:titlePg/>
          <w:docGrid w:linePitch="360"/>
        </w:sectPr>
      </w:pPr>
    </w:p>
    <w:p w:rsidR="00153DD1" w:rsidRPr="00B908C0" w:rsidRDefault="00153DD1" w:rsidP="00153DD1">
      <w:pPr>
        <w:rPr>
          <w:b/>
          <w:color w:val="E36C0A" w:themeColor="accent6" w:themeShade="BF"/>
          <w:sz w:val="32"/>
          <w:szCs w:val="32"/>
        </w:rPr>
      </w:pPr>
      <w:r>
        <w:rPr>
          <w:b/>
          <w:color w:val="E36C0A" w:themeColor="accent6" w:themeShade="BF"/>
          <w:sz w:val="32"/>
          <w:szCs w:val="32"/>
        </w:rPr>
        <w:lastRenderedPageBreak/>
        <w:t>iii.</w:t>
      </w:r>
      <w:r w:rsidRPr="00B908C0">
        <w:rPr>
          <w:b/>
          <w:color w:val="E36C0A" w:themeColor="accent6" w:themeShade="BF"/>
          <w:sz w:val="32"/>
          <w:szCs w:val="32"/>
        </w:rPr>
        <w:t xml:space="preserve"> </w:t>
      </w:r>
      <w:r>
        <w:rPr>
          <w:b/>
          <w:color w:val="E36C0A" w:themeColor="accent6" w:themeShade="BF"/>
          <w:sz w:val="32"/>
          <w:szCs w:val="32"/>
        </w:rPr>
        <w:t>How does RPC assess the</w:t>
      </w:r>
      <w:r w:rsidRPr="00B908C0">
        <w:rPr>
          <w:b/>
          <w:color w:val="E36C0A" w:themeColor="accent6" w:themeShade="BF"/>
          <w:sz w:val="32"/>
          <w:szCs w:val="32"/>
        </w:rPr>
        <w:t xml:space="preserve"> quality of analysis and evidence?</w:t>
      </w:r>
    </w:p>
    <w:p w:rsidR="00153DD1" w:rsidRDefault="00153DD1" w:rsidP="00153DD1">
      <w:pPr>
        <w:pStyle w:val="NormalWeb"/>
        <w:spacing w:line="276" w:lineRule="auto"/>
        <w:rPr>
          <w:rFonts w:asciiTheme="minorHAnsi" w:hAnsiTheme="minorHAnsi" w:cstheme="minorHAnsi"/>
        </w:rPr>
      </w:pPr>
      <w:r w:rsidRPr="00D92A4C">
        <w:rPr>
          <w:rFonts w:asciiTheme="minorHAnsi" w:hAnsiTheme="minorHAnsi" w:cstheme="minorHAnsi"/>
          <w:lang w:val="en"/>
        </w:rPr>
        <w:t xml:space="preserve">The RPC </w:t>
      </w:r>
      <w:r>
        <w:rPr>
          <w:rFonts w:asciiTheme="minorHAnsi" w:hAnsiTheme="minorHAnsi" w:cstheme="minorHAnsi"/>
          <w:lang w:val="en"/>
        </w:rPr>
        <w:t>assesses</w:t>
      </w:r>
      <w:r w:rsidRPr="00D92A4C">
        <w:rPr>
          <w:rFonts w:asciiTheme="minorHAnsi" w:hAnsiTheme="minorHAnsi" w:cstheme="minorHAnsi"/>
          <w:lang w:val="en"/>
        </w:rPr>
        <w:t xml:space="preserve"> the quality of</w:t>
      </w:r>
      <w:r>
        <w:rPr>
          <w:rFonts w:asciiTheme="minorHAnsi" w:hAnsiTheme="minorHAnsi" w:cstheme="minorHAnsi"/>
          <w:lang w:val="en"/>
        </w:rPr>
        <w:t xml:space="preserve"> the</w:t>
      </w:r>
      <w:r w:rsidRPr="00D92A4C">
        <w:rPr>
          <w:rFonts w:asciiTheme="minorHAnsi" w:hAnsiTheme="minorHAnsi" w:cstheme="minorHAnsi"/>
          <w:lang w:val="en"/>
        </w:rPr>
        <w:t xml:space="preserve"> evidence and analysis supporting regulatory and deregulatory proposals, and </w:t>
      </w:r>
      <w:r>
        <w:rPr>
          <w:rFonts w:asciiTheme="minorHAnsi" w:hAnsiTheme="minorHAnsi" w:cstheme="minorHAnsi"/>
          <w:lang w:val="en"/>
        </w:rPr>
        <w:t>validates</w:t>
      </w:r>
      <w:r w:rsidRPr="00D92A4C">
        <w:rPr>
          <w:rFonts w:asciiTheme="minorHAnsi" w:hAnsiTheme="minorHAnsi" w:cstheme="minorHAnsi"/>
          <w:lang w:val="en"/>
        </w:rPr>
        <w:t xml:space="preserve"> the estimates for the equivalent annual net </w:t>
      </w:r>
      <w:r>
        <w:rPr>
          <w:rFonts w:asciiTheme="minorHAnsi" w:hAnsiTheme="minorHAnsi" w:cstheme="minorHAnsi"/>
          <w:lang w:val="en"/>
        </w:rPr>
        <w:t xml:space="preserve">direct </w:t>
      </w:r>
      <w:r w:rsidRPr="00D92A4C">
        <w:rPr>
          <w:rFonts w:asciiTheme="minorHAnsi" w:hAnsiTheme="minorHAnsi" w:cstheme="minorHAnsi"/>
          <w:lang w:val="en"/>
        </w:rPr>
        <w:t>cost to business (EAN</w:t>
      </w:r>
      <w:r>
        <w:rPr>
          <w:rFonts w:asciiTheme="minorHAnsi" w:hAnsiTheme="minorHAnsi" w:cstheme="minorHAnsi"/>
          <w:lang w:val="en"/>
        </w:rPr>
        <w:t>D</w:t>
      </w:r>
      <w:r w:rsidRPr="00D92A4C">
        <w:rPr>
          <w:rFonts w:asciiTheme="minorHAnsi" w:hAnsiTheme="minorHAnsi" w:cstheme="minorHAnsi"/>
          <w:lang w:val="en"/>
        </w:rPr>
        <w:t xml:space="preserve">CB). </w:t>
      </w:r>
      <w:r>
        <w:rPr>
          <w:rFonts w:asciiTheme="minorHAnsi" w:hAnsiTheme="minorHAnsi" w:cstheme="minorHAnsi"/>
          <w:lang w:val="en"/>
        </w:rPr>
        <w:t>D</w:t>
      </w:r>
      <w:r w:rsidRPr="00D92A4C">
        <w:rPr>
          <w:rFonts w:asciiTheme="minorHAnsi" w:hAnsiTheme="minorHAnsi" w:cstheme="minorHAnsi"/>
          <w:lang w:val="en"/>
        </w:rPr>
        <w:t xml:space="preserve">epartments are expected to develop and present their proposals in line with the </w:t>
      </w:r>
      <w:hyperlink r:id="rId23" w:history="1">
        <w:r w:rsidRPr="00AD5792">
          <w:rPr>
            <w:rStyle w:val="Hyperlink"/>
            <w:rFonts w:asciiTheme="minorHAnsi" w:hAnsiTheme="minorHAnsi" w:cstheme="minorHAnsi"/>
          </w:rPr>
          <w:t>RPC recommendations on scrutinising IAs</w:t>
        </w:r>
      </w:hyperlink>
      <w:r w:rsidRPr="00D92A4C">
        <w:rPr>
          <w:rFonts w:asciiTheme="minorHAnsi" w:hAnsiTheme="minorHAnsi" w:cstheme="minorHAnsi"/>
          <w:lang w:val="en"/>
        </w:rPr>
        <w:t xml:space="preserve">. </w:t>
      </w:r>
      <w:r>
        <w:rPr>
          <w:rFonts w:asciiTheme="minorHAnsi" w:hAnsiTheme="minorHAnsi" w:cstheme="minorHAnsi"/>
          <w:lang w:val="en"/>
        </w:rPr>
        <w:t>It is o</w:t>
      </w:r>
      <w:proofErr w:type="spellStart"/>
      <w:r>
        <w:rPr>
          <w:rFonts w:asciiTheme="minorHAnsi" w:hAnsiTheme="minorHAnsi" w:cstheme="minorHAnsi"/>
        </w:rPr>
        <w:t>n</w:t>
      </w:r>
      <w:proofErr w:type="spellEnd"/>
      <w:r>
        <w:rPr>
          <w:rFonts w:asciiTheme="minorHAnsi" w:hAnsiTheme="minorHAnsi" w:cstheme="minorHAnsi"/>
        </w:rPr>
        <w:t xml:space="preserve"> this basis that the </w:t>
      </w:r>
      <w:r w:rsidRPr="00D92A4C">
        <w:rPr>
          <w:rFonts w:asciiTheme="minorHAnsi" w:hAnsiTheme="minorHAnsi" w:cstheme="minorHAnsi"/>
        </w:rPr>
        <w:t>RPC will assess the quality of evidence and analysis in impact assessment</w:t>
      </w:r>
      <w:r>
        <w:rPr>
          <w:rFonts w:asciiTheme="minorHAnsi" w:hAnsiTheme="minorHAnsi" w:cstheme="minorHAnsi"/>
        </w:rPr>
        <w:t>s</w:t>
      </w:r>
      <w:r w:rsidRPr="00D92A4C">
        <w:rPr>
          <w:rFonts w:asciiTheme="minorHAnsi" w:hAnsiTheme="minorHAnsi" w:cstheme="minorHAnsi"/>
        </w:rPr>
        <w:t xml:space="preserve">. Specifically, </w:t>
      </w:r>
      <w:r>
        <w:rPr>
          <w:rFonts w:asciiTheme="minorHAnsi" w:hAnsiTheme="minorHAnsi" w:cstheme="minorHAnsi"/>
        </w:rPr>
        <w:t>the table below</w:t>
      </w:r>
      <w:r w:rsidRPr="00D92A4C">
        <w:rPr>
          <w:rFonts w:asciiTheme="minorHAnsi" w:hAnsiTheme="minorHAnsi" w:cstheme="minorHAnsi"/>
        </w:rPr>
        <w:t xml:space="preserve"> sets out the key areas </w:t>
      </w:r>
      <w:r>
        <w:rPr>
          <w:rFonts w:asciiTheme="minorHAnsi" w:hAnsiTheme="minorHAnsi" w:cstheme="minorHAnsi"/>
        </w:rPr>
        <w:t xml:space="preserve">that the </w:t>
      </w:r>
      <w:r w:rsidRPr="00D92A4C">
        <w:rPr>
          <w:rFonts w:asciiTheme="minorHAnsi" w:hAnsiTheme="minorHAnsi" w:cstheme="minorHAnsi"/>
        </w:rPr>
        <w:t>RPC scrutinise</w:t>
      </w:r>
      <w:r>
        <w:rPr>
          <w:rFonts w:asciiTheme="minorHAnsi" w:hAnsiTheme="minorHAnsi" w:cstheme="minorHAnsi"/>
        </w:rPr>
        <w:t>s</w:t>
      </w:r>
      <w:r w:rsidRPr="00D92A4C">
        <w:rPr>
          <w:rFonts w:asciiTheme="minorHAnsi" w:hAnsiTheme="minorHAnsi" w:cstheme="minorHAnsi"/>
        </w:rPr>
        <w:t xml:space="preserve"> to </w:t>
      </w:r>
      <w:r>
        <w:rPr>
          <w:rFonts w:asciiTheme="minorHAnsi" w:hAnsiTheme="minorHAnsi" w:cstheme="minorHAnsi"/>
        </w:rPr>
        <w:t>establish whether</w:t>
      </w:r>
      <w:r w:rsidRPr="00D92A4C">
        <w:rPr>
          <w:rFonts w:asciiTheme="minorHAnsi" w:hAnsiTheme="minorHAnsi" w:cstheme="minorHAnsi"/>
        </w:rPr>
        <w:t xml:space="preserve"> an impact assessment is fit for purpose. Red text indicates that the issue makes the submission ‘not fit for purpose’. Note that the table refers to proposals submitted via a full IA route only. </w:t>
      </w:r>
    </w:p>
    <w:p w:rsidR="00E94E4B" w:rsidRPr="00E94E4B" w:rsidRDefault="00153DD1" w:rsidP="00E94E4B">
      <w:pPr>
        <w:pStyle w:val="NormalWeb"/>
        <w:spacing w:line="276" w:lineRule="auto"/>
        <w:rPr>
          <w:rFonts w:asciiTheme="minorHAnsi" w:hAnsiTheme="minorHAnsi" w:cstheme="minorHAnsi"/>
          <w:lang w:val="en"/>
        </w:rPr>
        <w:sectPr w:rsidR="00E94E4B" w:rsidRPr="00E94E4B" w:rsidSect="00E94E4B">
          <w:pgSz w:w="11906" w:h="16838"/>
          <w:pgMar w:top="1440" w:right="709" w:bottom="1440" w:left="1440" w:header="709" w:footer="709" w:gutter="0"/>
          <w:cols w:space="708"/>
          <w:titlePg/>
          <w:docGrid w:linePitch="360"/>
        </w:sectPr>
      </w:pPr>
      <w:r>
        <w:rPr>
          <w:rFonts w:asciiTheme="minorHAnsi" w:hAnsiTheme="minorHAnsi" w:cstheme="minorHAnsi"/>
          <w:lang w:val="en"/>
        </w:rPr>
        <w:t xml:space="preserve">For further guidance related to the RPC process and related requirements please see an </w:t>
      </w:r>
      <w:hyperlink r:id="rId24" w:history="1">
        <w:r w:rsidRPr="00686495">
          <w:rPr>
            <w:rStyle w:val="Hyperlink"/>
            <w:rFonts w:asciiTheme="minorHAnsi" w:hAnsiTheme="minorHAnsi" w:cstheme="minorHAnsi"/>
            <w:lang w:val="en"/>
          </w:rPr>
          <w:t>RPC slide pack</w:t>
        </w:r>
      </w:hyperlink>
      <w:r>
        <w:rPr>
          <w:rFonts w:asciiTheme="minorHAnsi" w:hAnsiTheme="minorHAnsi" w:cstheme="minorHAnsi"/>
          <w:lang w:val="en"/>
        </w:rPr>
        <w:t xml:space="preserve"> on</w:t>
      </w:r>
      <w:r w:rsidR="00686495">
        <w:rPr>
          <w:rFonts w:asciiTheme="minorHAnsi" w:hAnsiTheme="minorHAnsi" w:cstheme="minorHAnsi"/>
          <w:lang w:val="en"/>
        </w:rPr>
        <w:t xml:space="preserve"> the Whitehall portal</w:t>
      </w:r>
      <w:r>
        <w:rPr>
          <w:rFonts w:asciiTheme="minorHAnsi" w:hAnsiTheme="minorHAnsi" w:cstheme="minorHAnsi"/>
          <w:lang w:val="en"/>
        </w:rPr>
        <w:t>.</w:t>
      </w:r>
    </w:p>
    <w:p w:rsidR="00A864AC" w:rsidRPr="004C6859" w:rsidRDefault="00153DD1" w:rsidP="004C6859">
      <w:pPr>
        <w:spacing w:after="120"/>
        <w:rPr>
          <w:rFonts w:eastAsia="Times New Roman" w:cstheme="minorHAnsi"/>
          <w:b/>
          <w:sz w:val="24"/>
          <w:szCs w:val="24"/>
          <w:lang w:eastAsia="en-GB"/>
        </w:rPr>
      </w:pPr>
      <w:r w:rsidRPr="004C6859">
        <w:rPr>
          <w:rFonts w:eastAsia="Times New Roman" w:cstheme="minorHAnsi"/>
          <w:b/>
          <w:sz w:val="24"/>
          <w:szCs w:val="24"/>
          <w:lang w:eastAsia="en-GB"/>
        </w:rPr>
        <w:lastRenderedPageBreak/>
        <w:t xml:space="preserve">Table </w:t>
      </w:r>
      <w:r w:rsidR="008A0419" w:rsidRPr="008A0419">
        <w:rPr>
          <w:rFonts w:eastAsia="Times New Roman" w:cstheme="minorHAnsi"/>
          <w:b/>
          <w:sz w:val="24"/>
          <w:szCs w:val="24"/>
          <w:lang w:eastAsia="en-GB"/>
        </w:rPr>
        <w:t>1</w:t>
      </w:r>
      <w:r w:rsidRPr="004C6859">
        <w:rPr>
          <w:rFonts w:eastAsia="Times New Roman" w:cstheme="minorHAnsi"/>
          <w:b/>
          <w:sz w:val="24"/>
          <w:szCs w:val="24"/>
          <w:lang w:eastAsia="en-GB"/>
        </w:rPr>
        <w:t>: Key areas of analysis RPC will scrutinise to ensure proposals are fit for purpose</w:t>
      </w:r>
    </w:p>
    <w:tbl>
      <w:tblPr>
        <w:tblStyle w:val="MediumGrid3-Accent6"/>
        <w:tblpPr w:leftFromText="180" w:rightFromText="180" w:vertAnchor="text" w:horzAnchor="page" w:tblpX="800" w:tblpY="239"/>
        <w:tblW w:w="5589" w:type="pct"/>
        <w:tblBorders>
          <w:top w:val="single" w:sz="18" w:space="0" w:color="984806" w:themeColor="accent6" w:themeShade="80"/>
          <w:left w:val="single" w:sz="18" w:space="0" w:color="984806" w:themeColor="accent6" w:themeShade="80"/>
          <w:bottom w:val="single" w:sz="18" w:space="0" w:color="984806" w:themeColor="accent6" w:themeShade="80"/>
          <w:right w:val="single" w:sz="18" w:space="0" w:color="984806" w:themeColor="accent6" w:themeShade="80"/>
          <w:insideH w:val="single" w:sz="6" w:space="0" w:color="984806" w:themeColor="accent6" w:themeShade="80"/>
          <w:insideV w:val="single" w:sz="6" w:space="0" w:color="984806" w:themeColor="accent6" w:themeShade="80"/>
        </w:tblBorders>
        <w:tblLayout w:type="fixed"/>
        <w:tblLook w:val="00A0" w:firstRow="1" w:lastRow="0" w:firstColumn="1" w:lastColumn="0" w:noHBand="0" w:noVBand="0"/>
      </w:tblPr>
      <w:tblGrid>
        <w:gridCol w:w="998"/>
        <w:gridCol w:w="1001"/>
        <w:gridCol w:w="1369"/>
        <w:gridCol w:w="1287"/>
        <w:gridCol w:w="1407"/>
        <w:gridCol w:w="1416"/>
        <w:gridCol w:w="1559"/>
        <w:gridCol w:w="1559"/>
        <w:gridCol w:w="1702"/>
        <w:gridCol w:w="3546"/>
      </w:tblGrid>
      <w:tr w:rsidR="00153DD1" w:rsidRPr="00C6736C" w:rsidTr="00E94E4B">
        <w:trPr>
          <w:cnfStyle w:val="100000000000" w:firstRow="1" w:lastRow="0" w:firstColumn="0" w:lastColumn="0" w:oddVBand="0" w:evenVBand="0" w:oddHBand="0" w:evenHBand="0" w:firstRowFirstColumn="0" w:firstRowLastColumn="0" w:lastRowFirstColumn="0" w:lastRowLastColumn="0"/>
          <w:trHeight w:val="2094"/>
        </w:trPr>
        <w:tc>
          <w:tcPr>
            <w:cnfStyle w:val="001000000000" w:firstRow="0" w:lastRow="0" w:firstColumn="1" w:lastColumn="0" w:oddVBand="0" w:evenVBand="0" w:oddHBand="0" w:evenHBand="0" w:firstRowFirstColumn="0" w:firstRowLastColumn="0" w:lastRowFirstColumn="0" w:lastRowLastColumn="0"/>
            <w:tcW w:w="631" w:type="pct"/>
            <w:gridSpan w:val="2"/>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shd w:val="clear" w:color="auto" w:fill="984806" w:themeFill="accent6" w:themeFillShade="80"/>
          </w:tcPr>
          <w:p w:rsidR="00153DD1" w:rsidRPr="004E36F5" w:rsidRDefault="00153DD1" w:rsidP="004C6859">
            <w:pPr>
              <w:rPr>
                <w:rFonts w:eastAsia="Times New Roman" w:cstheme="minorHAnsi"/>
                <w:b w:val="0"/>
                <w:lang w:eastAsia="en-GB"/>
              </w:rPr>
            </w:pPr>
          </w:p>
          <w:p w:rsidR="00153DD1" w:rsidRPr="004E36F5" w:rsidRDefault="00153DD1" w:rsidP="004C6859">
            <w:pPr>
              <w:rPr>
                <w:rFonts w:eastAsia="Times New Roman" w:cstheme="minorHAnsi"/>
                <w:lang w:eastAsia="en-GB"/>
              </w:rPr>
            </w:pPr>
            <w:r w:rsidRPr="004E36F5">
              <w:rPr>
                <w:rFonts w:eastAsia="Times New Roman" w:cstheme="minorHAnsi"/>
                <w:lang w:eastAsia="en-GB"/>
              </w:rPr>
              <w:t>Recommendations / Route and Stage</w:t>
            </w:r>
          </w:p>
        </w:tc>
        <w:tc>
          <w:tcPr>
            <w:cnfStyle w:val="000010000000" w:firstRow="0" w:lastRow="0" w:firstColumn="0" w:lastColumn="0" w:oddVBand="1" w:evenVBand="0" w:oddHBand="0" w:evenHBand="0" w:firstRowFirstColumn="0" w:firstRowLastColumn="0" w:lastRowFirstColumn="0" w:lastRowLastColumn="0"/>
            <w:tcW w:w="432" w:type="pct"/>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shd w:val="clear" w:color="auto" w:fill="FABF8F" w:themeFill="accent6" w:themeFillTint="99"/>
          </w:tcPr>
          <w:p w:rsidR="00153DD1" w:rsidRPr="004E36F5" w:rsidRDefault="00153DD1" w:rsidP="004C6859">
            <w:pPr>
              <w:rPr>
                <w:rFonts w:eastAsia="Times New Roman" w:cstheme="minorHAnsi"/>
                <w:b w:val="0"/>
                <w:lang w:eastAsia="en-GB"/>
              </w:rPr>
            </w:pPr>
          </w:p>
          <w:p w:rsidR="00153DD1" w:rsidRPr="004E36F5" w:rsidRDefault="00153DD1" w:rsidP="004C6859">
            <w:pPr>
              <w:rPr>
                <w:rFonts w:eastAsia="Times New Roman" w:cstheme="minorHAnsi"/>
                <w:lang w:eastAsia="en-GB"/>
              </w:rPr>
            </w:pPr>
            <w:r w:rsidRPr="004E36F5">
              <w:rPr>
                <w:rFonts w:eastAsia="Times New Roman" w:cstheme="minorHAnsi"/>
                <w:lang w:eastAsia="en-GB"/>
              </w:rPr>
              <w:t>Don’t presume regulation is the answer</w:t>
            </w:r>
          </w:p>
          <w:p w:rsidR="00153DD1" w:rsidRPr="004E36F5" w:rsidRDefault="00153DD1" w:rsidP="004C6859">
            <w:pPr>
              <w:rPr>
                <w:rFonts w:eastAsia="Times New Roman" w:cstheme="minorHAnsi"/>
                <w:lang w:eastAsia="en-GB"/>
              </w:rPr>
            </w:pPr>
          </w:p>
        </w:tc>
        <w:tc>
          <w:tcPr>
            <w:tcW w:w="406" w:type="pct"/>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shd w:val="clear" w:color="auto" w:fill="FBD4B4" w:themeFill="accent6" w:themeFillTint="66"/>
          </w:tcPr>
          <w:p w:rsidR="00153DD1" w:rsidRPr="004E36F5" w:rsidRDefault="00153DD1" w:rsidP="004C6859">
            <w:pP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en-GB"/>
              </w:rPr>
            </w:pPr>
          </w:p>
          <w:p w:rsidR="00153DD1" w:rsidRPr="004E36F5" w:rsidRDefault="00153DD1" w:rsidP="004C6859">
            <w:pP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4E36F5">
              <w:rPr>
                <w:rFonts w:eastAsia="Times New Roman" w:cstheme="minorHAnsi"/>
                <w:lang w:eastAsia="en-GB"/>
              </w:rPr>
              <w:t>Take time and effort to consider all the options</w:t>
            </w:r>
          </w:p>
          <w:p w:rsidR="00153DD1" w:rsidRPr="004E36F5" w:rsidRDefault="00153DD1" w:rsidP="004C6859">
            <w:pP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p>
        </w:tc>
        <w:tc>
          <w:tcPr>
            <w:cnfStyle w:val="000010000000" w:firstRow="0" w:lastRow="0" w:firstColumn="0" w:lastColumn="0" w:oddVBand="1" w:evenVBand="0" w:oddHBand="0" w:evenHBand="0" w:firstRowFirstColumn="0" w:firstRowLastColumn="0" w:lastRowFirstColumn="0" w:lastRowLastColumn="0"/>
            <w:tcW w:w="444" w:type="pct"/>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shd w:val="clear" w:color="auto" w:fill="FABF8F" w:themeFill="accent6" w:themeFillTint="99"/>
          </w:tcPr>
          <w:p w:rsidR="00153DD1" w:rsidRPr="004E36F5" w:rsidRDefault="00153DD1" w:rsidP="004C6859">
            <w:pPr>
              <w:rPr>
                <w:rFonts w:eastAsia="Times New Roman" w:cstheme="minorHAnsi"/>
                <w:b w:val="0"/>
                <w:lang w:eastAsia="en-GB"/>
              </w:rPr>
            </w:pPr>
          </w:p>
          <w:p w:rsidR="00153DD1" w:rsidRPr="004E36F5" w:rsidRDefault="00153DD1" w:rsidP="004C6859">
            <w:pPr>
              <w:rPr>
                <w:rFonts w:eastAsia="Times New Roman" w:cstheme="minorHAnsi"/>
                <w:lang w:eastAsia="en-GB"/>
              </w:rPr>
            </w:pPr>
            <w:r w:rsidRPr="004E36F5">
              <w:rPr>
                <w:rFonts w:eastAsia="Times New Roman" w:cstheme="minorHAnsi"/>
                <w:lang w:eastAsia="en-GB"/>
              </w:rPr>
              <w:t>Make sure you have substantive evidence</w:t>
            </w:r>
          </w:p>
          <w:p w:rsidR="00153DD1" w:rsidRPr="004E36F5" w:rsidRDefault="00153DD1" w:rsidP="004C6859">
            <w:pPr>
              <w:rPr>
                <w:rFonts w:eastAsia="Times New Roman" w:cstheme="minorHAnsi"/>
                <w:lang w:eastAsia="en-GB"/>
              </w:rPr>
            </w:pPr>
          </w:p>
        </w:tc>
        <w:tc>
          <w:tcPr>
            <w:tcW w:w="447" w:type="pct"/>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shd w:val="clear" w:color="auto" w:fill="FBD4B4" w:themeFill="accent6" w:themeFillTint="66"/>
          </w:tcPr>
          <w:p w:rsidR="00153DD1" w:rsidRPr="004E36F5" w:rsidRDefault="00153DD1" w:rsidP="004C6859">
            <w:pP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en-GB"/>
              </w:rPr>
            </w:pPr>
          </w:p>
          <w:p w:rsidR="00153DD1" w:rsidRPr="004E36F5" w:rsidRDefault="00153DD1" w:rsidP="004C6859">
            <w:pP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4E36F5">
              <w:rPr>
                <w:rFonts w:eastAsia="Times New Roman" w:cstheme="minorHAnsi"/>
                <w:lang w:eastAsia="en-GB"/>
              </w:rPr>
              <w:t>Produce reliable estimates of costs and benefits</w:t>
            </w:r>
          </w:p>
          <w:p w:rsidR="00153DD1" w:rsidRPr="004E36F5" w:rsidRDefault="00153DD1" w:rsidP="004C6859">
            <w:pP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p>
        </w:tc>
        <w:tc>
          <w:tcPr>
            <w:cnfStyle w:val="000010000000" w:firstRow="0" w:lastRow="0" w:firstColumn="0" w:lastColumn="0" w:oddVBand="1" w:evenVBand="0" w:oddHBand="0" w:evenHBand="0" w:firstRowFirstColumn="0" w:firstRowLastColumn="0" w:lastRowFirstColumn="0" w:lastRowLastColumn="0"/>
            <w:tcW w:w="492" w:type="pct"/>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shd w:val="clear" w:color="auto" w:fill="FABF8F" w:themeFill="accent6" w:themeFillTint="99"/>
          </w:tcPr>
          <w:p w:rsidR="00153DD1" w:rsidRPr="004E36F5" w:rsidRDefault="00153DD1" w:rsidP="004C6859">
            <w:pPr>
              <w:rPr>
                <w:rFonts w:eastAsia="Times New Roman" w:cstheme="minorHAnsi"/>
                <w:b w:val="0"/>
                <w:lang w:eastAsia="en-GB"/>
              </w:rPr>
            </w:pPr>
          </w:p>
          <w:p w:rsidR="00153DD1" w:rsidRPr="004E36F5" w:rsidRDefault="00153DD1" w:rsidP="004C6859">
            <w:pPr>
              <w:rPr>
                <w:rFonts w:eastAsia="Times New Roman" w:cstheme="minorHAnsi"/>
                <w:lang w:eastAsia="en-GB"/>
              </w:rPr>
            </w:pPr>
            <w:r w:rsidRPr="004E36F5">
              <w:rPr>
                <w:rFonts w:eastAsia="Times New Roman" w:cstheme="minorHAnsi"/>
                <w:lang w:eastAsia="en-GB"/>
              </w:rPr>
              <w:t>Assess non-monetary impacts thoroughly</w:t>
            </w:r>
          </w:p>
          <w:p w:rsidR="00153DD1" w:rsidRPr="004E36F5" w:rsidRDefault="00153DD1" w:rsidP="004C6859">
            <w:pPr>
              <w:rPr>
                <w:rFonts w:eastAsia="Times New Roman" w:cstheme="minorHAnsi"/>
                <w:lang w:eastAsia="en-GB"/>
              </w:rPr>
            </w:pPr>
          </w:p>
        </w:tc>
        <w:tc>
          <w:tcPr>
            <w:tcW w:w="492" w:type="pct"/>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shd w:val="clear" w:color="auto" w:fill="FBD4B4" w:themeFill="accent6" w:themeFillTint="66"/>
          </w:tcPr>
          <w:p w:rsidR="00153DD1" w:rsidRPr="004E36F5" w:rsidRDefault="00153DD1" w:rsidP="004C6859">
            <w:pP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en-GB"/>
              </w:rPr>
            </w:pPr>
          </w:p>
          <w:p w:rsidR="00153DD1" w:rsidRPr="004E36F5" w:rsidDel="005001DA" w:rsidRDefault="00153DD1" w:rsidP="004C6859">
            <w:pP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4E36F5">
              <w:rPr>
                <w:rFonts w:eastAsia="Times New Roman" w:cstheme="minorHAnsi"/>
                <w:lang w:eastAsia="en-GB"/>
              </w:rPr>
              <w:t>Explain and present results clearly</w:t>
            </w:r>
          </w:p>
        </w:tc>
        <w:tc>
          <w:tcPr>
            <w:cnfStyle w:val="000010000000" w:firstRow="0" w:lastRow="0" w:firstColumn="0" w:lastColumn="0" w:oddVBand="1" w:evenVBand="0" w:oddHBand="0" w:evenHBand="0" w:firstRowFirstColumn="0" w:firstRowLastColumn="0" w:lastRowFirstColumn="0" w:lastRowLastColumn="0"/>
            <w:tcW w:w="537" w:type="pct"/>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shd w:val="clear" w:color="auto" w:fill="FABF8F" w:themeFill="accent6" w:themeFillTint="99"/>
          </w:tcPr>
          <w:p w:rsidR="00153DD1" w:rsidRPr="004E36F5" w:rsidRDefault="00153DD1" w:rsidP="004C6859">
            <w:pPr>
              <w:rPr>
                <w:rFonts w:eastAsia="Times New Roman" w:cstheme="minorHAnsi"/>
                <w:b w:val="0"/>
                <w:lang w:eastAsia="en-GB"/>
              </w:rPr>
            </w:pPr>
          </w:p>
          <w:p w:rsidR="00153DD1" w:rsidRPr="004E36F5" w:rsidRDefault="00153DD1" w:rsidP="004C6859">
            <w:pPr>
              <w:rPr>
                <w:rFonts w:eastAsia="Times New Roman" w:cstheme="minorHAnsi"/>
                <w:lang w:eastAsia="en-GB"/>
              </w:rPr>
            </w:pPr>
            <w:r w:rsidRPr="004E36F5">
              <w:rPr>
                <w:rFonts w:eastAsia="Times New Roman" w:cstheme="minorHAnsi"/>
                <w:lang w:eastAsia="en-GB"/>
              </w:rPr>
              <w:t xml:space="preserve">Understand the real cost to business and civil society of regulation (base </w:t>
            </w:r>
            <w:r>
              <w:rPr>
                <w:rFonts w:eastAsia="Times New Roman" w:cstheme="minorHAnsi"/>
                <w:lang w:eastAsia="en-GB"/>
              </w:rPr>
              <w:t xml:space="preserve">for </w:t>
            </w:r>
            <w:r w:rsidRPr="004E36F5">
              <w:rPr>
                <w:rFonts w:eastAsia="Times New Roman" w:cstheme="minorHAnsi"/>
                <w:lang w:eastAsia="en-GB"/>
              </w:rPr>
              <w:t>BIT classification)</w:t>
            </w:r>
          </w:p>
          <w:p w:rsidR="00153DD1" w:rsidRPr="004E36F5" w:rsidDel="005001DA" w:rsidRDefault="00153DD1" w:rsidP="004C6859">
            <w:pPr>
              <w:rPr>
                <w:rFonts w:eastAsia="Times New Roman" w:cstheme="minorHAnsi"/>
                <w:lang w:eastAsia="en-GB"/>
              </w:rPr>
            </w:pPr>
          </w:p>
        </w:tc>
        <w:tc>
          <w:tcPr>
            <w:tcW w:w="1119" w:type="pct"/>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shd w:val="clear" w:color="auto" w:fill="FBD4B4" w:themeFill="accent6" w:themeFillTint="66"/>
          </w:tcPr>
          <w:p w:rsidR="00153DD1" w:rsidRPr="00CF2F36" w:rsidRDefault="00153DD1" w:rsidP="004C6859">
            <w:pPr>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24"/>
                <w:szCs w:val="24"/>
                <w:lang w:eastAsia="en-GB"/>
              </w:rPr>
            </w:pPr>
          </w:p>
          <w:p w:rsidR="00153DD1" w:rsidRPr="00CF2F36" w:rsidRDefault="00153DD1" w:rsidP="004C6859">
            <w:pPr>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CF2F36">
              <w:rPr>
                <w:rFonts w:eastAsia="Times New Roman" w:cstheme="minorHAnsi"/>
                <w:sz w:val="24"/>
                <w:szCs w:val="24"/>
                <w:lang w:eastAsia="en-GB"/>
              </w:rPr>
              <w:t>Seek to minimise the burdens on small and micro businesses</w:t>
            </w:r>
          </w:p>
          <w:p w:rsidR="00153DD1" w:rsidRPr="00CF2F36" w:rsidRDefault="00153DD1" w:rsidP="004C6859">
            <w:pPr>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p>
        </w:tc>
      </w:tr>
      <w:tr w:rsidR="00153DD1" w:rsidRPr="00C6736C" w:rsidTr="00153DD1">
        <w:trPr>
          <w:cnfStyle w:val="000000100000" w:firstRow="0" w:lastRow="0" w:firstColumn="0" w:lastColumn="0" w:oddVBand="0" w:evenVBand="0" w:oddHBand="1" w:evenHBand="0" w:firstRowFirstColumn="0" w:firstRowLastColumn="0" w:lastRowFirstColumn="0" w:lastRowLastColumn="0"/>
          <w:trHeight w:val="2608"/>
        </w:trPr>
        <w:tc>
          <w:tcPr>
            <w:cnfStyle w:val="001000000000" w:firstRow="0" w:lastRow="0" w:firstColumn="1" w:lastColumn="0" w:oddVBand="0" w:evenVBand="0" w:oddHBand="0" w:evenHBand="0" w:firstRowFirstColumn="0" w:firstRowLastColumn="0" w:lastRowFirstColumn="0" w:lastRowLastColumn="0"/>
            <w:tcW w:w="315" w:type="pct"/>
            <w:vMerge w:val="restart"/>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shd w:val="clear" w:color="auto" w:fill="E36C0A" w:themeFill="accent6" w:themeFillShade="BF"/>
            <w:textDirection w:val="btLr"/>
            <w:vAlign w:val="center"/>
          </w:tcPr>
          <w:p w:rsidR="00153DD1" w:rsidRPr="00C6736C" w:rsidRDefault="00153DD1" w:rsidP="004C6859">
            <w:pPr>
              <w:ind w:left="113" w:right="113"/>
              <w:jc w:val="center"/>
              <w:rPr>
                <w:rFonts w:eastAsia="Times New Roman" w:cstheme="minorHAnsi"/>
                <w:lang w:eastAsia="en-GB"/>
              </w:rPr>
            </w:pPr>
            <w:r w:rsidRPr="00C6736C">
              <w:rPr>
                <w:rFonts w:eastAsia="Times New Roman" w:cstheme="minorHAnsi"/>
                <w:lang w:eastAsia="en-GB"/>
              </w:rPr>
              <w:t>Full route</w:t>
            </w:r>
          </w:p>
        </w:tc>
        <w:tc>
          <w:tcPr>
            <w:cnfStyle w:val="000010000000" w:firstRow="0" w:lastRow="0" w:firstColumn="0" w:lastColumn="0" w:oddVBand="1" w:evenVBand="0" w:oddHBand="0" w:evenHBand="0" w:firstRowFirstColumn="0" w:firstRowLastColumn="0" w:lastRowFirstColumn="0" w:lastRowLastColumn="0"/>
            <w:tcW w:w="316" w:type="pct"/>
            <w:tcBorders>
              <w:top w:val="single" w:sz="12" w:space="0" w:color="984806" w:themeColor="accent6" w:themeShade="80"/>
              <w:left w:val="single" w:sz="12" w:space="0" w:color="984806" w:themeColor="accent6" w:themeShade="80"/>
              <w:bottom w:val="single" w:sz="12" w:space="0" w:color="984806" w:themeColor="accent6" w:themeShade="80"/>
            </w:tcBorders>
            <w:textDirection w:val="btLr"/>
            <w:vAlign w:val="center"/>
          </w:tcPr>
          <w:p w:rsidR="00153DD1" w:rsidRPr="00C6736C" w:rsidRDefault="00153DD1" w:rsidP="004C6859">
            <w:pPr>
              <w:ind w:left="113" w:right="113"/>
              <w:jc w:val="center"/>
              <w:rPr>
                <w:rFonts w:eastAsia="Times New Roman" w:cstheme="minorHAnsi"/>
                <w:b/>
                <w:lang w:eastAsia="en-GB"/>
              </w:rPr>
            </w:pPr>
            <w:r w:rsidRPr="00C6736C">
              <w:rPr>
                <w:rFonts w:eastAsia="Times New Roman" w:cstheme="minorHAnsi"/>
                <w:b/>
                <w:lang w:eastAsia="en-GB"/>
              </w:rPr>
              <w:t>Consultation stage IA</w:t>
            </w:r>
          </w:p>
        </w:tc>
        <w:tc>
          <w:tcPr>
            <w:tcW w:w="838" w:type="pct"/>
            <w:gridSpan w:val="2"/>
            <w:tcBorders>
              <w:top w:val="single" w:sz="12" w:space="0" w:color="984806" w:themeColor="accent6" w:themeShade="80"/>
              <w:bottom w:val="single" w:sz="12" w:space="0" w:color="984806" w:themeColor="accent6" w:themeShade="80"/>
            </w:tcBorders>
            <w:shd w:val="clear" w:color="auto" w:fill="FEF2E8"/>
          </w:tcPr>
          <w:p w:rsidR="00153DD1" w:rsidRPr="007C76DE" w:rsidRDefault="00153DD1" w:rsidP="004C685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sz w:val="18"/>
                <w:szCs w:val="18"/>
                <w:lang w:eastAsia="en-GB"/>
              </w:rPr>
            </w:pPr>
            <w:r w:rsidRPr="00662B61">
              <w:rPr>
                <w:rFonts w:eastAsia="Times New Roman" w:cstheme="minorHAnsi"/>
                <w:color w:val="C00000"/>
                <w:sz w:val="18"/>
                <w:szCs w:val="18"/>
                <w:lang w:eastAsia="en-GB"/>
              </w:rPr>
              <w:t xml:space="preserve">Rationale for intervention and market failure must be set out and scale of the problem explained. All of the </w:t>
            </w:r>
            <w:r>
              <w:rPr>
                <w:rFonts w:eastAsia="Times New Roman" w:cstheme="minorHAnsi"/>
                <w:color w:val="C00000"/>
                <w:sz w:val="18"/>
                <w:szCs w:val="18"/>
                <w:lang w:eastAsia="en-GB"/>
              </w:rPr>
              <w:t>realistic/</w:t>
            </w:r>
            <w:r w:rsidRPr="00662B61">
              <w:rPr>
                <w:rFonts w:eastAsia="Times New Roman" w:cstheme="minorHAnsi"/>
                <w:color w:val="C00000"/>
                <w:sz w:val="18"/>
                <w:szCs w:val="18"/>
                <w:lang w:eastAsia="en-GB"/>
              </w:rPr>
              <w:t xml:space="preserve">feasible options, including alternatives to regulation must be considered and </w:t>
            </w:r>
            <w:proofErr w:type="gramStart"/>
            <w:r w:rsidRPr="00662B61">
              <w:rPr>
                <w:rFonts w:eastAsia="Times New Roman" w:cstheme="minorHAnsi"/>
                <w:color w:val="C00000"/>
                <w:sz w:val="18"/>
                <w:szCs w:val="18"/>
                <w:lang w:eastAsia="en-GB"/>
              </w:rPr>
              <w:t xml:space="preserve">assessed </w:t>
            </w:r>
            <w:r>
              <w:rPr>
                <w:rFonts w:eastAsia="Times New Roman" w:cstheme="minorHAnsi"/>
                <w:color w:val="C00000"/>
                <w:sz w:val="18"/>
                <w:szCs w:val="18"/>
                <w:lang w:eastAsia="en-GB"/>
              </w:rPr>
              <w:t xml:space="preserve"> to</w:t>
            </w:r>
            <w:proofErr w:type="gramEnd"/>
            <w:r w:rsidRPr="00662B61">
              <w:rPr>
                <w:rFonts w:eastAsia="Times New Roman" w:cstheme="minorHAnsi"/>
                <w:color w:val="C00000"/>
                <w:sz w:val="18"/>
                <w:szCs w:val="18"/>
                <w:lang w:eastAsia="en-GB"/>
              </w:rPr>
              <w:t xml:space="preserve"> a</w:t>
            </w:r>
            <w:r>
              <w:rPr>
                <w:rFonts w:eastAsia="Times New Roman" w:cstheme="minorHAnsi"/>
                <w:color w:val="C00000"/>
                <w:sz w:val="18"/>
                <w:szCs w:val="18"/>
                <w:lang w:eastAsia="en-GB"/>
              </w:rPr>
              <w:t>n appropriate</w:t>
            </w:r>
            <w:r w:rsidRPr="00662B61">
              <w:rPr>
                <w:rFonts w:eastAsia="Times New Roman" w:cstheme="minorHAnsi"/>
                <w:color w:val="C00000"/>
                <w:sz w:val="18"/>
                <w:szCs w:val="18"/>
                <w:lang w:eastAsia="en-GB"/>
              </w:rPr>
              <w:t xml:space="preserve"> level of detail.</w:t>
            </w:r>
          </w:p>
        </w:tc>
        <w:tc>
          <w:tcPr>
            <w:cnfStyle w:val="000010000000" w:firstRow="0" w:lastRow="0" w:firstColumn="0" w:lastColumn="0" w:oddVBand="1" w:evenVBand="0" w:oddHBand="0" w:evenHBand="0" w:firstRowFirstColumn="0" w:firstRowLastColumn="0" w:lastRowFirstColumn="0" w:lastRowLastColumn="0"/>
            <w:tcW w:w="891" w:type="pct"/>
            <w:gridSpan w:val="2"/>
            <w:tcBorders>
              <w:top w:val="single" w:sz="12" w:space="0" w:color="984806" w:themeColor="accent6" w:themeShade="80"/>
              <w:bottom w:val="single" w:sz="12" w:space="0" w:color="984806" w:themeColor="accent6" w:themeShade="80"/>
            </w:tcBorders>
            <w:shd w:val="clear" w:color="auto" w:fill="FEF2E8"/>
          </w:tcPr>
          <w:p w:rsidR="00153DD1" w:rsidRDefault="00153DD1" w:rsidP="004C6859">
            <w:pPr>
              <w:jc w:val="center"/>
              <w:rPr>
                <w:rFonts w:eastAsia="Times New Roman" w:cstheme="minorHAnsi"/>
                <w:color w:val="C00000"/>
                <w:sz w:val="18"/>
                <w:szCs w:val="18"/>
                <w:lang w:eastAsia="en-GB"/>
              </w:rPr>
            </w:pPr>
            <w:r>
              <w:rPr>
                <w:rFonts w:eastAsia="Times New Roman" w:cstheme="minorHAnsi"/>
                <w:color w:val="C00000"/>
                <w:sz w:val="18"/>
                <w:szCs w:val="18"/>
                <w:lang w:eastAsia="en-GB"/>
              </w:rPr>
              <w:t xml:space="preserve">All major impacts of the proposal to be identified. </w:t>
            </w:r>
            <w:r w:rsidRPr="007C76DE">
              <w:rPr>
                <w:rFonts w:eastAsia="Times New Roman" w:cstheme="minorHAnsi"/>
                <w:color w:val="C00000"/>
                <w:sz w:val="18"/>
                <w:szCs w:val="18"/>
                <w:lang w:eastAsia="en-GB"/>
              </w:rPr>
              <w:t xml:space="preserve">Clear analysis of the scale of the problem and likely impacts to inform meaningful consultation with stakeholders. </w:t>
            </w:r>
          </w:p>
          <w:p w:rsidR="00153DD1" w:rsidRDefault="00153DD1" w:rsidP="004C6859">
            <w:pPr>
              <w:jc w:val="center"/>
              <w:rPr>
                <w:rFonts w:eastAsia="Times New Roman" w:cstheme="minorHAnsi"/>
                <w:color w:val="C00000"/>
                <w:sz w:val="18"/>
                <w:szCs w:val="18"/>
                <w:lang w:eastAsia="en-GB"/>
              </w:rPr>
            </w:pPr>
          </w:p>
          <w:p w:rsidR="00153DD1" w:rsidRDefault="00153DD1" w:rsidP="004C6859">
            <w:pPr>
              <w:jc w:val="center"/>
              <w:rPr>
                <w:rFonts w:eastAsia="Times New Roman" w:cstheme="minorHAnsi"/>
                <w:color w:val="008000"/>
                <w:sz w:val="18"/>
                <w:szCs w:val="18"/>
                <w:lang w:eastAsia="en-GB"/>
              </w:rPr>
            </w:pPr>
            <w:r w:rsidRPr="007C76DE">
              <w:rPr>
                <w:rFonts w:eastAsia="Times New Roman" w:cstheme="minorHAnsi"/>
                <w:color w:val="008000"/>
                <w:sz w:val="18"/>
                <w:szCs w:val="18"/>
                <w:lang w:eastAsia="en-GB"/>
              </w:rPr>
              <w:t xml:space="preserve">RPC may highlight areas where the department should seek more evidence from </w:t>
            </w:r>
            <w:proofErr w:type="spellStart"/>
            <w:r w:rsidRPr="007C76DE">
              <w:rPr>
                <w:rFonts w:eastAsia="Times New Roman" w:cstheme="minorHAnsi"/>
                <w:color w:val="008000"/>
                <w:sz w:val="18"/>
                <w:szCs w:val="18"/>
                <w:lang w:eastAsia="en-GB"/>
              </w:rPr>
              <w:t>consultees</w:t>
            </w:r>
            <w:proofErr w:type="spellEnd"/>
            <w:r w:rsidRPr="007C76DE">
              <w:rPr>
                <w:rFonts w:eastAsia="Times New Roman" w:cstheme="minorHAnsi"/>
                <w:color w:val="008000"/>
                <w:sz w:val="18"/>
                <w:szCs w:val="18"/>
                <w:lang w:eastAsia="en-GB"/>
              </w:rPr>
              <w:t>.</w:t>
            </w:r>
          </w:p>
          <w:p w:rsidR="00153DD1" w:rsidRPr="007C76DE" w:rsidRDefault="00153DD1" w:rsidP="004C6859">
            <w:pPr>
              <w:jc w:val="center"/>
              <w:rPr>
                <w:rFonts w:eastAsia="Times New Roman" w:cstheme="minorHAnsi"/>
                <w:color w:val="FF0000"/>
                <w:sz w:val="18"/>
                <w:szCs w:val="18"/>
                <w:lang w:eastAsia="en-GB"/>
              </w:rPr>
            </w:pPr>
          </w:p>
        </w:tc>
        <w:tc>
          <w:tcPr>
            <w:tcW w:w="492" w:type="pct"/>
            <w:tcBorders>
              <w:top w:val="single" w:sz="12" w:space="0" w:color="984806" w:themeColor="accent6" w:themeShade="80"/>
              <w:bottom w:val="single" w:sz="12" w:space="0" w:color="984806" w:themeColor="accent6" w:themeShade="80"/>
            </w:tcBorders>
            <w:shd w:val="clear" w:color="auto" w:fill="FEF2E8"/>
          </w:tcPr>
          <w:p w:rsidR="00153DD1" w:rsidRPr="007C76DE" w:rsidRDefault="00153DD1" w:rsidP="004C685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C0504D" w:themeColor="accent2"/>
                <w:sz w:val="18"/>
                <w:szCs w:val="18"/>
                <w:lang w:eastAsia="en-GB"/>
              </w:rPr>
            </w:pPr>
            <w:r w:rsidRPr="003B44CD">
              <w:rPr>
                <w:rFonts w:eastAsia="Times New Roman" w:cstheme="minorHAnsi"/>
                <w:color w:val="C00000"/>
                <w:sz w:val="18"/>
                <w:szCs w:val="18"/>
                <w:lang w:eastAsia="en-GB"/>
              </w:rPr>
              <w:t>All impacts must be described</w:t>
            </w:r>
            <w:r>
              <w:rPr>
                <w:rFonts w:eastAsia="Times New Roman" w:cstheme="minorHAnsi"/>
                <w:color w:val="C00000"/>
                <w:sz w:val="18"/>
                <w:szCs w:val="18"/>
                <w:lang w:eastAsia="en-GB"/>
              </w:rPr>
              <w:t xml:space="preserve"> to an appropriate level of detail.</w:t>
            </w:r>
          </w:p>
        </w:tc>
        <w:tc>
          <w:tcPr>
            <w:cnfStyle w:val="000010000000" w:firstRow="0" w:lastRow="0" w:firstColumn="0" w:lastColumn="0" w:oddVBand="1" w:evenVBand="0" w:oddHBand="0" w:evenHBand="0" w:firstRowFirstColumn="0" w:firstRowLastColumn="0" w:lastRowFirstColumn="0" w:lastRowLastColumn="0"/>
            <w:tcW w:w="492" w:type="pct"/>
            <w:tcBorders>
              <w:top w:val="single" w:sz="12" w:space="0" w:color="984806" w:themeColor="accent6" w:themeShade="80"/>
              <w:bottom w:val="single" w:sz="12" w:space="0" w:color="984806" w:themeColor="accent6" w:themeShade="80"/>
            </w:tcBorders>
            <w:shd w:val="clear" w:color="auto" w:fill="FEF2E8"/>
          </w:tcPr>
          <w:p w:rsidR="00153DD1" w:rsidRPr="007C76DE" w:rsidRDefault="00153DD1" w:rsidP="004C6859">
            <w:pPr>
              <w:jc w:val="center"/>
              <w:rPr>
                <w:rFonts w:eastAsia="Times New Roman" w:cstheme="minorHAnsi"/>
                <w:color w:val="C0504D" w:themeColor="accent2"/>
                <w:sz w:val="18"/>
                <w:szCs w:val="18"/>
                <w:lang w:eastAsia="en-GB"/>
              </w:rPr>
            </w:pPr>
            <w:r w:rsidRPr="00662B61">
              <w:rPr>
                <w:rFonts w:eastAsia="Times New Roman" w:cstheme="minorHAnsi"/>
                <w:color w:val="C00000"/>
                <w:sz w:val="18"/>
                <w:szCs w:val="18"/>
                <w:lang w:eastAsia="en-GB"/>
              </w:rPr>
              <w:t>The ter</w:t>
            </w:r>
            <w:r>
              <w:rPr>
                <w:rFonts w:eastAsia="Times New Roman" w:cstheme="minorHAnsi"/>
                <w:color w:val="C00000"/>
                <w:sz w:val="18"/>
                <w:szCs w:val="18"/>
                <w:lang w:eastAsia="en-GB"/>
              </w:rPr>
              <w:t>m</w:t>
            </w:r>
            <w:r w:rsidRPr="00662B61">
              <w:rPr>
                <w:rFonts w:eastAsia="Times New Roman" w:cstheme="minorHAnsi"/>
                <w:color w:val="C00000"/>
                <w:sz w:val="18"/>
                <w:szCs w:val="18"/>
                <w:lang w:eastAsia="en-GB"/>
              </w:rPr>
              <w:t>inology and analysis must be clear and accessible.</w:t>
            </w:r>
          </w:p>
        </w:tc>
        <w:tc>
          <w:tcPr>
            <w:tcW w:w="537" w:type="pct"/>
            <w:tcBorders>
              <w:top w:val="single" w:sz="12" w:space="0" w:color="984806" w:themeColor="accent6" w:themeShade="80"/>
              <w:bottom w:val="single" w:sz="12" w:space="0" w:color="984806" w:themeColor="accent6" w:themeShade="80"/>
            </w:tcBorders>
            <w:shd w:val="clear" w:color="auto" w:fill="FEF2E8"/>
          </w:tcPr>
          <w:p w:rsidR="00153DD1" w:rsidRPr="007C76DE" w:rsidRDefault="00153DD1" w:rsidP="004C685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sz w:val="18"/>
                <w:szCs w:val="18"/>
                <w:lang w:eastAsia="en-GB"/>
              </w:rPr>
            </w:pPr>
            <w:r w:rsidRPr="007C76DE">
              <w:rPr>
                <w:rFonts w:eastAsia="Times New Roman" w:cstheme="minorHAnsi"/>
                <w:color w:val="008000"/>
                <w:sz w:val="18"/>
                <w:szCs w:val="18"/>
                <w:lang w:eastAsia="en-GB"/>
              </w:rPr>
              <w:t>Full monetisation is not required…</w:t>
            </w:r>
            <w:r w:rsidRPr="007C76DE">
              <w:rPr>
                <w:rFonts w:eastAsia="Times New Roman" w:cstheme="minorHAnsi"/>
                <w:color w:val="FF0000"/>
                <w:sz w:val="18"/>
                <w:szCs w:val="18"/>
                <w:lang w:eastAsia="en-GB"/>
              </w:rPr>
              <w:t xml:space="preserve"> </w:t>
            </w:r>
          </w:p>
          <w:p w:rsidR="00153DD1" w:rsidRPr="007C76DE" w:rsidRDefault="00153DD1" w:rsidP="004C685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sz w:val="18"/>
                <w:szCs w:val="18"/>
                <w:lang w:eastAsia="en-GB"/>
              </w:rPr>
            </w:pPr>
          </w:p>
          <w:p w:rsidR="00153DD1" w:rsidRPr="00662B61" w:rsidRDefault="00153DD1" w:rsidP="004C685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C00000"/>
                <w:sz w:val="18"/>
                <w:szCs w:val="18"/>
                <w:lang w:eastAsia="en-GB"/>
              </w:rPr>
            </w:pPr>
            <w:r w:rsidRPr="00662B61">
              <w:rPr>
                <w:rFonts w:eastAsia="Times New Roman" w:cstheme="minorHAnsi"/>
                <w:color w:val="C00000"/>
                <w:sz w:val="18"/>
                <w:szCs w:val="18"/>
                <w:lang w:eastAsia="en-GB"/>
              </w:rPr>
              <w:t xml:space="preserve">…but RPC must </w:t>
            </w:r>
            <w:r>
              <w:rPr>
                <w:rFonts w:eastAsia="Times New Roman" w:cstheme="minorHAnsi"/>
                <w:color w:val="C00000"/>
                <w:sz w:val="18"/>
                <w:szCs w:val="18"/>
                <w:lang w:eastAsia="en-GB"/>
              </w:rPr>
              <w:t xml:space="preserve">normally </w:t>
            </w:r>
            <w:r w:rsidRPr="00662B61">
              <w:rPr>
                <w:rFonts w:eastAsia="Times New Roman" w:cstheme="minorHAnsi"/>
                <w:color w:val="C00000"/>
                <w:sz w:val="18"/>
                <w:szCs w:val="18"/>
                <w:lang w:eastAsia="en-GB"/>
              </w:rPr>
              <w:t xml:space="preserve">be able to confirm </w:t>
            </w:r>
            <w:r>
              <w:rPr>
                <w:rFonts w:eastAsia="Times New Roman" w:cstheme="minorHAnsi"/>
                <w:color w:val="C00000"/>
                <w:sz w:val="18"/>
                <w:szCs w:val="18"/>
                <w:lang w:eastAsia="en-GB"/>
              </w:rPr>
              <w:t>BIT status</w:t>
            </w:r>
            <w:r w:rsidRPr="00662B61">
              <w:rPr>
                <w:rFonts w:eastAsia="Times New Roman" w:cstheme="minorHAnsi"/>
                <w:color w:val="C00000"/>
                <w:sz w:val="18"/>
                <w:szCs w:val="18"/>
                <w:lang w:eastAsia="en-GB"/>
              </w:rPr>
              <w:t>.</w:t>
            </w:r>
          </w:p>
          <w:p w:rsidR="00153DD1" w:rsidRPr="007C76DE" w:rsidRDefault="00153DD1" w:rsidP="004C685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sz w:val="18"/>
                <w:szCs w:val="18"/>
                <w:lang w:eastAsia="en-GB"/>
              </w:rPr>
            </w:pPr>
          </w:p>
        </w:tc>
        <w:tc>
          <w:tcPr>
            <w:cnfStyle w:val="000010000000" w:firstRow="0" w:lastRow="0" w:firstColumn="0" w:lastColumn="0" w:oddVBand="1" w:evenVBand="0" w:oddHBand="0" w:evenHBand="0" w:firstRowFirstColumn="0" w:firstRowLastColumn="0" w:lastRowFirstColumn="0" w:lastRowLastColumn="0"/>
            <w:tcW w:w="1119" w:type="pct"/>
            <w:tcBorders>
              <w:top w:val="single" w:sz="12" w:space="0" w:color="984806" w:themeColor="accent6" w:themeShade="80"/>
              <w:bottom w:val="single" w:sz="12" w:space="0" w:color="984806" w:themeColor="accent6" w:themeShade="80"/>
              <w:right w:val="single" w:sz="12" w:space="0" w:color="984806" w:themeColor="accent6" w:themeShade="80"/>
            </w:tcBorders>
            <w:shd w:val="clear" w:color="auto" w:fill="FEF2E8"/>
          </w:tcPr>
          <w:p w:rsidR="00153DD1" w:rsidRPr="007C76DE" w:rsidRDefault="00153DD1" w:rsidP="004C6859">
            <w:pPr>
              <w:rPr>
                <w:rFonts w:cstheme="minorHAnsi"/>
                <w:iCs/>
                <w:color w:val="C00000"/>
                <w:sz w:val="18"/>
                <w:szCs w:val="18"/>
              </w:rPr>
            </w:pPr>
            <w:r w:rsidRPr="00662B61">
              <w:rPr>
                <w:rFonts w:eastAsia="Times New Roman" w:cstheme="minorHAnsi"/>
                <w:color w:val="C00000"/>
                <w:sz w:val="18"/>
                <w:szCs w:val="18"/>
                <w:lang w:eastAsia="en-GB"/>
              </w:rPr>
              <w:t xml:space="preserve">A sufficient </w:t>
            </w:r>
            <w:proofErr w:type="spellStart"/>
            <w:r w:rsidRPr="00662B61">
              <w:rPr>
                <w:rFonts w:eastAsia="Times New Roman" w:cstheme="minorHAnsi"/>
                <w:color w:val="C00000"/>
                <w:sz w:val="18"/>
                <w:szCs w:val="18"/>
                <w:lang w:eastAsia="en-GB"/>
              </w:rPr>
              <w:t>SaMBA</w:t>
            </w:r>
            <w:proofErr w:type="spellEnd"/>
            <w:r w:rsidRPr="00662B61">
              <w:rPr>
                <w:rFonts w:eastAsia="Times New Roman" w:cstheme="minorHAnsi"/>
                <w:color w:val="C00000"/>
                <w:sz w:val="18"/>
                <w:szCs w:val="18"/>
                <w:lang w:eastAsia="en-GB"/>
              </w:rPr>
              <w:t xml:space="preserve"> must be included </w:t>
            </w:r>
            <w:r w:rsidRPr="007C76DE">
              <w:rPr>
                <w:rFonts w:eastAsia="Times New Roman" w:cstheme="minorHAnsi"/>
                <w:color w:val="C00000"/>
                <w:sz w:val="18"/>
                <w:szCs w:val="18"/>
                <w:lang w:eastAsia="en-GB"/>
              </w:rPr>
              <w:t>providing</w:t>
            </w:r>
            <w:r w:rsidRPr="007C76DE">
              <w:rPr>
                <w:rFonts w:cstheme="minorHAnsi"/>
                <w:iCs/>
                <w:color w:val="C00000"/>
                <w:sz w:val="18"/>
                <w:szCs w:val="18"/>
              </w:rPr>
              <w:t>:</w:t>
            </w:r>
          </w:p>
          <w:p w:rsidR="00153DD1" w:rsidRDefault="00153DD1" w:rsidP="00CE5B54">
            <w:pPr>
              <w:numPr>
                <w:ilvl w:val="0"/>
                <w:numId w:val="3"/>
              </w:numPr>
              <w:tabs>
                <w:tab w:val="left" w:pos="318"/>
              </w:tabs>
              <w:autoSpaceDE w:val="0"/>
              <w:autoSpaceDN w:val="0"/>
              <w:adjustRightInd w:val="0"/>
              <w:spacing w:after="200" w:line="276" w:lineRule="auto"/>
              <w:ind w:left="0" w:hanging="4"/>
              <w:contextualSpacing/>
              <w:rPr>
                <w:rFonts w:cstheme="minorHAnsi"/>
                <w:iCs/>
                <w:color w:val="C00000"/>
                <w:sz w:val="18"/>
                <w:szCs w:val="18"/>
              </w:rPr>
            </w:pPr>
            <w:r>
              <w:rPr>
                <w:rFonts w:cstheme="minorHAnsi"/>
                <w:iCs/>
                <w:color w:val="C00000"/>
                <w:sz w:val="18"/>
                <w:szCs w:val="18"/>
              </w:rPr>
              <w:t>Information on the numbers of small businesses affected.</w:t>
            </w:r>
          </w:p>
          <w:p w:rsidR="00153DD1" w:rsidRDefault="00153DD1" w:rsidP="00CE5B54">
            <w:pPr>
              <w:numPr>
                <w:ilvl w:val="0"/>
                <w:numId w:val="3"/>
              </w:numPr>
              <w:tabs>
                <w:tab w:val="left" w:pos="318"/>
              </w:tabs>
              <w:autoSpaceDE w:val="0"/>
              <w:autoSpaceDN w:val="0"/>
              <w:adjustRightInd w:val="0"/>
              <w:spacing w:after="200" w:line="276" w:lineRule="auto"/>
              <w:ind w:left="0" w:hanging="4"/>
              <w:contextualSpacing/>
              <w:rPr>
                <w:rFonts w:cstheme="minorHAnsi"/>
                <w:iCs/>
                <w:color w:val="C00000"/>
                <w:sz w:val="18"/>
                <w:szCs w:val="18"/>
              </w:rPr>
            </w:pPr>
            <w:r>
              <w:rPr>
                <w:rFonts w:cstheme="minorHAnsi"/>
                <w:iCs/>
                <w:color w:val="C00000"/>
                <w:sz w:val="18"/>
                <w:szCs w:val="18"/>
              </w:rPr>
              <w:t>Initial consideration of applying exemption and mitigation.</w:t>
            </w:r>
          </w:p>
          <w:p w:rsidR="00153DD1" w:rsidRPr="007C76DE" w:rsidRDefault="00153DD1" w:rsidP="00CE5B54">
            <w:pPr>
              <w:numPr>
                <w:ilvl w:val="0"/>
                <w:numId w:val="3"/>
              </w:numPr>
              <w:tabs>
                <w:tab w:val="left" w:pos="318"/>
              </w:tabs>
              <w:autoSpaceDE w:val="0"/>
              <w:autoSpaceDN w:val="0"/>
              <w:adjustRightInd w:val="0"/>
              <w:spacing w:after="120" w:line="276" w:lineRule="auto"/>
              <w:ind w:left="0" w:hanging="4"/>
              <w:contextualSpacing/>
              <w:rPr>
                <w:rFonts w:eastAsia="Times New Roman" w:cstheme="minorHAnsi"/>
                <w:color w:val="FF0000"/>
                <w:sz w:val="18"/>
                <w:szCs w:val="18"/>
                <w:lang w:eastAsia="en-GB"/>
              </w:rPr>
            </w:pPr>
            <w:r w:rsidRPr="000F5840">
              <w:rPr>
                <w:rFonts w:cstheme="minorHAnsi"/>
                <w:iCs/>
                <w:color w:val="C00000"/>
                <w:sz w:val="18"/>
                <w:szCs w:val="18"/>
              </w:rPr>
              <w:t>Discussion of how much of the policy objective might be sacrificed by applying a full exemption; and</w:t>
            </w:r>
            <w:r>
              <w:rPr>
                <w:rFonts w:cstheme="minorHAnsi"/>
                <w:iCs/>
                <w:color w:val="C00000"/>
                <w:sz w:val="18"/>
                <w:szCs w:val="18"/>
              </w:rPr>
              <w:t xml:space="preserve"> h</w:t>
            </w:r>
            <w:r w:rsidRPr="000F5840">
              <w:rPr>
                <w:rFonts w:cstheme="minorHAnsi"/>
                <w:iCs/>
                <w:color w:val="C00000"/>
                <w:sz w:val="18"/>
                <w:szCs w:val="18"/>
              </w:rPr>
              <w:t>ow much of the overall cost to business is expected to fall on small businesses.</w:t>
            </w:r>
          </w:p>
        </w:tc>
      </w:tr>
      <w:tr w:rsidR="00153DD1" w:rsidRPr="00C6736C" w:rsidTr="00E94E4B">
        <w:trPr>
          <w:trHeight w:val="396"/>
        </w:trPr>
        <w:tc>
          <w:tcPr>
            <w:cnfStyle w:val="001000000000" w:firstRow="0" w:lastRow="0" w:firstColumn="1" w:lastColumn="0" w:oddVBand="0" w:evenVBand="0" w:oddHBand="0" w:evenHBand="0" w:firstRowFirstColumn="0" w:firstRowLastColumn="0" w:lastRowFirstColumn="0" w:lastRowLastColumn="0"/>
            <w:tcW w:w="315" w:type="pct"/>
            <w:vMerge/>
            <w:tcBorders>
              <w:top w:val="nil"/>
              <w:left w:val="single" w:sz="12" w:space="0" w:color="984806" w:themeColor="accent6" w:themeShade="80"/>
              <w:bottom w:val="single" w:sz="12" w:space="0" w:color="984806" w:themeColor="accent6" w:themeShade="80"/>
              <w:right w:val="single" w:sz="12" w:space="0" w:color="984806" w:themeColor="accent6" w:themeShade="80"/>
            </w:tcBorders>
            <w:shd w:val="clear" w:color="auto" w:fill="E36C0A" w:themeFill="accent6" w:themeFillShade="BF"/>
            <w:textDirection w:val="btLr"/>
          </w:tcPr>
          <w:p w:rsidR="00153DD1" w:rsidRPr="00C6736C" w:rsidRDefault="00153DD1" w:rsidP="004C6859">
            <w:pPr>
              <w:ind w:left="113" w:right="113"/>
              <w:jc w:val="center"/>
              <w:rPr>
                <w:rFonts w:eastAsia="Times New Roman" w:cstheme="minorHAnsi"/>
                <w:lang w:eastAsia="en-GB"/>
              </w:rPr>
            </w:pPr>
          </w:p>
        </w:tc>
        <w:tc>
          <w:tcPr>
            <w:cnfStyle w:val="000010000000" w:firstRow="0" w:lastRow="0" w:firstColumn="0" w:lastColumn="0" w:oddVBand="1" w:evenVBand="0" w:oddHBand="0" w:evenHBand="0" w:firstRowFirstColumn="0" w:firstRowLastColumn="0" w:lastRowFirstColumn="0" w:lastRowLastColumn="0"/>
            <w:tcW w:w="316" w:type="pct"/>
            <w:tcBorders>
              <w:top w:val="single" w:sz="12" w:space="0" w:color="984806" w:themeColor="accent6" w:themeShade="80"/>
              <w:left w:val="single" w:sz="12" w:space="0" w:color="984806" w:themeColor="accent6" w:themeShade="80"/>
              <w:bottom w:val="single" w:sz="12" w:space="0" w:color="984806" w:themeColor="accent6" w:themeShade="80"/>
            </w:tcBorders>
            <w:textDirection w:val="btLr"/>
            <w:vAlign w:val="center"/>
          </w:tcPr>
          <w:p w:rsidR="00153DD1" w:rsidRPr="00C6736C" w:rsidRDefault="00153DD1" w:rsidP="004C6859">
            <w:pPr>
              <w:ind w:left="113" w:right="113"/>
              <w:jc w:val="center"/>
              <w:rPr>
                <w:rFonts w:eastAsia="Times New Roman" w:cstheme="minorHAnsi"/>
                <w:b/>
                <w:lang w:eastAsia="en-GB"/>
              </w:rPr>
            </w:pPr>
            <w:r w:rsidRPr="00C6736C">
              <w:rPr>
                <w:rFonts w:eastAsia="Times New Roman" w:cstheme="minorHAnsi"/>
                <w:b/>
                <w:lang w:eastAsia="en-GB"/>
              </w:rPr>
              <w:t>Final stage IA</w:t>
            </w:r>
          </w:p>
        </w:tc>
        <w:tc>
          <w:tcPr>
            <w:tcW w:w="838" w:type="pct"/>
            <w:gridSpan w:val="2"/>
            <w:tcBorders>
              <w:top w:val="single" w:sz="12" w:space="0" w:color="984806" w:themeColor="accent6" w:themeShade="80"/>
              <w:bottom w:val="single" w:sz="12" w:space="0" w:color="984806" w:themeColor="accent6" w:themeShade="80"/>
            </w:tcBorders>
            <w:shd w:val="clear" w:color="auto" w:fill="FEF2E8"/>
          </w:tcPr>
          <w:p w:rsidR="00153DD1" w:rsidRDefault="00153DD1" w:rsidP="004C685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8000"/>
                <w:sz w:val="18"/>
                <w:szCs w:val="18"/>
                <w:lang w:eastAsia="en-GB"/>
              </w:rPr>
            </w:pPr>
            <w:r>
              <w:rPr>
                <w:rFonts w:eastAsia="Times New Roman" w:cstheme="minorHAnsi"/>
                <w:color w:val="008000"/>
                <w:sz w:val="18"/>
                <w:szCs w:val="18"/>
                <w:lang w:eastAsia="en-GB"/>
              </w:rPr>
              <w:t>In addition to the above, t</w:t>
            </w:r>
            <w:r w:rsidRPr="007C76DE">
              <w:rPr>
                <w:rFonts w:eastAsia="Times New Roman" w:cstheme="minorHAnsi"/>
                <w:color w:val="008000"/>
                <w:sz w:val="18"/>
                <w:szCs w:val="18"/>
                <w:lang w:eastAsia="en-GB"/>
              </w:rPr>
              <w:t>he chosen option should be narrowed down by the final stage and justified.</w:t>
            </w:r>
          </w:p>
          <w:p w:rsidR="00153DD1" w:rsidRDefault="00153DD1" w:rsidP="004C685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8000"/>
                <w:sz w:val="18"/>
                <w:szCs w:val="18"/>
                <w:lang w:eastAsia="en-GB"/>
              </w:rPr>
            </w:pPr>
          </w:p>
          <w:p w:rsidR="00153DD1" w:rsidRPr="00662B61" w:rsidRDefault="00153DD1" w:rsidP="004C685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8"/>
                <w:szCs w:val="18"/>
                <w:lang w:eastAsia="en-GB"/>
              </w:rPr>
            </w:pPr>
          </w:p>
        </w:tc>
        <w:tc>
          <w:tcPr>
            <w:cnfStyle w:val="000010000000" w:firstRow="0" w:lastRow="0" w:firstColumn="0" w:lastColumn="0" w:oddVBand="1" w:evenVBand="0" w:oddHBand="0" w:evenHBand="0" w:firstRowFirstColumn="0" w:firstRowLastColumn="0" w:lastRowFirstColumn="0" w:lastRowLastColumn="0"/>
            <w:tcW w:w="891" w:type="pct"/>
            <w:gridSpan w:val="2"/>
            <w:tcBorders>
              <w:top w:val="single" w:sz="12" w:space="0" w:color="984806" w:themeColor="accent6" w:themeShade="80"/>
              <w:bottom w:val="single" w:sz="12" w:space="0" w:color="984806" w:themeColor="accent6" w:themeShade="80"/>
            </w:tcBorders>
            <w:shd w:val="clear" w:color="auto" w:fill="FEF2E8"/>
          </w:tcPr>
          <w:p w:rsidR="00153DD1" w:rsidRPr="007C76DE" w:rsidRDefault="00153DD1" w:rsidP="004C6859">
            <w:pPr>
              <w:jc w:val="center"/>
              <w:rPr>
                <w:rFonts w:eastAsia="Times New Roman" w:cstheme="minorHAnsi"/>
                <w:color w:val="FF0000"/>
                <w:sz w:val="18"/>
                <w:szCs w:val="18"/>
                <w:lang w:eastAsia="en-GB"/>
              </w:rPr>
            </w:pPr>
            <w:r w:rsidRPr="00662B61">
              <w:rPr>
                <w:rFonts w:eastAsia="Times New Roman" w:cstheme="minorHAnsi"/>
                <w:color w:val="C00000"/>
                <w:sz w:val="18"/>
                <w:szCs w:val="18"/>
                <w:lang w:eastAsia="en-GB"/>
              </w:rPr>
              <w:t>Impacts on business must be presented in a way that enables RPC to validate that the EAN</w:t>
            </w:r>
            <w:r>
              <w:rPr>
                <w:rFonts w:eastAsia="Times New Roman" w:cstheme="minorHAnsi"/>
                <w:color w:val="C00000"/>
                <w:sz w:val="18"/>
                <w:szCs w:val="18"/>
                <w:lang w:eastAsia="en-GB"/>
              </w:rPr>
              <w:t>D</w:t>
            </w:r>
            <w:r w:rsidRPr="00662B61">
              <w:rPr>
                <w:rFonts w:eastAsia="Times New Roman" w:cstheme="minorHAnsi"/>
                <w:color w:val="C00000"/>
                <w:sz w:val="18"/>
                <w:szCs w:val="18"/>
                <w:lang w:eastAsia="en-GB"/>
              </w:rPr>
              <w:t>CB figure is a robust best estimate of the likely direct impact on business or civil society organisation.</w:t>
            </w:r>
          </w:p>
          <w:p w:rsidR="00153DD1" w:rsidRPr="007C76DE" w:rsidRDefault="00153DD1" w:rsidP="004C6859">
            <w:pPr>
              <w:jc w:val="center"/>
              <w:rPr>
                <w:rFonts w:eastAsia="Times New Roman" w:cstheme="minorHAnsi"/>
                <w:color w:val="FF0000"/>
                <w:sz w:val="18"/>
                <w:szCs w:val="18"/>
                <w:lang w:eastAsia="en-GB"/>
              </w:rPr>
            </w:pPr>
          </w:p>
          <w:p w:rsidR="00153DD1" w:rsidRPr="007C76DE" w:rsidRDefault="00153DD1" w:rsidP="004C6859">
            <w:pPr>
              <w:jc w:val="center"/>
              <w:rPr>
                <w:rFonts w:eastAsia="Times New Roman" w:cstheme="minorHAnsi"/>
                <w:color w:val="FF0000"/>
                <w:sz w:val="18"/>
                <w:szCs w:val="18"/>
                <w:lang w:eastAsia="en-GB"/>
              </w:rPr>
            </w:pPr>
            <w:r w:rsidRPr="007C76DE">
              <w:rPr>
                <w:rFonts w:eastAsia="Times New Roman" w:cstheme="minorHAnsi"/>
                <w:color w:val="008000"/>
                <w:sz w:val="18"/>
                <w:szCs w:val="18"/>
                <w:lang w:eastAsia="en-GB"/>
              </w:rPr>
              <w:t xml:space="preserve">RPC </w:t>
            </w:r>
            <w:r>
              <w:rPr>
                <w:rFonts w:eastAsia="Times New Roman" w:cstheme="minorHAnsi"/>
                <w:color w:val="008000"/>
                <w:sz w:val="18"/>
                <w:szCs w:val="18"/>
                <w:lang w:eastAsia="en-GB"/>
              </w:rPr>
              <w:t>will also</w:t>
            </w:r>
            <w:r w:rsidRPr="007C76DE">
              <w:rPr>
                <w:rFonts w:eastAsia="Times New Roman" w:cstheme="minorHAnsi"/>
                <w:color w:val="008000"/>
                <w:sz w:val="18"/>
                <w:szCs w:val="18"/>
                <w:lang w:eastAsia="en-GB"/>
              </w:rPr>
              <w:t xml:space="preserve"> </w:t>
            </w:r>
            <w:r>
              <w:rPr>
                <w:rFonts w:eastAsia="Times New Roman" w:cstheme="minorHAnsi"/>
                <w:color w:val="008000"/>
                <w:sz w:val="18"/>
                <w:szCs w:val="18"/>
                <w:lang w:eastAsia="en-GB"/>
              </w:rPr>
              <w:t>comment on the assessment of non-business impacts.</w:t>
            </w:r>
          </w:p>
        </w:tc>
        <w:tc>
          <w:tcPr>
            <w:tcW w:w="492" w:type="pct"/>
            <w:tcBorders>
              <w:top w:val="single" w:sz="12" w:space="0" w:color="984806" w:themeColor="accent6" w:themeShade="80"/>
              <w:bottom w:val="single" w:sz="12" w:space="0" w:color="984806" w:themeColor="accent6" w:themeShade="80"/>
            </w:tcBorders>
            <w:shd w:val="clear" w:color="auto" w:fill="FEF2E8"/>
          </w:tcPr>
          <w:p w:rsidR="00153DD1" w:rsidRPr="007C76DE" w:rsidRDefault="00153DD1" w:rsidP="004C685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8000"/>
                <w:sz w:val="18"/>
                <w:szCs w:val="18"/>
                <w:lang w:eastAsia="en-GB"/>
              </w:rPr>
            </w:pPr>
            <w:r w:rsidRPr="007C76DE">
              <w:rPr>
                <w:rFonts w:eastAsia="Times New Roman" w:cstheme="minorHAnsi"/>
                <w:color w:val="008000"/>
                <w:sz w:val="18"/>
                <w:szCs w:val="18"/>
                <w:lang w:eastAsia="en-GB"/>
              </w:rPr>
              <w:t>All impacts should be described thoroughly and clearly.</w:t>
            </w:r>
          </w:p>
          <w:p w:rsidR="00153DD1" w:rsidRPr="007C76DE" w:rsidRDefault="00153DD1" w:rsidP="004C685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8000"/>
                <w:sz w:val="18"/>
                <w:szCs w:val="18"/>
                <w:lang w:eastAsia="en-GB"/>
              </w:rPr>
            </w:pPr>
          </w:p>
          <w:p w:rsidR="00153DD1" w:rsidRPr="00662B61" w:rsidRDefault="00153DD1" w:rsidP="004C685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C00000"/>
                <w:sz w:val="18"/>
                <w:szCs w:val="18"/>
                <w:lang w:eastAsia="en-GB"/>
              </w:rPr>
            </w:pPr>
            <w:r w:rsidRPr="00662B61">
              <w:rPr>
                <w:rFonts w:eastAsia="Times New Roman" w:cstheme="minorHAnsi"/>
                <w:color w:val="C00000"/>
                <w:sz w:val="18"/>
                <w:szCs w:val="18"/>
                <w:lang w:eastAsia="en-GB"/>
              </w:rPr>
              <w:t xml:space="preserve">This could only affect the colour of the opinion if it relates to </w:t>
            </w:r>
            <w:r>
              <w:rPr>
                <w:rFonts w:eastAsia="Times New Roman" w:cstheme="minorHAnsi"/>
                <w:color w:val="C00000"/>
                <w:sz w:val="18"/>
                <w:szCs w:val="18"/>
                <w:lang w:eastAsia="en-GB"/>
              </w:rPr>
              <w:t xml:space="preserve">BIT </w:t>
            </w:r>
            <w:r w:rsidRPr="00662B61">
              <w:rPr>
                <w:rFonts w:eastAsia="Times New Roman" w:cstheme="minorHAnsi"/>
                <w:color w:val="C00000"/>
                <w:sz w:val="18"/>
                <w:szCs w:val="18"/>
                <w:lang w:eastAsia="en-GB"/>
              </w:rPr>
              <w:t>assessment.</w:t>
            </w:r>
          </w:p>
          <w:p w:rsidR="00153DD1" w:rsidRPr="007C76DE" w:rsidRDefault="00153DD1" w:rsidP="004C685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8000"/>
                <w:sz w:val="18"/>
                <w:szCs w:val="18"/>
                <w:lang w:eastAsia="en-GB"/>
              </w:rPr>
            </w:pPr>
          </w:p>
        </w:tc>
        <w:tc>
          <w:tcPr>
            <w:cnfStyle w:val="000010000000" w:firstRow="0" w:lastRow="0" w:firstColumn="0" w:lastColumn="0" w:oddVBand="1" w:evenVBand="0" w:oddHBand="0" w:evenHBand="0" w:firstRowFirstColumn="0" w:firstRowLastColumn="0" w:lastRowFirstColumn="0" w:lastRowLastColumn="0"/>
            <w:tcW w:w="492" w:type="pct"/>
            <w:tcBorders>
              <w:top w:val="single" w:sz="12" w:space="0" w:color="984806" w:themeColor="accent6" w:themeShade="80"/>
              <w:bottom w:val="single" w:sz="12" w:space="0" w:color="984806" w:themeColor="accent6" w:themeShade="80"/>
            </w:tcBorders>
            <w:shd w:val="clear" w:color="auto" w:fill="FEF2E8"/>
          </w:tcPr>
          <w:p w:rsidR="00153DD1" w:rsidRPr="007C76DE" w:rsidRDefault="00153DD1" w:rsidP="004C6859">
            <w:pPr>
              <w:jc w:val="center"/>
              <w:rPr>
                <w:rFonts w:eastAsia="Times New Roman" w:cstheme="minorHAnsi"/>
                <w:color w:val="C0504D" w:themeColor="accent2"/>
                <w:sz w:val="18"/>
                <w:szCs w:val="18"/>
                <w:lang w:eastAsia="en-GB"/>
              </w:rPr>
            </w:pPr>
            <w:r w:rsidRPr="00662B61">
              <w:rPr>
                <w:rFonts w:eastAsia="Times New Roman" w:cstheme="minorHAnsi"/>
                <w:color w:val="C00000"/>
                <w:sz w:val="18"/>
                <w:szCs w:val="18"/>
                <w:lang w:eastAsia="en-GB"/>
              </w:rPr>
              <w:t>RPC must be able to follow the calculations for the EAN</w:t>
            </w:r>
            <w:r>
              <w:rPr>
                <w:rFonts w:eastAsia="Times New Roman" w:cstheme="minorHAnsi"/>
                <w:color w:val="C00000"/>
                <w:sz w:val="18"/>
                <w:szCs w:val="18"/>
                <w:lang w:eastAsia="en-GB"/>
              </w:rPr>
              <w:t>D</w:t>
            </w:r>
            <w:r w:rsidRPr="00662B61">
              <w:rPr>
                <w:rFonts w:eastAsia="Times New Roman" w:cstheme="minorHAnsi"/>
                <w:color w:val="C00000"/>
                <w:sz w:val="18"/>
                <w:szCs w:val="18"/>
                <w:lang w:eastAsia="en-GB"/>
              </w:rPr>
              <w:t xml:space="preserve">CB. </w:t>
            </w:r>
          </w:p>
          <w:p w:rsidR="00153DD1" w:rsidRPr="007C76DE" w:rsidRDefault="00153DD1" w:rsidP="004C6859">
            <w:pPr>
              <w:jc w:val="center"/>
              <w:rPr>
                <w:rFonts w:eastAsia="Times New Roman" w:cstheme="minorHAnsi"/>
                <w:color w:val="C0504D" w:themeColor="accent2"/>
                <w:sz w:val="18"/>
                <w:szCs w:val="18"/>
                <w:lang w:eastAsia="en-GB"/>
              </w:rPr>
            </w:pPr>
          </w:p>
          <w:p w:rsidR="00153DD1" w:rsidRPr="007C76DE" w:rsidRDefault="00153DD1" w:rsidP="004C6859">
            <w:pPr>
              <w:jc w:val="center"/>
              <w:rPr>
                <w:rFonts w:eastAsia="Times New Roman" w:cstheme="minorHAnsi"/>
                <w:color w:val="008000"/>
                <w:sz w:val="18"/>
                <w:szCs w:val="18"/>
                <w:lang w:eastAsia="en-GB"/>
              </w:rPr>
            </w:pPr>
            <w:r w:rsidRPr="007C76DE">
              <w:rPr>
                <w:rFonts w:eastAsia="Times New Roman" w:cstheme="minorHAnsi"/>
                <w:color w:val="008000"/>
                <w:sz w:val="18"/>
                <w:szCs w:val="18"/>
                <w:lang w:eastAsia="en-GB"/>
              </w:rPr>
              <w:t>Presentation more generally can be commented upon.</w:t>
            </w:r>
          </w:p>
          <w:p w:rsidR="00153DD1" w:rsidRPr="007C76DE" w:rsidRDefault="00153DD1" w:rsidP="004C6859">
            <w:pPr>
              <w:jc w:val="center"/>
              <w:rPr>
                <w:rFonts w:eastAsia="Times New Roman" w:cstheme="minorHAnsi"/>
                <w:color w:val="FF0000"/>
                <w:sz w:val="18"/>
                <w:szCs w:val="18"/>
                <w:lang w:eastAsia="en-GB"/>
              </w:rPr>
            </w:pPr>
          </w:p>
        </w:tc>
        <w:tc>
          <w:tcPr>
            <w:tcW w:w="537" w:type="pct"/>
            <w:tcBorders>
              <w:top w:val="single" w:sz="12" w:space="0" w:color="984806" w:themeColor="accent6" w:themeShade="80"/>
              <w:bottom w:val="single" w:sz="12" w:space="0" w:color="984806" w:themeColor="accent6" w:themeShade="80"/>
            </w:tcBorders>
            <w:shd w:val="clear" w:color="auto" w:fill="FEF2E8"/>
          </w:tcPr>
          <w:p w:rsidR="00153DD1" w:rsidRPr="007C76DE" w:rsidRDefault="00153DD1" w:rsidP="004C685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C0504D" w:themeColor="accent2"/>
                <w:sz w:val="18"/>
                <w:szCs w:val="18"/>
                <w:lang w:eastAsia="en-GB"/>
              </w:rPr>
            </w:pPr>
            <w:r w:rsidRPr="00662B61">
              <w:rPr>
                <w:rFonts w:eastAsia="Times New Roman" w:cstheme="minorHAnsi"/>
                <w:color w:val="C00000"/>
                <w:sz w:val="18"/>
                <w:szCs w:val="18"/>
                <w:lang w:eastAsia="en-GB"/>
              </w:rPr>
              <w:t>RPC must be able to confirm the BIT status and the EAN</w:t>
            </w:r>
            <w:r>
              <w:rPr>
                <w:rFonts w:eastAsia="Times New Roman" w:cstheme="minorHAnsi"/>
                <w:color w:val="C00000"/>
                <w:sz w:val="18"/>
                <w:szCs w:val="18"/>
                <w:lang w:eastAsia="en-GB"/>
              </w:rPr>
              <w:t>D</w:t>
            </w:r>
            <w:r w:rsidRPr="00662B61">
              <w:rPr>
                <w:rFonts w:eastAsia="Times New Roman" w:cstheme="minorHAnsi"/>
                <w:color w:val="C00000"/>
                <w:sz w:val="18"/>
                <w:szCs w:val="18"/>
                <w:lang w:eastAsia="en-GB"/>
              </w:rPr>
              <w:t>CB figure</w:t>
            </w:r>
            <w:r w:rsidRPr="007C76DE">
              <w:rPr>
                <w:rFonts w:eastAsia="Times New Roman" w:cstheme="minorHAnsi"/>
                <w:color w:val="C0504D" w:themeColor="accent2"/>
                <w:sz w:val="18"/>
                <w:szCs w:val="18"/>
                <w:lang w:eastAsia="en-GB"/>
              </w:rPr>
              <w:t>.</w:t>
            </w:r>
          </w:p>
        </w:tc>
        <w:tc>
          <w:tcPr>
            <w:cnfStyle w:val="000010000000" w:firstRow="0" w:lastRow="0" w:firstColumn="0" w:lastColumn="0" w:oddVBand="1" w:evenVBand="0" w:oddHBand="0" w:evenHBand="0" w:firstRowFirstColumn="0" w:firstRowLastColumn="0" w:lastRowFirstColumn="0" w:lastRowLastColumn="0"/>
            <w:tcW w:w="1119" w:type="pct"/>
            <w:tcBorders>
              <w:top w:val="single" w:sz="12" w:space="0" w:color="984806" w:themeColor="accent6" w:themeShade="80"/>
              <w:bottom w:val="single" w:sz="12" w:space="0" w:color="984806" w:themeColor="accent6" w:themeShade="80"/>
              <w:right w:val="single" w:sz="12" w:space="0" w:color="984806" w:themeColor="accent6" w:themeShade="80"/>
            </w:tcBorders>
            <w:shd w:val="clear" w:color="auto" w:fill="FEF2E8"/>
          </w:tcPr>
          <w:p w:rsidR="00153DD1" w:rsidRPr="007C76DE" w:rsidRDefault="00153DD1" w:rsidP="004C6859">
            <w:pPr>
              <w:rPr>
                <w:rFonts w:eastAsia="Times New Roman" w:cstheme="minorHAnsi"/>
                <w:color w:val="C00000"/>
                <w:sz w:val="18"/>
                <w:szCs w:val="18"/>
                <w:lang w:eastAsia="en-GB"/>
              </w:rPr>
            </w:pPr>
            <w:r w:rsidRPr="007C76DE">
              <w:rPr>
                <w:rFonts w:eastAsia="Times New Roman" w:cstheme="minorHAnsi"/>
                <w:color w:val="C00000"/>
                <w:sz w:val="18"/>
                <w:szCs w:val="18"/>
                <w:lang w:eastAsia="en-GB"/>
              </w:rPr>
              <w:t xml:space="preserve">A sufficient </w:t>
            </w:r>
            <w:proofErr w:type="spellStart"/>
            <w:r w:rsidRPr="007C76DE">
              <w:rPr>
                <w:rFonts w:eastAsia="Times New Roman" w:cstheme="minorHAnsi"/>
                <w:color w:val="C00000"/>
                <w:sz w:val="18"/>
                <w:szCs w:val="18"/>
                <w:lang w:eastAsia="en-GB"/>
              </w:rPr>
              <w:t>SaMBA</w:t>
            </w:r>
            <w:proofErr w:type="spellEnd"/>
            <w:r w:rsidRPr="007C76DE">
              <w:rPr>
                <w:rFonts w:eastAsia="Times New Roman" w:cstheme="minorHAnsi"/>
                <w:color w:val="C00000"/>
                <w:sz w:val="18"/>
                <w:szCs w:val="18"/>
                <w:lang w:eastAsia="en-GB"/>
              </w:rPr>
              <w:t xml:space="preserve"> must be included with analysis on:</w:t>
            </w:r>
          </w:p>
          <w:p w:rsidR="00153DD1" w:rsidRDefault="00153DD1" w:rsidP="00CE5B54">
            <w:pPr>
              <w:numPr>
                <w:ilvl w:val="0"/>
                <w:numId w:val="4"/>
              </w:numPr>
              <w:tabs>
                <w:tab w:val="left" w:pos="318"/>
              </w:tabs>
              <w:autoSpaceDE w:val="0"/>
              <w:autoSpaceDN w:val="0"/>
              <w:adjustRightInd w:val="0"/>
              <w:spacing w:after="200" w:line="276" w:lineRule="auto"/>
              <w:ind w:left="35" w:hanging="35"/>
              <w:contextualSpacing/>
              <w:rPr>
                <w:rFonts w:cstheme="minorHAnsi"/>
                <w:iCs/>
                <w:color w:val="C00000"/>
                <w:sz w:val="18"/>
                <w:szCs w:val="18"/>
              </w:rPr>
            </w:pPr>
            <w:r>
              <w:rPr>
                <w:rFonts w:cstheme="minorHAnsi"/>
                <w:iCs/>
                <w:color w:val="C00000"/>
                <w:sz w:val="18"/>
                <w:szCs w:val="18"/>
              </w:rPr>
              <w:t>Final assessment of the number of small businesses affected.</w:t>
            </w:r>
          </w:p>
          <w:p w:rsidR="00153DD1" w:rsidRDefault="00153DD1" w:rsidP="00CE5B54">
            <w:pPr>
              <w:numPr>
                <w:ilvl w:val="0"/>
                <w:numId w:val="4"/>
              </w:numPr>
              <w:tabs>
                <w:tab w:val="left" w:pos="318"/>
              </w:tabs>
              <w:autoSpaceDE w:val="0"/>
              <w:autoSpaceDN w:val="0"/>
              <w:adjustRightInd w:val="0"/>
              <w:spacing w:after="200" w:line="276" w:lineRule="auto"/>
              <w:ind w:left="35" w:hanging="35"/>
              <w:contextualSpacing/>
              <w:rPr>
                <w:rFonts w:cstheme="minorHAnsi"/>
                <w:iCs/>
                <w:color w:val="C00000"/>
                <w:sz w:val="18"/>
                <w:szCs w:val="18"/>
              </w:rPr>
            </w:pPr>
            <w:r>
              <w:rPr>
                <w:rFonts w:cstheme="minorHAnsi"/>
                <w:iCs/>
                <w:color w:val="C00000"/>
                <w:sz w:val="18"/>
                <w:szCs w:val="18"/>
              </w:rPr>
              <w:t>Fuller consideration of the impact of applying an exemption and mitigation, to support the decision being taken, including:</w:t>
            </w:r>
          </w:p>
          <w:p w:rsidR="00153DD1" w:rsidRPr="000A50AF" w:rsidRDefault="00153DD1" w:rsidP="00CE5B54">
            <w:pPr>
              <w:numPr>
                <w:ilvl w:val="0"/>
                <w:numId w:val="4"/>
              </w:numPr>
              <w:tabs>
                <w:tab w:val="left" w:pos="318"/>
              </w:tabs>
              <w:autoSpaceDE w:val="0"/>
              <w:autoSpaceDN w:val="0"/>
              <w:adjustRightInd w:val="0"/>
              <w:spacing w:after="120" w:line="276" w:lineRule="auto"/>
              <w:ind w:left="0" w:firstLine="0"/>
              <w:contextualSpacing/>
              <w:rPr>
                <w:rFonts w:cstheme="minorHAnsi"/>
                <w:iCs/>
                <w:color w:val="C00000"/>
                <w:sz w:val="18"/>
                <w:szCs w:val="18"/>
              </w:rPr>
            </w:pPr>
            <w:r w:rsidRPr="000A50AF">
              <w:rPr>
                <w:rFonts w:cstheme="minorHAnsi"/>
                <w:iCs/>
                <w:color w:val="C00000"/>
                <w:sz w:val="18"/>
                <w:szCs w:val="18"/>
              </w:rPr>
              <w:t>An assessment of the proportion of the benefit of the policy that would be sacrificed by applying a full exemption; and the proportion of the overall cost to business expected to fall on small businesses.</w:t>
            </w:r>
          </w:p>
          <w:p w:rsidR="00153DD1" w:rsidRPr="007C76DE" w:rsidRDefault="00153DD1" w:rsidP="004C6859">
            <w:pPr>
              <w:tabs>
                <w:tab w:val="left" w:pos="318"/>
              </w:tabs>
              <w:autoSpaceDE w:val="0"/>
              <w:autoSpaceDN w:val="0"/>
              <w:adjustRightInd w:val="0"/>
              <w:spacing w:after="120" w:line="276" w:lineRule="auto"/>
              <w:contextualSpacing/>
              <w:rPr>
                <w:rFonts w:cstheme="minorHAnsi"/>
                <w:iCs/>
                <w:color w:val="C00000"/>
                <w:sz w:val="18"/>
                <w:szCs w:val="18"/>
              </w:rPr>
            </w:pPr>
            <w:r w:rsidRPr="007C76DE">
              <w:rPr>
                <w:rFonts w:cstheme="minorHAnsi"/>
                <w:iCs/>
                <w:color w:val="C00000"/>
                <w:sz w:val="18"/>
                <w:szCs w:val="18"/>
              </w:rPr>
              <w:t xml:space="preserve">If no estimates are provided, explain </w:t>
            </w:r>
            <w:r>
              <w:rPr>
                <w:rFonts w:cstheme="minorHAnsi"/>
                <w:iCs/>
                <w:color w:val="C00000"/>
                <w:sz w:val="18"/>
                <w:szCs w:val="18"/>
              </w:rPr>
              <w:t xml:space="preserve">why this is not </w:t>
            </w:r>
            <w:proofErr w:type="gramStart"/>
            <w:r>
              <w:rPr>
                <w:rFonts w:cstheme="minorHAnsi"/>
                <w:iCs/>
                <w:color w:val="C00000"/>
                <w:sz w:val="18"/>
                <w:szCs w:val="18"/>
              </w:rPr>
              <w:t>possible/proportionate</w:t>
            </w:r>
            <w:proofErr w:type="gramEnd"/>
            <w:r>
              <w:rPr>
                <w:rFonts w:cstheme="minorHAnsi"/>
                <w:iCs/>
                <w:color w:val="C00000"/>
                <w:sz w:val="18"/>
                <w:szCs w:val="18"/>
              </w:rPr>
              <w:t>.</w:t>
            </w:r>
          </w:p>
        </w:tc>
      </w:tr>
    </w:tbl>
    <w:p w:rsidR="0022243F" w:rsidRDefault="0022243F" w:rsidP="00153DD1">
      <w:pPr>
        <w:spacing w:after="0"/>
        <w:rPr>
          <w:rFonts w:eastAsia="Times New Roman" w:cstheme="minorHAnsi"/>
          <w:b/>
          <w:lang w:eastAsia="en-GB"/>
        </w:rPr>
        <w:sectPr w:rsidR="0022243F" w:rsidSect="008A0419">
          <w:pgSz w:w="16838" w:h="11906" w:orient="landscape"/>
          <w:pgMar w:top="993" w:right="1440" w:bottom="709" w:left="1440" w:header="708" w:footer="708" w:gutter="0"/>
          <w:cols w:space="708"/>
          <w:titlePg/>
          <w:docGrid w:linePitch="360"/>
        </w:sectPr>
      </w:pPr>
    </w:p>
    <w:p w:rsidR="0050231F" w:rsidRPr="00B908C0" w:rsidRDefault="00B253B2" w:rsidP="0050231F">
      <w:pPr>
        <w:rPr>
          <w:b/>
          <w:sz w:val="44"/>
          <w:szCs w:val="44"/>
        </w:rPr>
      </w:pPr>
      <w:r>
        <w:rPr>
          <w:b/>
          <w:color w:val="E36C0A" w:themeColor="accent6" w:themeShade="BF"/>
          <w:sz w:val="44"/>
          <w:szCs w:val="44"/>
        </w:rPr>
        <w:lastRenderedPageBreak/>
        <w:t xml:space="preserve">Part II: </w:t>
      </w:r>
      <w:r w:rsidR="0050231F" w:rsidRPr="00B908C0">
        <w:rPr>
          <w:b/>
          <w:color w:val="E36C0A" w:themeColor="accent6" w:themeShade="BF"/>
          <w:sz w:val="44"/>
          <w:szCs w:val="44"/>
        </w:rPr>
        <w:t>Impact Assessment</w:t>
      </w:r>
      <w:r>
        <w:rPr>
          <w:b/>
          <w:color w:val="E36C0A" w:themeColor="accent6" w:themeShade="BF"/>
          <w:sz w:val="44"/>
          <w:szCs w:val="44"/>
        </w:rPr>
        <w:t>s</w:t>
      </w:r>
    </w:p>
    <w:p w:rsidR="0050231F" w:rsidRPr="00011532" w:rsidRDefault="0050231F" w:rsidP="0050231F">
      <w:pPr>
        <w:rPr>
          <w:b/>
        </w:rPr>
      </w:pPr>
      <w:r w:rsidRPr="00011532">
        <w:t>The aim of this section is to provide practical advice on the key building blocks of an impact assessment and highlight RPC expectations on the type and quality of analysis expected</w:t>
      </w:r>
      <w:r>
        <w:t>.</w:t>
      </w:r>
      <w:r w:rsidRPr="00011532">
        <w:t xml:space="preserve"> Whe</w:t>
      </w:r>
      <w:r>
        <w:t>re</w:t>
      </w:r>
      <w:r w:rsidRPr="00011532">
        <w:t xml:space="preserve"> such expectations differ </w:t>
      </w:r>
      <w:r>
        <w:t xml:space="preserve">significantly </w:t>
      </w:r>
      <w:r w:rsidRPr="00011532">
        <w:t>between consultation and final stage IA</w:t>
      </w:r>
      <w:r>
        <w:t>s</w:t>
      </w:r>
      <w:r w:rsidRPr="00011532">
        <w:t>, this is noted and explained throughout the text</w:t>
      </w:r>
      <w:r>
        <w:t>,</w:t>
      </w:r>
      <w:r w:rsidRPr="00011532">
        <w:t xml:space="preserve"> as far as </w:t>
      </w:r>
      <w:r>
        <w:t xml:space="preserve">it is </w:t>
      </w:r>
      <w:r w:rsidRPr="00011532">
        <w:t>possible to do so.</w:t>
      </w:r>
    </w:p>
    <w:p w:rsidR="0050231F" w:rsidRPr="00B908C0" w:rsidRDefault="0050231F" w:rsidP="0050231F">
      <w:pPr>
        <w:rPr>
          <w:sz w:val="32"/>
          <w:szCs w:val="32"/>
        </w:rPr>
      </w:pPr>
      <w:r>
        <w:rPr>
          <w:b/>
          <w:color w:val="E36C0A" w:themeColor="accent6" w:themeShade="BF"/>
          <w:sz w:val="32"/>
          <w:szCs w:val="32"/>
        </w:rPr>
        <w:t>Section 1:</w:t>
      </w:r>
      <w:r w:rsidRPr="00B908C0">
        <w:rPr>
          <w:b/>
          <w:color w:val="E36C0A" w:themeColor="accent6" w:themeShade="BF"/>
          <w:sz w:val="32"/>
          <w:szCs w:val="32"/>
        </w:rPr>
        <w:t xml:space="preserve"> Problem under consideration</w:t>
      </w:r>
    </w:p>
    <w:p w:rsidR="0050231F" w:rsidRPr="00B908C0" w:rsidRDefault="0050231F" w:rsidP="0050231F">
      <w:pPr>
        <w:keepNext/>
        <w:keepLines/>
        <w:spacing w:before="200" w:after="0"/>
        <w:outlineLvl w:val="1"/>
        <w:rPr>
          <w:rFonts w:eastAsiaTheme="majorEastAsia" w:cstheme="minorHAnsi"/>
          <w:b/>
          <w:bCs/>
          <w:color w:val="984806" w:themeColor="accent6" w:themeShade="80"/>
          <w:sz w:val="28"/>
          <w:szCs w:val="28"/>
        </w:rPr>
      </w:pPr>
      <w:r>
        <w:rPr>
          <w:rFonts w:eastAsiaTheme="majorEastAsia" w:cstheme="minorHAnsi"/>
          <w:b/>
          <w:bCs/>
          <w:color w:val="984806" w:themeColor="accent6" w:themeShade="80"/>
          <w:sz w:val="28"/>
          <w:szCs w:val="28"/>
        </w:rPr>
        <w:t xml:space="preserve">1.1 </w:t>
      </w:r>
      <w:r w:rsidRPr="00B908C0">
        <w:rPr>
          <w:rFonts w:eastAsiaTheme="majorEastAsia" w:cstheme="minorHAnsi"/>
          <w:b/>
          <w:bCs/>
          <w:color w:val="984806" w:themeColor="accent6" w:themeShade="80"/>
          <w:sz w:val="28"/>
          <w:szCs w:val="28"/>
        </w:rPr>
        <w:t>Establishi</w:t>
      </w:r>
      <w:r>
        <w:rPr>
          <w:rFonts w:eastAsiaTheme="majorEastAsia" w:cstheme="minorHAnsi"/>
          <w:b/>
          <w:bCs/>
          <w:color w:val="984806" w:themeColor="accent6" w:themeShade="80"/>
          <w:sz w:val="28"/>
          <w:szCs w:val="28"/>
        </w:rPr>
        <w:t xml:space="preserve">ng the problem and rationale for regulation </w:t>
      </w:r>
    </w:p>
    <w:p w:rsidR="0050231F" w:rsidRPr="00BB0884" w:rsidRDefault="00B07C97" w:rsidP="00B07C97">
      <w:pPr>
        <w:tabs>
          <w:tab w:val="left" w:pos="3380"/>
        </w:tabs>
        <w:spacing w:after="0" w:line="240" w:lineRule="auto"/>
      </w:pPr>
      <w:r>
        <w:tab/>
      </w:r>
    </w:p>
    <w:p w:rsidR="0050231F" w:rsidRDefault="0050231F" w:rsidP="0050231F">
      <w:pPr>
        <w:spacing w:after="0"/>
        <w:rPr>
          <w:sz w:val="24"/>
          <w:szCs w:val="24"/>
        </w:rPr>
      </w:pPr>
      <w:r w:rsidRPr="00D92A4C">
        <w:rPr>
          <w:sz w:val="24"/>
          <w:szCs w:val="24"/>
        </w:rPr>
        <w:t xml:space="preserve">One of the first aspects of a </w:t>
      </w:r>
      <w:r w:rsidRPr="00D92A4C">
        <w:rPr>
          <w:sz w:val="24"/>
          <w:szCs w:val="24"/>
          <w:u w:val="single"/>
        </w:rPr>
        <w:t>consultation stage full IA</w:t>
      </w:r>
      <w:r w:rsidRPr="00D92A4C">
        <w:rPr>
          <w:sz w:val="24"/>
          <w:szCs w:val="24"/>
        </w:rPr>
        <w:t xml:space="preserve"> the RPC concentrates on is the depart</w:t>
      </w:r>
      <w:r>
        <w:rPr>
          <w:sz w:val="24"/>
          <w:szCs w:val="24"/>
        </w:rPr>
        <w:t>ment’s answer to the question:</w:t>
      </w:r>
      <w:r w:rsidRPr="00D92A4C">
        <w:rPr>
          <w:sz w:val="24"/>
          <w:szCs w:val="24"/>
        </w:rPr>
        <w:t xml:space="preserve"> </w:t>
      </w:r>
      <w:r w:rsidRPr="00D92A4C">
        <w:rPr>
          <w:i/>
          <w:sz w:val="24"/>
          <w:szCs w:val="24"/>
        </w:rPr>
        <w:t>“What is the problem the proposal is seeking to address?”</w:t>
      </w:r>
      <w:r>
        <w:rPr>
          <w:i/>
          <w:sz w:val="24"/>
          <w:szCs w:val="24"/>
        </w:rPr>
        <w:t xml:space="preserve"> </w:t>
      </w:r>
      <w:r>
        <w:rPr>
          <w:sz w:val="24"/>
          <w:szCs w:val="24"/>
        </w:rPr>
        <w:t>The RPC would expect departments to:</w:t>
      </w:r>
    </w:p>
    <w:p w:rsidR="0050231F" w:rsidRPr="00F34E6B" w:rsidRDefault="0050231F" w:rsidP="0050231F">
      <w:pPr>
        <w:spacing w:after="0"/>
        <w:rPr>
          <w:i/>
          <w:sz w:val="24"/>
          <w:szCs w:val="24"/>
        </w:rPr>
      </w:pPr>
    </w:p>
    <w:p w:rsidR="0050231F" w:rsidRPr="00EB767D" w:rsidRDefault="0050231F" w:rsidP="00CE5B54">
      <w:pPr>
        <w:pStyle w:val="ListParagraph"/>
        <w:numPr>
          <w:ilvl w:val="0"/>
          <w:numId w:val="20"/>
        </w:numPr>
        <w:spacing w:after="240"/>
        <w:ind w:left="1077"/>
        <w:rPr>
          <w:i/>
          <w:sz w:val="24"/>
          <w:szCs w:val="24"/>
        </w:rPr>
      </w:pPr>
      <w:r w:rsidRPr="00EB767D">
        <w:rPr>
          <w:b/>
          <w:sz w:val="24"/>
          <w:szCs w:val="24"/>
        </w:rPr>
        <w:t xml:space="preserve">articulate </w:t>
      </w:r>
      <w:r>
        <w:rPr>
          <w:b/>
          <w:sz w:val="24"/>
          <w:szCs w:val="24"/>
        </w:rPr>
        <w:t>clearly</w:t>
      </w:r>
      <w:r w:rsidRPr="00EB767D">
        <w:rPr>
          <w:b/>
          <w:sz w:val="24"/>
          <w:szCs w:val="24"/>
        </w:rPr>
        <w:t xml:space="preserve"> the evidence </w:t>
      </w:r>
      <w:r>
        <w:rPr>
          <w:b/>
          <w:sz w:val="24"/>
          <w:szCs w:val="24"/>
        </w:rPr>
        <w:t>for there</w:t>
      </w:r>
      <w:r w:rsidRPr="00EB767D">
        <w:rPr>
          <w:b/>
          <w:sz w:val="24"/>
          <w:szCs w:val="24"/>
        </w:rPr>
        <w:t xml:space="preserve"> </w:t>
      </w:r>
      <w:r>
        <w:rPr>
          <w:b/>
          <w:sz w:val="24"/>
          <w:szCs w:val="24"/>
        </w:rPr>
        <w:t>being</w:t>
      </w:r>
      <w:r w:rsidRPr="00EB767D">
        <w:rPr>
          <w:b/>
          <w:sz w:val="24"/>
          <w:szCs w:val="24"/>
        </w:rPr>
        <w:t xml:space="preserve"> a problem that needs </w:t>
      </w:r>
      <w:r>
        <w:rPr>
          <w:b/>
          <w:sz w:val="24"/>
          <w:szCs w:val="24"/>
        </w:rPr>
        <w:t>addressing</w:t>
      </w:r>
      <w:r w:rsidRPr="00EB767D">
        <w:rPr>
          <w:sz w:val="24"/>
          <w:szCs w:val="24"/>
        </w:rPr>
        <w:t xml:space="preserve"> </w:t>
      </w:r>
    </w:p>
    <w:p w:rsidR="0050231F" w:rsidRPr="00EB767D" w:rsidRDefault="0050231F" w:rsidP="0050231F">
      <w:pPr>
        <w:pStyle w:val="ListParagraph"/>
        <w:spacing w:after="240"/>
        <w:ind w:left="1077"/>
        <w:rPr>
          <w:i/>
          <w:sz w:val="8"/>
          <w:szCs w:val="8"/>
        </w:rPr>
      </w:pPr>
    </w:p>
    <w:p w:rsidR="0050231F" w:rsidRDefault="0050231F" w:rsidP="0050231F">
      <w:pPr>
        <w:pStyle w:val="ListParagraph"/>
        <w:spacing w:after="240"/>
        <w:ind w:left="1077"/>
        <w:rPr>
          <w:i/>
          <w:sz w:val="24"/>
          <w:szCs w:val="24"/>
        </w:rPr>
      </w:pPr>
      <w:proofErr w:type="gramStart"/>
      <w:r w:rsidRPr="00EB767D">
        <w:rPr>
          <w:i/>
          <w:sz w:val="24"/>
          <w:szCs w:val="24"/>
        </w:rPr>
        <w:t>and</w:t>
      </w:r>
      <w:proofErr w:type="gramEnd"/>
      <w:r w:rsidRPr="00EB767D">
        <w:rPr>
          <w:i/>
          <w:sz w:val="24"/>
          <w:szCs w:val="24"/>
        </w:rPr>
        <w:t xml:space="preserve"> </w:t>
      </w:r>
    </w:p>
    <w:p w:rsidR="0050231F" w:rsidRPr="00EB767D" w:rsidRDefault="0050231F" w:rsidP="0050231F">
      <w:pPr>
        <w:pStyle w:val="ListParagraph"/>
        <w:spacing w:after="240"/>
        <w:ind w:left="1077"/>
        <w:rPr>
          <w:i/>
          <w:sz w:val="8"/>
          <w:szCs w:val="8"/>
        </w:rPr>
      </w:pPr>
    </w:p>
    <w:p w:rsidR="0050231F" w:rsidRPr="00EB767D" w:rsidRDefault="0050231F" w:rsidP="00CE5B54">
      <w:pPr>
        <w:pStyle w:val="ListParagraph"/>
        <w:numPr>
          <w:ilvl w:val="0"/>
          <w:numId w:val="20"/>
        </w:numPr>
        <w:spacing w:after="0"/>
        <w:rPr>
          <w:b/>
          <w:sz w:val="24"/>
          <w:szCs w:val="24"/>
        </w:rPr>
      </w:pPr>
      <w:proofErr w:type="gramStart"/>
      <w:r w:rsidRPr="00EB767D">
        <w:rPr>
          <w:b/>
          <w:sz w:val="24"/>
          <w:szCs w:val="24"/>
        </w:rPr>
        <w:t>the</w:t>
      </w:r>
      <w:proofErr w:type="gramEnd"/>
      <w:r w:rsidRPr="00EB767D">
        <w:rPr>
          <w:b/>
          <w:sz w:val="24"/>
          <w:szCs w:val="24"/>
        </w:rPr>
        <w:t xml:space="preserve"> evidence that this problem will not be corrected by market forces alone.</w:t>
      </w:r>
    </w:p>
    <w:p w:rsidR="0050231F" w:rsidRPr="00D92A4C" w:rsidRDefault="0050231F" w:rsidP="0050231F">
      <w:pPr>
        <w:spacing w:after="0"/>
        <w:rPr>
          <w:sz w:val="24"/>
          <w:szCs w:val="24"/>
        </w:rPr>
      </w:pPr>
    </w:p>
    <w:p w:rsidR="0050231F" w:rsidRPr="00645493" w:rsidRDefault="0050231F" w:rsidP="0050231F">
      <w:pPr>
        <w:spacing w:after="0"/>
        <w:rPr>
          <w:i/>
          <w:sz w:val="24"/>
          <w:szCs w:val="24"/>
        </w:rPr>
      </w:pPr>
      <w:r w:rsidRPr="00D92A4C">
        <w:rPr>
          <w:sz w:val="24"/>
          <w:szCs w:val="24"/>
        </w:rPr>
        <w:t xml:space="preserve">Both </w:t>
      </w:r>
      <w:hyperlink r:id="rId25" w:history="1">
        <w:r>
          <w:rPr>
            <w:rFonts w:eastAsia="Times New Roman" w:cstheme="minorHAnsi"/>
            <w:color w:val="0000FF"/>
            <w:sz w:val="24"/>
            <w:szCs w:val="24"/>
            <w:u w:val="single"/>
            <w:lang w:eastAsia="en-GB"/>
          </w:rPr>
          <w:t>t</w:t>
        </w:r>
        <w:r w:rsidRPr="00D92A4C">
          <w:rPr>
            <w:rFonts w:eastAsia="Times New Roman" w:cstheme="minorHAnsi"/>
            <w:color w:val="0000FF"/>
            <w:sz w:val="24"/>
            <w:szCs w:val="24"/>
            <w:u w:val="single"/>
            <w:lang w:eastAsia="en-GB"/>
          </w:rPr>
          <w:t>he Green Book</w:t>
        </w:r>
      </w:hyperlink>
      <w:r>
        <w:rPr>
          <w:sz w:val="24"/>
          <w:szCs w:val="24"/>
        </w:rPr>
        <w:t xml:space="preserve"> </w:t>
      </w:r>
      <w:r w:rsidRPr="00D92A4C">
        <w:rPr>
          <w:sz w:val="24"/>
          <w:szCs w:val="24"/>
        </w:rPr>
        <w:t xml:space="preserve">and the </w:t>
      </w:r>
      <w:r w:rsidR="00B253B2">
        <w:rPr>
          <w:sz w:val="24"/>
          <w:szCs w:val="24"/>
        </w:rPr>
        <w:t>BRFM</w:t>
      </w:r>
      <w:r w:rsidR="00491E52">
        <w:rPr>
          <w:sz w:val="24"/>
          <w:szCs w:val="24"/>
        </w:rPr>
        <w:t xml:space="preserve"> </w:t>
      </w:r>
      <w:r w:rsidRPr="00D92A4C">
        <w:rPr>
          <w:sz w:val="24"/>
          <w:szCs w:val="24"/>
        </w:rPr>
        <w:t xml:space="preserve">provide </w:t>
      </w:r>
      <w:r>
        <w:rPr>
          <w:sz w:val="24"/>
          <w:szCs w:val="24"/>
        </w:rPr>
        <w:t>detailed</w:t>
      </w:r>
      <w:r w:rsidRPr="00D92A4C">
        <w:rPr>
          <w:sz w:val="24"/>
          <w:szCs w:val="24"/>
        </w:rPr>
        <w:t xml:space="preserve"> guidance on the types of issues that can affect the ability of markets to allocate scarce resources efficiently. Both documents also highlight that equity concerns and other social welfare objectives can act as drivers for government intervention.</w:t>
      </w:r>
      <w:r>
        <w:rPr>
          <w:sz w:val="24"/>
          <w:szCs w:val="24"/>
        </w:rPr>
        <w:t xml:space="preserve"> </w:t>
      </w:r>
      <w:r w:rsidRPr="000D15C7">
        <w:rPr>
          <w:rFonts w:cstheme="minorHAnsi"/>
          <w:sz w:val="24"/>
          <w:szCs w:val="24"/>
        </w:rPr>
        <w:t>The Green Book states</w:t>
      </w:r>
      <w:r>
        <w:rPr>
          <w:rFonts w:cstheme="minorHAnsi"/>
          <w:sz w:val="24"/>
          <w:szCs w:val="24"/>
        </w:rPr>
        <w:t>:</w:t>
      </w:r>
      <w:r w:rsidRPr="000D15C7">
        <w:rPr>
          <w:rFonts w:cstheme="minorHAnsi"/>
          <w:sz w:val="24"/>
          <w:szCs w:val="24"/>
        </w:rPr>
        <w:t xml:space="preserve"> </w:t>
      </w:r>
      <w:r w:rsidRPr="00645493">
        <w:rPr>
          <w:rFonts w:cstheme="minorHAnsi"/>
          <w:i/>
          <w:sz w:val="24"/>
          <w:szCs w:val="24"/>
        </w:rPr>
        <w:t>“this underlying rationale is usually founded either in market failure or where there are clear government distributional objectives that need to be met.”</w:t>
      </w:r>
    </w:p>
    <w:p w:rsidR="0050231F" w:rsidRDefault="0050231F" w:rsidP="0050231F">
      <w:pPr>
        <w:spacing w:after="0"/>
        <w:rPr>
          <w:sz w:val="24"/>
          <w:szCs w:val="24"/>
        </w:rPr>
      </w:pPr>
    </w:p>
    <w:p w:rsidR="0050231F" w:rsidRPr="00CC5C7A" w:rsidRDefault="0050231F" w:rsidP="0050231F">
      <w:pPr>
        <w:spacing w:after="0"/>
        <w:rPr>
          <w:rFonts w:cstheme="minorHAnsi"/>
          <w:sz w:val="24"/>
          <w:szCs w:val="24"/>
        </w:rPr>
      </w:pPr>
      <w:r w:rsidRPr="00D92A4C">
        <w:rPr>
          <w:sz w:val="24"/>
          <w:szCs w:val="24"/>
        </w:rPr>
        <w:t xml:space="preserve">The RPC recognises all these arguments. The RPC finds it preferable if the problem being addressed can be established and articulated using these types of conceptual frameworks. </w:t>
      </w:r>
      <w:r w:rsidRPr="00FE704D">
        <w:rPr>
          <w:sz w:val="24"/>
        </w:rPr>
        <w:t xml:space="preserve">Whatever the identified problem is, evidence should be presented as to its existence and its scale, drawing a distinction between perception and reality where the two diverge.  </w:t>
      </w:r>
    </w:p>
    <w:p w:rsidR="0050231F" w:rsidRDefault="0050231F" w:rsidP="0050231F">
      <w:pPr>
        <w:spacing w:after="0"/>
        <w:rPr>
          <w:sz w:val="24"/>
        </w:rPr>
      </w:pPr>
    </w:p>
    <w:p w:rsidR="0050231F" w:rsidRDefault="0050231F" w:rsidP="0050231F">
      <w:pPr>
        <w:spacing w:after="0"/>
        <w:rPr>
          <w:b/>
          <w:sz w:val="24"/>
        </w:rPr>
      </w:pPr>
      <w:r>
        <w:rPr>
          <w:noProof/>
          <w:lang w:eastAsia="en-GB"/>
        </w:rPr>
        <mc:AlternateContent>
          <mc:Choice Requires="wps">
            <w:drawing>
              <wp:anchor distT="0" distB="0" distL="114300" distR="114300" simplePos="0" relativeHeight="251702272" behindDoc="0" locked="0" layoutInCell="1" allowOverlap="1" wp14:anchorId="2D67F839" wp14:editId="08AA5D28">
                <wp:simplePos x="0" y="0"/>
                <wp:positionH relativeFrom="column">
                  <wp:posOffset>5892800</wp:posOffset>
                </wp:positionH>
                <wp:positionV relativeFrom="paragraph">
                  <wp:posOffset>638810</wp:posOffset>
                </wp:positionV>
                <wp:extent cx="683895" cy="44831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895" cy="448310"/>
                        </a:xfrm>
                        <a:prstGeom prst="rect">
                          <a:avLst/>
                        </a:prstGeom>
                        <a:noFill/>
                        <a:ln w="6350">
                          <a:noFill/>
                        </a:ln>
                        <a:effectLst/>
                      </wps:spPr>
                      <wps:txbx>
                        <w:txbxContent>
                          <w:p w:rsidR="00C90A59" w:rsidRPr="00F3504F" w:rsidRDefault="00C90A59" w:rsidP="0050231F">
                            <w:pPr>
                              <w:pBdr>
                                <w:top w:val="single" w:sz="4" w:space="1" w:color="FABF8F" w:themeColor="accent6" w:themeTint="99"/>
                                <w:bottom w:val="single" w:sz="4" w:space="1" w:color="FABF8F" w:themeColor="accent6" w:themeTint="99"/>
                              </w:pBdr>
                              <w:spacing w:after="0"/>
                              <w:jc w:val="center"/>
                              <w:rPr>
                                <w:rFonts w:cstheme="minorHAnsi"/>
                                <w:i/>
                                <w:color w:val="E36C0A" w:themeColor="accent6" w:themeShade="BF"/>
                                <w:sz w:val="16"/>
                                <w:szCs w:val="16"/>
                              </w:rPr>
                            </w:pPr>
                            <w:r w:rsidRPr="00F3504F">
                              <w:rPr>
                                <w:rFonts w:cstheme="minorHAnsi"/>
                                <w:b/>
                                <w:i/>
                                <w:color w:val="E36C0A" w:themeColor="accent6" w:themeShade="BF"/>
                                <w:sz w:val="16"/>
                                <w:szCs w:val="16"/>
                              </w:rPr>
                              <w:t>Potential red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64pt;margin-top:50.3pt;width:53.85pt;height:35.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gU3PQIAAH4EAAAOAAAAZHJzL2Uyb0RvYy54bWysVEtv2zAMvg/YfxB0X5xnlxpxiqxFhgFB&#10;WyAZelZkKTYmiZqkxO5+/SjZSYNup2EXmRI/Pj/Si7tWK3ISztdgCjoaDCkRhkNZm0NBv+/Wn+aU&#10;+MBMyRQYUdBX4end8uOHRWNzMYYKVCkcQSfG540taBWCzbPM80po5gdghUGlBKdZwKs7ZKVjDXrX&#10;KhsPhzdZA660DrjwHl8fOiVdJv9SCh6epPQiEFVQzC2k06VzH89suWD5wTFb1bxPg/1DFprVBoNe&#10;XD2wwMjR1X+40jV34EGGAQedgZQ1F6kGrGY0fFfNtmJWpFqwOd5e2uT/n1v+eHp2pC4LOqbEMI0U&#10;7UQbyBdoyTh2p7E+R9DWIiy0+Iwsp0q93QD/4RGSXWE6A4/o2I1WOh2/WCdBQyTg9dL0GIXj4818&#10;Mr+dUcJRNZ3OJ6NESvZmbJ0PXwVoEoWCOuQ0JcBOGx9ieJafITGWgXWtVOJVGdJggMlsmAwuGrRQ&#10;JmJFmpDeTayiSzxKod23fV/6LuyhfMUmOOiGyFu+rjGjDfPhmTmcGiwPNyE84SEVYGToJUoqcL/+&#10;9h7xSCZqKWlwCgvqfx6ZE5SobwZpvh1Np3Fs02U6+zzGi7vW7K815qjvAQd9hDtneRIjPqizKB3o&#10;F1yYVYyKKmY4xi5oOIv3odsNXDguVqsEwkG1LGzM1vIz97Hfu/aFOduTEpDNRzjPK8vfcdNhO3ZW&#10;xwCyTsTFPndd7YcIhzzx2S9k3KLre0K9/TaWvwEAAP//AwBQSwMEFAAGAAgAAAAhACG8WZHgAAAA&#10;DAEAAA8AAABkcnMvZG93bnJldi54bWxMj8FOwzAQRO9I/IO1SNyo0yBImsapKgQXJIQolRA3N17i&#10;QLwOttuGv2d7gtuuZjTzpl5NbhAHDLH3pGA+y0Agtd701CnYvj5clSBi0mT04AkV/GCEVXN+VuvK&#10;+CO94GGTOsEhFCutwKY0VlLG1qLTceZHJNY+fHA68Rs6aYI+crgbZJ5lt9LpnrjB6hHvLLZfm71T&#10;UJTvxn6Gx2n79rT+ts+jHO61VOryYlovQSSc0p8ZTviMDg0z7fyeTBSDgkVe8pbEAteAODmy65sC&#10;xI6vYp6DbGr5f0TzCwAA//8DAFBLAQItABQABgAIAAAAIQC2gziS/gAAAOEBAAATAAAAAAAAAAAA&#10;AAAAAAAAAABbQ29udGVudF9UeXBlc10ueG1sUEsBAi0AFAAGAAgAAAAhADj9If/WAAAAlAEAAAsA&#10;AAAAAAAAAAAAAAAALwEAAF9yZWxzLy5yZWxzUEsBAi0AFAAGAAgAAAAhADgaBTc9AgAAfgQAAA4A&#10;AAAAAAAAAAAAAAAALgIAAGRycy9lMm9Eb2MueG1sUEsBAi0AFAAGAAgAAAAhACG8WZHgAAAADAEA&#10;AA8AAAAAAAAAAAAAAAAAlwQAAGRycy9kb3ducmV2LnhtbFBLBQYAAAAABAAEAPMAAACkBQAAAAA=&#10;" filled="f" stroked="f" strokeweight=".5pt">
                <v:path arrowok="t"/>
                <v:textbox>
                  <w:txbxContent>
                    <w:p w:rsidR="00C90A59" w:rsidRPr="00F3504F" w:rsidRDefault="00C90A59" w:rsidP="0050231F">
                      <w:pPr>
                        <w:pBdr>
                          <w:top w:val="single" w:sz="4" w:space="1" w:color="FABF8F" w:themeColor="accent6" w:themeTint="99"/>
                          <w:bottom w:val="single" w:sz="4" w:space="1" w:color="FABF8F" w:themeColor="accent6" w:themeTint="99"/>
                        </w:pBdr>
                        <w:spacing w:after="0"/>
                        <w:jc w:val="center"/>
                        <w:rPr>
                          <w:rFonts w:cstheme="minorHAnsi"/>
                          <w:i/>
                          <w:color w:val="E36C0A" w:themeColor="accent6" w:themeShade="BF"/>
                          <w:sz w:val="16"/>
                          <w:szCs w:val="16"/>
                        </w:rPr>
                      </w:pPr>
                      <w:r w:rsidRPr="00F3504F">
                        <w:rPr>
                          <w:rFonts w:cstheme="minorHAnsi"/>
                          <w:b/>
                          <w:i/>
                          <w:color w:val="E36C0A" w:themeColor="accent6" w:themeShade="BF"/>
                          <w:sz w:val="16"/>
                          <w:szCs w:val="16"/>
                        </w:rPr>
                        <w:t>Potential red point</w:t>
                      </w:r>
                    </w:p>
                  </w:txbxContent>
                </v:textbox>
                <w10:wrap type="square"/>
              </v:shape>
            </w:pict>
          </mc:Fallback>
        </mc:AlternateContent>
      </w:r>
      <w:r>
        <w:rPr>
          <w:noProof/>
          <w:lang w:eastAsia="en-GB"/>
        </w:rPr>
        <mc:AlternateContent>
          <mc:Choice Requires="wps">
            <w:drawing>
              <wp:anchor distT="0" distB="0" distL="114300" distR="114300" simplePos="0" relativeHeight="251703296" behindDoc="0" locked="0" layoutInCell="1" allowOverlap="1" wp14:anchorId="0AC46EB9" wp14:editId="2CD8629C">
                <wp:simplePos x="0" y="0"/>
                <wp:positionH relativeFrom="column">
                  <wp:posOffset>5892800</wp:posOffset>
                </wp:positionH>
                <wp:positionV relativeFrom="paragraph">
                  <wp:posOffset>88265</wp:posOffset>
                </wp:positionV>
                <wp:extent cx="683895" cy="44831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895" cy="448310"/>
                        </a:xfrm>
                        <a:prstGeom prst="rect">
                          <a:avLst/>
                        </a:prstGeom>
                        <a:noFill/>
                        <a:ln w="6350">
                          <a:noFill/>
                        </a:ln>
                        <a:effectLst/>
                      </wps:spPr>
                      <wps:txbx>
                        <w:txbxContent>
                          <w:p w:rsidR="00C90A59" w:rsidRPr="00F3504F" w:rsidRDefault="00C90A59" w:rsidP="0050231F">
                            <w:pPr>
                              <w:pBdr>
                                <w:top w:val="single" w:sz="4" w:space="1" w:color="FABF8F" w:themeColor="accent6" w:themeTint="99"/>
                                <w:bottom w:val="single" w:sz="4" w:space="1" w:color="FABF8F" w:themeColor="accent6" w:themeTint="99"/>
                              </w:pBdr>
                              <w:spacing w:after="0"/>
                              <w:jc w:val="center"/>
                              <w:rPr>
                                <w:rFonts w:cstheme="minorHAnsi"/>
                                <w:i/>
                                <w:color w:val="E36C0A" w:themeColor="accent6" w:themeShade="BF"/>
                                <w:sz w:val="16"/>
                                <w:szCs w:val="16"/>
                              </w:rPr>
                            </w:pPr>
                            <w:r w:rsidRPr="00F3504F">
                              <w:rPr>
                                <w:rFonts w:cstheme="minorHAnsi"/>
                                <w:b/>
                                <w:i/>
                                <w:color w:val="E36C0A" w:themeColor="accent6" w:themeShade="BF"/>
                                <w:sz w:val="16"/>
                                <w:szCs w:val="16"/>
                              </w:rPr>
                              <w:t>Potential red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464pt;margin-top:6.95pt;width:53.85pt;height:35.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mp8PgIAAH4EAAAOAAAAZHJzL2Uyb0RvYy54bWysVEtv2zAMvg/YfxB0X5yH06VGnCJrkWFA&#10;0BZIhp4VWY6NSaImKbG7Xz9KttOg22nYRabEj8+P9PKuVZKchXU16JxORmNKhOZQ1PqY0+/7zacF&#10;Jc4zXTAJWuT0VTh6t/r4YdmYTEyhAlkIS9CJdlljclp5b7IkcbwSirkRGKFRWYJVzOPVHpPCsga9&#10;K5lMx+ObpAFbGAtcOIevD52SrqL/shTcP5WlE57InGJuPp42nodwJqsly46WmarmfRrsH7JQrNYY&#10;9OLqgXlGTrb+w5WquQUHpR9xUAmUZc1FrAGrmYzfVbOrmBGxFmyOM5c2uf/nlj+eny2pi5ymlGim&#10;kKK9aD35Ai1JQ3ca4zIE7QzCfIvPyHKs1Jkt8B8OIckVpjNwiA7daEurwhfrJGiIBLxemh6icHy8&#10;WcwWt3NKOKrSdDGbRFKSN2Njnf8qQJEg5NQipzEBdt46H8KzbICEWBo2tZSRV6lJgwFm83E0uGjQ&#10;QuqAFXFCejehii7xIPn20Ma+zIYuHKB4xSZY6IbIGb6pMaMtc/6ZWZwaLA83wT/hUUrAyNBLlFRg&#10;f/3tPeCRTNRS0uAU5tT9PDErKJHfNNJ8O0nTMLbxks4/T/FirzWHa40+qXvAQZ/gzhkexYD3chBL&#10;C+oFF2YdoqKKaY6xc+oH8d53u4ELx8V6HUE4qIb5rd4ZPnAf+r1vX5g1PSke2XyEYV5Z9o6bDtux&#10;sz55KOtIXOhz19V+iHDII5/9QoYtur5H1NtvY/UbAAD//wMAUEsDBBQABgAIAAAAIQAPRoa94AAA&#10;AAoBAAAPAAAAZHJzL2Rvd25yZXYueG1sTI/BTsMwEETvSPyDtUjcqENLaRriVBWCCxKqKJWq3rbx&#10;EgfidbDdNvw97gmOoxnNvCkXg+3EkXxoHSu4HWUgiGunW24UbN6fb3IQISJr7ByTgh8KsKguL0os&#10;tDvxGx3XsRGphEOBCkyMfSFlqA1ZDCPXEyfvw3mLMUnfSO3xlMptJ8dZdi8ttpwWDPb0aKj+Wh+s&#10;glm+0+bTvwyb7evy26x62T2hVOr6alg+gIg0xL8wnPETOlSJae8OrIPoFMzHefoSkzGZgzgHssl0&#10;BmKvIL+bgqxK+f9C9QsAAP//AwBQSwECLQAUAAYACAAAACEAtoM4kv4AAADhAQAAEwAAAAAAAAAA&#10;AAAAAAAAAAAAW0NvbnRlbnRfVHlwZXNdLnhtbFBLAQItABQABgAIAAAAIQA4/SH/1gAAAJQBAAAL&#10;AAAAAAAAAAAAAAAAAC8BAABfcmVscy8ucmVsc1BLAQItABQABgAIAAAAIQD8pmp8PgIAAH4EAAAO&#10;AAAAAAAAAAAAAAAAAC4CAABkcnMvZTJvRG9jLnhtbFBLAQItABQABgAIAAAAIQAPRoa94AAAAAoB&#10;AAAPAAAAAAAAAAAAAAAAAJgEAABkcnMvZG93bnJldi54bWxQSwUGAAAAAAQABADzAAAApQUAAAAA&#10;" filled="f" stroked="f" strokeweight=".5pt">
                <v:path arrowok="t"/>
                <v:textbox>
                  <w:txbxContent>
                    <w:p w:rsidR="00C90A59" w:rsidRPr="00F3504F" w:rsidRDefault="00C90A59" w:rsidP="0050231F">
                      <w:pPr>
                        <w:pBdr>
                          <w:top w:val="single" w:sz="4" w:space="1" w:color="FABF8F" w:themeColor="accent6" w:themeTint="99"/>
                          <w:bottom w:val="single" w:sz="4" w:space="1" w:color="FABF8F" w:themeColor="accent6" w:themeTint="99"/>
                        </w:pBdr>
                        <w:spacing w:after="0"/>
                        <w:jc w:val="center"/>
                        <w:rPr>
                          <w:rFonts w:cstheme="minorHAnsi"/>
                          <w:i/>
                          <w:color w:val="E36C0A" w:themeColor="accent6" w:themeShade="BF"/>
                          <w:sz w:val="16"/>
                          <w:szCs w:val="16"/>
                        </w:rPr>
                      </w:pPr>
                      <w:r w:rsidRPr="00F3504F">
                        <w:rPr>
                          <w:rFonts w:cstheme="minorHAnsi"/>
                          <w:b/>
                          <w:i/>
                          <w:color w:val="E36C0A" w:themeColor="accent6" w:themeShade="BF"/>
                          <w:sz w:val="16"/>
                          <w:szCs w:val="16"/>
                        </w:rPr>
                        <w:t>Potential red point</w:t>
                      </w:r>
                    </w:p>
                  </w:txbxContent>
                </v:textbox>
                <w10:wrap type="square"/>
              </v:shape>
            </w:pict>
          </mc:Fallback>
        </mc:AlternateContent>
      </w:r>
      <w:r w:rsidRPr="001D2AC0">
        <w:rPr>
          <w:rFonts w:cstheme="minorHAnsi"/>
          <w:sz w:val="24"/>
          <w:szCs w:val="24"/>
        </w:rPr>
        <w:t>The RPC expects the chosen option to be supported by the analysis. It</w:t>
      </w:r>
      <w:r>
        <w:rPr>
          <w:rFonts w:cstheme="minorHAnsi"/>
          <w:sz w:val="24"/>
          <w:szCs w:val="24"/>
        </w:rPr>
        <w:t xml:space="preserve"> does not consider </w:t>
      </w:r>
      <w:r w:rsidRPr="001D2AC0">
        <w:rPr>
          <w:rFonts w:cstheme="minorHAnsi"/>
          <w:sz w:val="24"/>
          <w:szCs w:val="24"/>
        </w:rPr>
        <w:t xml:space="preserve">that a </w:t>
      </w:r>
      <w:r w:rsidRPr="00645493">
        <w:rPr>
          <w:rFonts w:cstheme="minorHAnsi"/>
          <w:sz w:val="24"/>
          <w:szCs w:val="24"/>
        </w:rPr>
        <w:t xml:space="preserve">decision to go ahead with a proposal based on a “ministerial preference” rather than a sound economic rationale, supported by robust evidence of the problem, </w:t>
      </w:r>
      <w:r>
        <w:rPr>
          <w:rFonts w:cstheme="minorHAnsi"/>
          <w:sz w:val="24"/>
          <w:szCs w:val="24"/>
        </w:rPr>
        <w:t xml:space="preserve">is </w:t>
      </w:r>
      <w:r w:rsidRPr="00645493">
        <w:rPr>
          <w:rFonts w:cstheme="minorHAnsi"/>
          <w:sz w:val="24"/>
          <w:szCs w:val="24"/>
        </w:rPr>
        <w:t>sufficient to justify such a policy choice.</w:t>
      </w:r>
      <w:r>
        <w:rPr>
          <w:sz w:val="24"/>
        </w:rPr>
        <w:t xml:space="preserve"> </w:t>
      </w:r>
      <w:r w:rsidRPr="000C7970">
        <w:rPr>
          <w:b/>
          <w:sz w:val="24"/>
        </w:rPr>
        <w:t xml:space="preserve"> Where a department has not, at consultation stage, clearly identified the existence of a problem the RPC reserves the right to issue a red opinion. </w:t>
      </w:r>
      <w:r>
        <w:rPr>
          <w:b/>
          <w:sz w:val="24"/>
        </w:rPr>
        <w:t xml:space="preserve"> </w:t>
      </w:r>
    </w:p>
    <w:p w:rsidR="0050231F" w:rsidRDefault="0050231F" w:rsidP="0050231F">
      <w:pPr>
        <w:spacing w:after="0"/>
        <w:rPr>
          <w:b/>
          <w:sz w:val="24"/>
        </w:rPr>
      </w:pPr>
    </w:p>
    <w:p w:rsidR="0050231F" w:rsidRDefault="0050231F" w:rsidP="0050231F">
      <w:pPr>
        <w:spacing w:after="0"/>
        <w:rPr>
          <w:b/>
          <w:color w:val="C00000"/>
          <w:sz w:val="24"/>
        </w:rPr>
      </w:pPr>
    </w:p>
    <w:p w:rsidR="0050231F" w:rsidRDefault="0050231F" w:rsidP="0050231F">
      <w:pPr>
        <w:spacing w:after="0"/>
        <w:rPr>
          <w:b/>
          <w:color w:val="C00000"/>
          <w:sz w:val="24"/>
        </w:rPr>
      </w:pPr>
    </w:p>
    <w:p w:rsidR="0050231F" w:rsidRPr="000C7970" w:rsidRDefault="0050231F" w:rsidP="0050231F">
      <w:pPr>
        <w:spacing w:after="0"/>
        <w:rPr>
          <w:b/>
          <w:color w:val="C00000"/>
          <w:sz w:val="24"/>
        </w:rPr>
      </w:pPr>
    </w:p>
    <w:p w:rsidR="0050231F" w:rsidRPr="005741B4" w:rsidRDefault="0050231F" w:rsidP="0050231F">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rPr>
          <w:rFonts w:ascii="Calibri" w:hAnsi="Calibri" w:cstheme="minorHAnsi"/>
          <w:b/>
          <w:sz w:val="24"/>
          <w:szCs w:val="24"/>
        </w:rPr>
      </w:pPr>
      <w:r w:rsidRPr="005741B4">
        <w:rPr>
          <w:rFonts w:ascii="Calibri" w:hAnsi="Calibri" w:cs="Arial"/>
          <w:b/>
          <w:sz w:val="24"/>
          <w:szCs w:val="24"/>
        </w:rPr>
        <w:lastRenderedPageBreak/>
        <w:t>Retrofitting components to HGVs to reduce vulnerable road user casualties</w:t>
      </w:r>
      <w:r w:rsidRPr="005741B4">
        <w:rPr>
          <w:rFonts w:ascii="Calibri" w:hAnsi="Calibri" w:cstheme="minorHAnsi"/>
          <w:b/>
          <w:sz w:val="24"/>
          <w:szCs w:val="24"/>
        </w:rPr>
        <w:t xml:space="preserve"> (Consultation Stage, Red) (RPC15-DfT-2327): </w:t>
      </w:r>
      <w:r w:rsidRPr="005741B4">
        <w:rPr>
          <w:rFonts w:ascii="Calibri" w:hAnsi="Calibri" w:cstheme="minorHAnsi"/>
          <w:sz w:val="24"/>
          <w:szCs w:val="24"/>
        </w:rPr>
        <w:t xml:space="preserve">The costs and benefits </w:t>
      </w:r>
      <w:r>
        <w:rPr>
          <w:rFonts w:ascii="Calibri" w:hAnsi="Calibri" w:cstheme="minorHAnsi"/>
          <w:sz w:val="24"/>
          <w:szCs w:val="24"/>
        </w:rPr>
        <w:t>were</w:t>
      </w:r>
      <w:r w:rsidRPr="005741B4">
        <w:rPr>
          <w:rFonts w:ascii="Calibri" w:hAnsi="Calibri" w:cstheme="minorHAnsi"/>
          <w:sz w:val="24"/>
          <w:szCs w:val="24"/>
        </w:rPr>
        <w:t xml:space="preserve"> set out </w:t>
      </w:r>
      <w:r>
        <w:rPr>
          <w:rFonts w:ascii="Calibri" w:hAnsi="Calibri" w:cstheme="minorHAnsi"/>
          <w:sz w:val="24"/>
          <w:szCs w:val="24"/>
        </w:rPr>
        <w:t xml:space="preserve">well, especially for a consultation stage IA. </w:t>
      </w:r>
      <w:r w:rsidRPr="005741B4">
        <w:rPr>
          <w:rFonts w:ascii="Calibri" w:hAnsi="Calibri" w:cstheme="minorHAnsi"/>
          <w:sz w:val="24"/>
          <w:szCs w:val="24"/>
        </w:rPr>
        <w:t xml:space="preserve"> However, th</w:t>
      </w:r>
      <w:r>
        <w:rPr>
          <w:rFonts w:ascii="Calibri" w:hAnsi="Calibri" w:cstheme="minorHAnsi"/>
          <w:sz w:val="24"/>
          <w:szCs w:val="24"/>
        </w:rPr>
        <w:t>is indicated that the costs of proposal</w:t>
      </w:r>
      <w:r w:rsidRPr="005741B4">
        <w:rPr>
          <w:rFonts w:ascii="Calibri" w:hAnsi="Calibri" w:cstheme="minorHAnsi"/>
          <w:sz w:val="24"/>
          <w:szCs w:val="24"/>
        </w:rPr>
        <w:t xml:space="preserve"> would </w:t>
      </w:r>
      <w:r>
        <w:rPr>
          <w:rFonts w:ascii="Calibri" w:hAnsi="Calibri" w:cstheme="minorHAnsi"/>
          <w:sz w:val="24"/>
          <w:szCs w:val="24"/>
        </w:rPr>
        <w:t>be greatly in excess of the benefits to society</w:t>
      </w:r>
      <w:r w:rsidRPr="005741B4">
        <w:rPr>
          <w:rFonts w:ascii="Calibri" w:hAnsi="Calibri" w:cstheme="minorHAnsi"/>
          <w:sz w:val="24"/>
          <w:szCs w:val="24"/>
        </w:rPr>
        <w:t>.  The IA recognise</w:t>
      </w:r>
      <w:r>
        <w:rPr>
          <w:rFonts w:ascii="Calibri" w:hAnsi="Calibri" w:cstheme="minorHAnsi"/>
          <w:sz w:val="24"/>
          <w:szCs w:val="24"/>
        </w:rPr>
        <w:t>d this b</w:t>
      </w:r>
      <w:r w:rsidRPr="005741B4">
        <w:rPr>
          <w:rFonts w:ascii="Calibri" w:hAnsi="Calibri" w:cstheme="minorHAnsi"/>
          <w:sz w:val="24"/>
          <w:szCs w:val="24"/>
        </w:rPr>
        <w:t>ut s</w:t>
      </w:r>
      <w:r>
        <w:rPr>
          <w:rFonts w:ascii="Calibri" w:hAnsi="Calibri" w:cstheme="minorHAnsi"/>
          <w:sz w:val="24"/>
          <w:szCs w:val="24"/>
        </w:rPr>
        <w:t>tated</w:t>
      </w:r>
      <w:r w:rsidRPr="005741B4">
        <w:rPr>
          <w:rFonts w:ascii="Calibri" w:hAnsi="Calibri" w:cstheme="minorHAnsi"/>
          <w:sz w:val="24"/>
          <w:szCs w:val="24"/>
        </w:rPr>
        <w:t xml:space="preserve"> </w:t>
      </w:r>
      <w:r>
        <w:rPr>
          <w:rFonts w:ascii="Calibri" w:hAnsi="Calibri" w:cstheme="minorHAnsi"/>
          <w:sz w:val="24"/>
          <w:szCs w:val="24"/>
        </w:rPr>
        <w:t>that the preferred option had</w:t>
      </w:r>
      <w:r w:rsidRPr="005741B4">
        <w:rPr>
          <w:rFonts w:ascii="Calibri" w:hAnsi="Calibri" w:cstheme="minorHAnsi"/>
          <w:sz w:val="24"/>
          <w:szCs w:val="24"/>
        </w:rPr>
        <w:t xml:space="preserve"> the </w:t>
      </w:r>
      <w:r>
        <w:rPr>
          <w:rFonts w:ascii="Calibri" w:hAnsi="Calibri" w:cstheme="minorHAnsi"/>
          <w:sz w:val="24"/>
          <w:szCs w:val="24"/>
        </w:rPr>
        <w:t>“</w:t>
      </w:r>
      <w:r w:rsidRPr="005741B4">
        <w:rPr>
          <w:rFonts w:ascii="Calibri" w:hAnsi="Calibri" w:cstheme="minorHAnsi"/>
          <w:sz w:val="24"/>
          <w:szCs w:val="24"/>
        </w:rPr>
        <w:t>potential to increase safety of vulnerable road users in line with Ministerial imperatives to increase road safety</w:t>
      </w:r>
      <w:r>
        <w:rPr>
          <w:rFonts w:ascii="Calibri" w:hAnsi="Calibri" w:cstheme="minorHAnsi"/>
          <w:sz w:val="24"/>
          <w:szCs w:val="24"/>
        </w:rPr>
        <w:t>”</w:t>
      </w:r>
      <w:r w:rsidRPr="005741B4">
        <w:rPr>
          <w:rFonts w:ascii="Calibri" w:hAnsi="Calibri" w:cstheme="minorHAnsi"/>
          <w:sz w:val="24"/>
          <w:szCs w:val="24"/>
        </w:rPr>
        <w:t>. The RPC does not comment on policy decisions, but consider</w:t>
      </w:r>
      <w:r>
        <w:rPr>
          <w:rFonts w:ascii="Calibri" w:hAnsi="Calibri" w:cstheme="minorHAnsi"/>
          <w:sz w:val="24"/>
          <w:szCs w:val="24"/>
        </w:rPr>
        <w:t>ed</w:t>
      </w:r>
      <w:r w:rsidRPr="005741B4">
        <w:rPr>
          <w:rFonts w:ascii="Calibri" w:hAnsi="Calibri" w:cstheme="minorHAnsi"/>
          <w:sz w:val="24"/>
          <w:szCs w:val="24"/>
        </w:rPr>
        <w:t xml:space="preserve"> </w:t>
      </w:r>
      <w:r>
        <w:rPr>
          <w:rFonts w:ascii="Calibri" w:hAnsi="Calibri" w:cstheme="minorHAnsi"/>
          <w:sz w:val="24"/>
          <w:szCs w:val="24"/>
        </w:rPr>
        <w:t xml:space="preserve">that </w:t>
      </w:r>
      <w:r w:rsidRPr="005741B4">
        <w:rPr>
          <w:rFonts w:ascii="Calibri" w:hAnsi="Calibri" w:cstheme="minorHAnsi"/>
          <w:sz w:val="24"/>
          <w:szCs w:val="24"/>
        </w:rPr>
        <w:t xml:space="preserve">on this occasion the Department has provided insufficient justification for choosing an option with such a large negative NPV. </w:t>
      </w:r>
    </w:p>
    <w:p w:rsidR="0050231F" w:rsidRDefault="0050231F" w:rsidP="0050231F">
      <w:pPr>
        <w:spacing w:after="0"/>
        <w:rPr>
          <w:sz w:val="24"/>
        </w:rPr>
      </w:pPr>
    </w:p>
    <w:p w:rsidR="0050231F" w:rsidRPr="00FE704D" w:rsidRDefault="0050231F" w:rsidP="0050231F">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rPr>
          <w:rFonts w:cstheme="minorHAnsi"/>
          <w:b/>
          <w:sz w:val="24"/>
          <w:szCs w:val="24"/>
        </w:rPr>
      </w:pPr>
      <w:r w:rsidRPr="00FE704D">
        <w:rPr>
          <w:rFonts w:cstheme="minorHAnsi"/>
          <w:b/>
          <w:sz w:val="24"/>
          <w:szCs w:val="24"/>
        </w:rPr>
        <w:t>Ballot thresholds in important public services (Consultation Stage, Red) (RPC15-BIS-2402)</w:t>
      </w:r>
      <w:r w:rsidRPr="00F34E6B">
        <w:rPr>
          <w:rFonts w:cstheme="minorHAnsi"/>
          <w:b/>
          <w:sz w:val="24"/>
          <w:szCs w:val="24"/>
        </w:rPr>
        <w:t xml:space="preserve">: </w:t>
      </w:r>
      <w:r>
        <w:rPr>
          <w:rFonts w:cstheme="minorHAnsi"/>
          <w:sz w:val="24"/>
          <w:szCs w:val="24"/>
        </w:rPr>
        <w:t xml:space="preserve">In this case </w:t>
      </w:r>
      <w:r>
        <w:rPr>
          <w:rFonts w:cstheme="minorHAnsi"/>
          <w:color w:val="000000"/>
          <w:sz w:val="24"/>
          <w:szCs w:val="24"/>
        </w:rPr>
        <w:t>t</w:t>
      </w:r>
      <w:r w:rsidRPr="00F34E6B">
        <w:rPr>
          <w:rFonts w:cstheme="minorHAnsi"/>
          <w:color w:val="000000"/>
          <w:sz w:val="24"/>
          <w:szCs w:val="24"/>
        </w:rPr>
        <w:t xml:space="preserve">he IA </w:t>
      </w:r>
      <w:r>
        <w:rPr>
          <w:rFonts w:cstheme="minorHAnsi"/>
          <w:color w:val="000000"/>
          <w:sz w:val="24"/>
          <w:szCs w:val="24"/>
        </w:rPr>
        <w:t>did</w:t>
      </w:r>
      <w:r w:rsidRPr="00F34E6B">
        <w:rPr>
          <w:rFonts w:cstheme="minorHAnsi"/>
          <w:color w:val="000000"/>
          <w:sz w:val="24"/>
          <w:szCs w:val="24"/>
        </w:rPr>
        <w:t xml:space="preserve"> not explain and present the rationale for the proposals in a straightforward and logical way. </w:t>
      </w:r>
      <w:r>
        <w:rPr>
          <w:rFonts w:cstheme="minorHAnsi"/>
          <w:color w:val="000000"/>
          <w:sz w:val="24"/>
          <w:szCs w:val="24"/>
        </w:rPr>
        <w:t>T</w:t>
      </w:r>
      <w:r w:rsidRPr="00F34E6B">
        <w:rPr>
          <w:rFonts w:cstheme="minorHAnsi"/>
          <w:color w:val="000000"/>
          <w:sz w:val="24"/>
          <w:szCs w:val="24"/>
        </w:rPr>
        <w:t xml:space="preserve">he RPC </w:t>
      </w:r>
      <w:r>
        <w:rPr>
          <w:rFonts w:cstheme="minorHAnsi"/>
          <w:color w:val="000000"/>
          <w:sz w:val="24"/>
          <w:szCs w:val="24"/>
        </w:rPr>
        <w:t>did</w:t>
      </w:r>
      <w:r w:rsidRPr="00F34E6B">
        <w:rPr>
          <w:rFonts w:cstheme="minorHAnsi"/>
          <w:color w:val="000000"/>
          <w:sz w:val="24"/>
          <w:szCs w:val="24"/>
        </w:rPr>
        <w:t xml:space="preserve"> not </w:t>
      </w:r>
      <w:r>
        <w:rPr>
          <w:rFonts w:cstheme="minorHAnsi"/>
          <w:color w:val="000000"/>
          <w:sz w:val="24"/>
          <w:szCs w:val="24"/>
        </w:rPr>
        <w:t>consider</w:t>
      </w:r>
      <w:r w:rsidRPr="00F34E6B">
        <w:rPr>
          <w:rFonts w:cstheme="minorHAnsi"/>
          <w:color w:val="000000"/>
          <w:sz w:val="24"/>
          <w:szCs w:val="24"/>
        </w:rPr>
        <w:t xml:space="preserve"> that </w:t>
      </w:r>
      <w:r>
        <w:rPr>
          <w:rFonts w:cstheme="minorHAnsi"/>
          <w:color w:val="000000"/>
          <w:sz w:val="24"/>
          <w:szCs w:val="24"/>
        </w:rPr>
        <w:t>the IA provided</w:t>
      </w:r>
      <w:r w:rsidRPr="00F34E6B">
        <w:rPr>
          <w:rFonts w:cstheme="minorHAnsi"/>
          <w:color w:val="000000"/>
          <w:sz w:val="24"/>
          <w:szCs w:val="24"/>
        </w:rPr>
        <w:t xml:space="preserve"> a clear enough basis for consultation. The Department’s description of the problem </w:t>
      </w:r>
      <w:r>
        <w:rPr>
          <w:rFonts w:cstheme="minorHAnsi"/>
          <w:color w:val="000000"/>
          <w:sz w:val="24"/>
          <w:szCs w:val="24"/>
        </w:rPr>
        <w:t>was</w:t>
      </w:r>
      <w:r w:rsidRPr="00F34E6B">
        <w:rPr>
          <w:rFonts w:cstheme="minorHAnsi"/>
          <w:color w:val="000000"/>
          <w:sz w:val="24"/>
          <w:szCs w:val="24"/>
        </w:rPr>
        <w:t xml:space="preserve"> extremel</w:t>
      </w:r>
      <w:r>
        <w:rPr>
          <w:rFonts w:cstheme="minorHAnsi"/>
          <w:color w:val="000000"/>
          <w:sz w:val="24"/>
          <w:szCs w:val="24"/>
        </w:rPr>
        <w:t>y limited and essentially relied</w:t>
      </w:r>
      <w:r w:rsidRPr="00F34E6B">
        <w:rPr>
          <w:rFonts w:cstheme="minorHAnsi"/>
          <w:color w:val="000000"/>
          <w:sz w:val="24"/>
          <w:szCs w:val="24"/>
        </w:rPr>
        <w:t xml:space="preserve"> on the statement that “important public services can have far reaching effects on significant numbers of ordinary people”. While that is clearly the case, the RPC expected more evidence/discussion on this point for a measure of this kind</w:t>
      </w:r>
      <w:r>
        <w:rPr>
          <w:rFonts w:cstheme="minorHAnsi"/>
          <w:color w:val="000000"/>
          <w:sz w:val="24"/>
          <w:szCs w:val="24"/>
        </w:rPr>
        <w:t>,</w:t>
      </w:r>
      <w:r w:rsidRPr="00F34E6B">
        <w:rPr>
          <w:rFonts w:cstheme="minorHAnsi"/>
          <w:color w:val="000000"/>
          <w:sz w:val="24"/>
          <w:szCs w:val="24"/>
        </w:rPr>
        <w:t xml:space="preserve"> e.g. better assessment of the costs and disruption caused, and its impact on the economy. The Department </w:t>
      </w:r>
      <w:r>
        <w:rPr>
          <w:rFonts w:cstheme="minorHAnsi"/>
          <w:color w:val="000000"/>
          <w:sz w:val="24"/>
          <w:szCs w:val="24"/>
        </w:rPr>
        <w:t>stated</w:t>
      </w:r>
      <w:r w:rsidRPr="00F34E6B">
        <w:rPr>
          <w:rFonts w:cstheme="minorHAnsi"/>
          <w:color w:val="000000"/>
          <w:sz w:val="24"/>
          <w:szCs w:val="24"/>
        </w:rPr>
        <w:t xml:space="preserve"> that industrial action can raise serious equity considerations and put the provision of public services at risk. </w:t>
      </w:r>
      <w:r>
        <w:rPr>
          <w:rFonts w:cstheme="minorHAnsi"/>
          <w:color w:val="000000"/>
          <w:sz w:val="24"/>
          <w:szCs w:val="24"/>
        </w:rPr>
        <w:t>In this instance, the RPC felt that the Department needed</w:t>
      </w:r>
      <w:r w:rsidRPr="00F34E6B">
        <w:rPr>
          <w:rFonts w:cstheme="minorHAnsi"/>
          <w:color w:val="000000"/>
          <w:sz w:val="24"/>
          <w:szCs w:val="24"/>
        </w:rPr>
        <w:t xml:space="preserve"> to provide further evidence on the existence and likely scale of this effect.  </w:t>
      </w:r>
      <w:r w:rsidRPr="00FE704D">
        <w:rPr>
          <w:rFonts w:cstheme="minorHAnsi"/>
          <w:sz w:val="24"/>
          <w:szCs w:val="24"/>
        </w:rPr>
        <w:t>(</w:t>
      </w:r>
      <w:hyperlink r:id="rId26" w:history="1">
        <w:r w:rsidRPr="00F34E6B">
          <w:rPr>
            <w:rFonts w:cstheme="minorHAnsi"/>
            <w:color w:val="0000FF" w:themeColor="hyperlink"/>
            <w:sz w:val="24"/>
            <w:szCs w:val="24"/>
            <w:u w:val="single"/>
          </w:rPr>
          <w:t>Opinion</w:t>
        </w:r>
      </w:hyperlink>
      <w:r w:rsidRPr="00FE704D">
        <w:rPr>
          <w:rFonts w:cstheme="minorHAnsi"/>
          <w:sz w:val="24"/>
          <w:szCs w:val="24"/>
        </w:rPr>
        <w:t>)</w:t>
      </w:r>
    </w:p>
    <w:p w:rsidR="0050231F" w:rsidRDefault="0050231F" w:rsidP="0050231F"/>
    <w:p w:rsidR="0050231F" w:rsidRPr="007E18CE" w:rsidRDefault="0050231F" w:rsidP="0050231F">
      <w:pPr>
        <w:rPr>
          <w:rFonts w:eastAsiaTheme="majorEastAsia" w:cstheme="minorHAnsi"/>
          <w:b/>
          <w:bCs/>
          <w:color w:val="984806" w:themeColor="accent6" w:themeShade="80"/>
          <w:sz w:val="28"/>
          <w:szCs w:val="28"/>
        </w:rPr>
      </w:pPr>
      <w:r>
        <w:rPr>
          <w:rFonts w:eastAsiaTheme="majorEastAsia" w:cstheme="minorHAnsi"/>
          <w:b/>
          <w:bCs/>
          <w:color w:val="984806" w:themeColor="accent6" w:themeShade="80"/>
          <w:sz w:val="28"/>
          <w:szCs w:val="28"/>
        </w:rPr>
        <w:t xml:space="preserve">1.2 </w:t>
      </w:r>
      <w:r w:rsidRPr="007E18CE">
        <w:rPr>
          <w:rFonts w:eastAsiaTheme="majorEastAsia" w:cstheme="minorHAnsi"/>
          <w:b/>
          <w:bCs/>
          <w:color w:val="984806" w:themeColor="accent6" w:themeShade="80"/>
          <w:sz w:val="28"/>
          <w:szCs w:val="28"/>
        </w:rPr>
        <w:t>Linking the options to the problem</w:t>
      </w:r>
    </w:p>
    <w:p w:rsidR="0050231F" w:rsidRPr="00461D5F" w:rsidRDefault="0050231F" w:rsidP="0050231F">
      <w:pPr>
        <w:spacing w:after="0"/>
        <w:rPr>
          <w:sz w:val="24"/>
          <w:szCs w:val="24"/>
        </w:rPr>
      </w:pPr>
      <w:r w:rsidRPr="00461D5F">
        <w:rPr>
          <w:sz w:val="24"/>
          <w:szCs w:val="24"/>
        </w:rPr>
        <w:t>Once the problem has been established the second question to answer is “</w:t>
      </w:r>
      <w:r w:rsidRPr="00461D5F">
        <w:rPr>
          <w:i/>
          <w:sz w:val="24"/>
          <w:szCs w:val="24"/>
        </w:rPr>
        <w:t>how does each of the proposed interventions address the problem?</w:t>
      </w:r>
      <w:r w:rsidRPr="00461D5F">
        <w:rPr>
          <w:sz w:val="24"/>
          <w:szCs w:val="24"/>
        </w:rPr>
        <w:t>”</w:t>
      </w:r>
    </w:p>
    <w:p w:rsidR="0050231F" w:rsidRPr="00461D5F" w:rsidRDefault="0050231F" w:rsidP="0050231F">
      <w:pPr>
        <w:spacing w:after="0"/>
        <w:rPr>
          <w:sz w:val="24"/>
          <w:szCs w:val="24"/>
        </w:rPr>
      </w:pPr>
    </w:p>
    <w:p w:rsidR="00D07CA0" w:rsidRDefault="0050231F" w:rsidP="0050231F">
      <w:pPr>
        <w:spacing w:after="0"/>
        <w:rPr>
          <w:sz w:val="24"/>
          <w:szCs w:val="24"/>
        </w:rPr>
      </w:pPr>
      <w:r>
        <w:rPr>
          <w:noProof/>
          <w:lang w:eastAsia="en-GB"/>
        </w:rPr>
        <mc:AlternateContent>
          <mc:Choice Requires="wps">
            <w:drawing>
              <wp:anchor distT="0" distB="0" distL="114300" distR="114300" simplePos="0" relativeHeight="251704320" behindDoc="0" locked="0" layoutInCell="1" allowOverlap="1" wp14:anchorId="044BC561" wp14:editId="69DFD162">
                <wp:simplePos x="0" y="0"/>
                <wp:positionH relativeFrom="column">
                  <wp:posOffset>-796290</wp:posOffset>
                </wp:positionH>
                <wp:positionV relativeFrom="paragraph">
                  <wp:posOffset>1047750</wp:posOffset>
                </wp:positionV>
                <wp:extent cx="643255" cy="44831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255" cy="448310"/>
                        </a:xfrm>
                        <a:prstGeom prst="rect">
                          <a:avLst/>
                        </a:prstGeom>
                        <a:noFill/>
                        <a:ln w="6350">
                          <a:noFill/>
                        </a:ln>
                        <a:effectLst/>
                      </wps:spPr>
                      <wps:txbx>
                        <w:txbxContent>
                          <w:p w:rsidR="00C90A59" w:rsidRPr="00ED65B4" w:rsidRDefault="00C90A59" w:rsidP="0050231F">
                            <w:pPr>
                              <w:pBdr>
                                <w:top w:val="single" w:sz="4" w:space="1" w:color="F79646" w:themeColor="accent6"/>
                                <w:bottom w:val="single" w:sz="4" w:space="1" w:color="F79646" w:themeColor="accent6"/>
                              </w:pBdr>
                              <w:spacing w:after="0"/>
                              <w:jc w:val="center"/>
                              <w:rPr>
                                <w:rFonts w:cstheme="minorHAnsi"/>
                                <w:i/>
                                <w:color w:val="E36C0A" w:themeColor="accent6" w:themeShade="BF"/>
                                <w:sz w:val="16"/>
                                <w:szCs w:val="16"/>
                              </w:rPr>
                            </w:pPr>
                            <w:r w:rsidRPr="00ED65B4">
                              <w:rPr>
                                <w:rFonts w:cstheme="minorHAnsi"/>
                                <w:b/>
                                <w:i/>
                                <w:color w:val="E36C0A" w:themeColor="accent6" w:themeShade="BF"/>
                                <w:sz w:val="16"/>
                                <w:szCs w:val="16"/>
                              </w:rPr>
                              <w:t>Potential red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62.7pt;margin-top:82.5pt;width:50.65pt;height:35.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HHpPgIAAH4EAAAOAAAAZHJzL2Uyb0RvYy54bWysVEtv2zAMvg/YfxB0X5yH07VGnCJrkWFA&#10;0BZIhp4VWYqNWaImKbGzXz9KttOg22nYRabEj8+P9OK+VTU5Cesq0DmdjMaUCM2hqPQhp99360+3&#10;lDjPdMFq0CKnZ+Ho/fLjh0VjMjGFEupCWIJOtMsak9PSe5MlieOlUMyNwAiNSglWMY9Xe0gKyxr0&#10;rupkOh7fJA3Ywljgwjl8feyUdBn9Sym4f5bSCU/qnGJuPp42nvtwJssFyw6WmbLifRrsH7JQrNIY&#10;9OLqkXlGjrb6w5WquAUH0o84qASkrLiINWA1k/G7arYlMyLWgs1x5tIm9//c8qfTiyVVkdM5JZop&#10;pGgnWk++QEvmoTuNcRmCtgZhvsVnZDlW6swG+A+HkOQK0xk4RIdutNKq8MU6CRoiAedL00MUjo83&#10;6Ww6x+AcVWl6O5tEUpI3Y2Od/ypAkSDk1CKnMQF22jgfwrNsgIRYGtZVXUdea00aDDCbj6PBRYMW&#10;tQ5YESekdxOq6BIPkm/3bexLOnRhD8UZm2ChGyJn+LrCjDbM+RdmcWqwPNwE/4yHrAEjQy9RUoL9&#10;9bf3gEcyUUtJg1OYU/fzyKygpP6mkea7SZqGsY2XdP55ihd7rdlfa/RRPQAO+gR3zvAoBryvB1Fa&#10;UK+4MKsQFVVMc4ydUz+ID77bDVw4LlarCMJBNcxv9NbwgfvQ7137yqzpSfHI5hMM88qyd9x02I6d&#10;1dGDrCJxoc9dV/shwiGPfPYLGbbo+h5Rb7+N5W8AAAD//wMAUEsDBBQABgAIAAAAIQBoIDJ54gAA&#10;AAwBAAAPAAAAZHJzL2Rvd25yZXYueG1sTI/LTsMwEEX3SPyDNUjsUiehCVWIU1UINkgIUSohdtPY&#10;xAE/gu224e8ZVrAc3aM757br2Rp2VCGO3gkoFjkw5XovRzcI2L3cZytgMaGTaLxTAr5VhHV3ftZi&#10;I/3JPavjNg2MSlxsUIBOaWo4j71WFuPCT8pR9u6DxURnGLgMeKJya3iZ5zW3ODr6oHFSt1r1n9uD&#10;FXC9epP6IzzMu9fHzZd+mri5Qy7E5cW8uQGW1Jz+YPjVJ3XoyGnvD05GZgRkRVktiaWkrmgVIVm5&#10;LIDtBZRXVQ28a/n/Ed0PAAAA//8DAFBLAQItABQABgAIAAAAIQC2gziS/gAAAOEBAAATAAAAAAAA&#10;AAAAAAAAAAAAAABbQ29udGVudF9UeXBlc10ueG1sUEsBAi0AFAAGAAgAAAAhADj9If/WAAAAlAEA&#10;AAsAAAAAAAAAAAAAAAAALwEAAF9yZWxzLy5yZWxzUEsBAi0AFAAGAAgAAAAhAK+ocek+AgAAfgQA&#10;AA4AAAAAAAAAAAAAAAAALgIAAGRycy9lMm9Eb2MueG1sUEsBAi0AFAAGAAgAAAAhAGggMnniAAAA&#10;DAEAAA8AAAAAAAAAAAAAAAAAmAQAAGRycy9kb3ducmV2LnhtbFBLBQYAAAAABAAEAPMAAACnBQAA&#10;AAA=&#10;" filled="f" stroked="f" strokeweight=".5pt">
                <v:path arrowok="t"/>
                <v:textbox>
                  <w:txbxContent>
                    <w:p w:rsidR="00C90A59" w:rsidRPr="00ED65B4" w:rsidRDefault="00C90A59" w:rsidP="0050231F">
                      <w:pPr>
                        <w:pBdr>
                          <w:top w:val="single" w:sz="4" w:space="1" w:color="F79646" w:themeColor="accent6"/>
                          <w:bottom w:val="single" w:sz="4" w:space="1" w:color="F79646" w:themeColor="accent6"/>
                        </w:pBdr>
                        <w:spacing w:after="0"/>
                        <w:jc w:val="center"/>
                        <w:rPr>
                          <w:rFonts w:cstheme="minorHAnsi"/>
                          <w:i/>
                          <w:color w:val="E36C0A" w:themeColor="accent6" w:themeShade="BF"/>
                          <w:sz w:val="16"/>
                          <w:szCs w:val="16"/>
                        </w:rPr>
                      </w:pPr>
                      <w:r w:rsidRPr="00ED65B4">
                        <w:rPr>
                          <w:rFonts w:cstheme="minorHAnsi"/>
                          <w:b/>
                          <w:i/>
                          <w:color w:val="E36C0A" w:themeColor="accent6" w:themeShade="BF"/>
                          <w:sz w:val="16"/>
                          <w:szCs w:val="16"/>
                        </w:rPr>
                        <w:t>Potential red point</w:t>
                      </w:r>
                    </w:p>
                  </w:txbxContent>
                </v:textbox>
                <w10:wrap type="square"/>
              </v:shape>
            </w:pict>
          </mc:Fallback>
        </mc:AlternateContent>
      </w:r>
      <w:r w:rsidR="00B253B2">
        <w:rPr>
          <w:b/>
          <w:sz w:val="24"/>
          <w:szCs w:val="24"/>
        </w:rPr>
        <w:t xml:space="preserve">The </w:t>
      </w:r>
      <w:r>
        <w:rPr>
          <w:b/>
          <w:sz w:val="24"/>
          <w:szCs w:val="24"/>
        </w:rPr>
        <w:t>RPC expects d</w:t>
      </w:r>
      <w:r w:rsidRPr="00EB767D">
        <w:rPr>
          <w:b/>
          <w:sz w:val="24"/>
          <w:szCs w:val="24"/>
        </w:rPr>
        <w:t xml:space="preserve">epartments </w:t>
      </w:r>
      <w:r>
        <w:rPr>
          <w:b/>
          <w:sz w:val="24"/>
          <w:szCs w:val="24"/>
        </w:rPr>
        <w:t xml:space="preserve">to </w:t>
      </w:r>
      <w:r w:rsidRPr="00EB767D">
        <w:rPr>
          <w:b/>
          <w:sz w:val="24"/>
          <w:szCs w:val="24"/>
        </w:rPr>
        <w:t>explain how, or how not, each of the options presented will provide a partial or complete solution to the problem(s) identified.</w:t>
      </w:r>
      <w:r>
        <w:rPr>
          <w:b/>
          <w:sz w:val="24"/>
          <w:szCs w:val="24"/>
        </w:rPr>
        <w:t xml:space="preserve">  </w:t>
      </w:r>
      <w:r w:rsidRPr="00D92A4C">
        <w:rPr>
          <w:sz w:val="24"/>
          <w:szCs w:val="24"/>
        </w:rPr>
        <w:t>This should involve discussing and comparing the twin priorities of achieving the objectives of the intervention, providing a solution to the problem, but also doing so in</w:t>
      </w:r>
      <w:r>
        <w:rPr>
          <w:sz w:val="24"/>
          <w:szCs w:val="24"/>
        </w:rPr>
        <w:t xml:space="preserve"> a way that limits the costs to </w:t>
      </w:r>
      <w:r w:rsidRPr="00D92A4C">
        <w:rPr>
          <w:sz w:val="24"/>
          <w:szCs w:val="24"/>
        </w:rPr>
        <w:t>business and civil society organisations</w:t>
      </w:r>
      <w:r>
        <w:rPr>
          <w:sz w:val="24"/>
          <w:szCs w:val="24"/>
        </w:rPr>
        <w:t xml:space="preserve"> </w:t>
      </w:r>
      <w:r w:rsidRPr="00D92A4C">
        <w:rPr>
          <w:sz w:val="24"/>
          <w:szCs w:val="24"/>
        </w:rPr>
        <w:t xml:space="preserve"> </w:t>
      </w:r>
      <w:r w:rsidRPr="00461D5F">
        <w:rPr>
          <w:sz w:val="24"/>
          <w:szCs w:val="24"/>
        </w:rPr>
        <w:t>as well as maximising any benefits.</w:t>
      </w:r>
      <w:r>
        <w:rPr>
          <w:sz w:val="24"/>
          <w:szCs w:val="24"/>
        </w:rPr>
        <w:t xml:space="preserve"> </w:t>
      </w:r>
      <w:r w:rsidRPr="000C7970">
        <w:rPr>
          <w:b/>
          <w:sz w:val="24"/>
          <w:szCs w:val="24"/>
        </w:rPr>
        <w:t>Where the link between the problem identified an</w:t>
      </w:r>
      <w:r w:rsidR="00B253B2">
        <w:rPr>
          <w:b/>
          <w:sz w:val="24"/>
          <w:szCs w:val="24"/>
        </w:rPr>
        <w:t>d the impacts of the options is</w:t>
      </w:r>
      <w:r w:rsidRPr="000C7970">
        <w:rPr>
          <w:b/>
          <w:sz w:val="24"/>
          <w:szCs w:val="24"/>
        </w:rPr>
        <w:t xml:space="preserve"> not clear</w:t>
      </w:r>
      <w:r>
        <w:rPr>
          <w:b/>
          <w:sz w:val="24"/>
          <w:szCs w:val="24"/>
        </w:rPr>
        <w:t>,</w:t>
      </w:r>
      <w:r w:rsidRPr="000C7970">
        <w:rPr>
          <w:b/>
          <w:sz w:val="24"/>
          <w:szCs w:val="24"/>
        </w:rPr>
        <w:t xml:space="preserve"> the RPC reserves the right to issue a not fit for purpose opinion at consultation stage.</w:t>
      </w:r>
      <w:r w:rsidRPr="00461D5F">
        <w:rPr>
          <w:sz w:val="24"/>
          <w:szCs w:val="24"/>
        </w:rPr>
        <w:t xml:space="preserve"> </w:t>
      </w:r>
    </w:p>
    <w:p w:rsidR="00D07CA0" w:rsidRDefault="00D07CA0" w:rsidP="0050231F">
      <w:pPr>
        <w:spacing w:after="0"/>
        <w:rPr>
          <w:sz w:val="24"/>
          <w:szCs w:val="24"/>
        </w:rPr>
      </w:pPr>
    </w:p>
    <w:p w:rsidR="00D07CA0" w:rsidRDefault="00D07CA0" w:rsidP="0050231F">
      <w:pPr>
        <w:spacing w:after="0"/>
        <w:rPr>
          <w:sz w:val="24"/>
          <w:szCs w:val="24"/>
        </w:rPr>
      </w:pPr>
    </w:p>
    <w:p w:rsidR="00D07CA0" w:rsidRDefault="00D07CA0" w:rsidP="0050231F">
      <w:pPr>
        <w:spacing w:after="0"/>
        <w:rPr>
          <w:sz w:val="24"/>
          <w:szCs w:val="24"/>
        </w:rPr>
      </w:pPr>
    </w:p>
    <w:p w:rsidR="00D07CA0" w:rsidRPr="00D07CA0" w:rsidRDefault="00D07CA0" w:rsidP="0050231F">
      <w:pPr>
        <w:spacing w:after="0"/>
        <w:rPr>
          <w:sz w:val="24"/>
          <w:szCs w:val="24"/>
        </w:rPr>
      </w:pPr>
    </w:p>
    <w:p w:rsidR="0050231F" w:rsidRDefault="0050231F" w:rsidP="0050231F">
      <w:pPr>
        <w:spacing w:after="0" w:line="240" w:lineRule="auto"/>
        <w:rPr>
          <w:sz w:val="24"/>
          <w:szCs w:val="24"/>
        </w:rPr>
      </w:pPr>
    </w:p>
    <w:p w:rsidR="0050231F" w:rsidRPr="00613BA3" w:rsidRDefault="0050231F" w:rsidP="0050231F">
      <w:pPr>
        <w:pBdr>
          <w:top w:val="single" w:sz="12" w:space="0" w:color="984806" w:themeColor="accent6" w:themeShade="80"/>
          <w:left w:val="single" w:sz="12" w:space="1" w:color="984806" w:themeColor="accent6" w:themeShade="80"/>
          <w:bottom w:val="single" w:sz="12" w:space="1" w:color="984806" w:themeColor="accent6" w:themeShade="80"/>
          <w:right w:val="single" w:sz="12" w:space="1" w:color="984806" w:themeColor="accent6" w:themeShade="80"/>
        </w:pBdr>
        <w:shd w:val="clear" w:color="auto" w:fill="FDE9D9" w:themeFill="accent6" w:themeFillTint="33"/>
        <w:rPr>
          <w:rFonts w:cstheme="minorHAnsi"/>
          <w:color w:val="000000" w:themeColor="text1"/>
          <w:sz w:val="24"/>
          <w:szCs w:val="24"/>
        </w:rPr>
      </w:pPr>
      <w:r w:rsidRPr="00D92A4C">
        <w:rPr>
          <w:rFonts w:cstheme="minorHAnsi"/>
          <w:b/>
          <w:color w:val="000000" w:themeColor="text1"/>
          <w:sz w:val="24"/>
          <w:szCs w:val="24"/>
        </w:rPr>
        <w:lastRenderedPageBreak/>
        <w:t>Gender pay gap</w:t>
      </w:r>
      <w:r>
        <w:rPr>
          <w:rFonts w:cstheme="minorHAnsi"/>
          <w:b/>
          <w:color w:val="000000" w:themeColor="text1"/>
          <w:sz w:val="24"/>
          <w:szCs w:val="24"/>
        </w:rPr>
        <w:t xml:space="preserve"> (Consultation Stage, Red</w:t>
      </w:r>
      <w:r w:rsidRPr="00D92A4C">
        <w:rPr>
          <w:rFonts w:cstheme="minorHAnsi"/>
          <w:b/>
          <w:color w:val="000000" w:themeColor="text1"/>
          <w:sz w:val="24"/>
          <w:szCs w:val="24"/>
        </w:rPr>
        <w:t>)</w:t>
      </w:r>
      <w:r>
        <w:rPr>
          <w:rFonts w:cstheme="minorHAnsi"/>
          <w:b/>
          <w:color w:val="000000" w:themeColor="text1"/>
          <w:sz w:val="24"/>
          <w:szCs w:val="24"/>
        </w:rPr>
        <w:t xml:space="preserve"> (RPC15-GEO-2384)</w:t>
      </w:r>
      <w:r w:rsidRPr="00D92A4C">
        <w:rPr>
          <w:rFonts w:cstheme="minorHAnsi"/>
          <w:b/>
          <w:color w:val="000000" w:themeColor="text1"/>
          <w:sz w:val="24"/>
          <w:szCs w:val="24"/>
        </w:rPr>
        <w:t>:</w:t>
      </w:r>
      <w:r>
        <w:rPr>
          <w:rFonts w:cstheme="minorHAnsi"/>
          <w:b/>
          <w:color w:val="000000" w:themeColor="text1"/>
          <w:sz w:val="24"/>
          <w:szCs w:val="24"/>
        </w:rPr>
        <w:t xml:space="preserve"> </w:t>
      </w:r>
      <w:r w:rsidRPr="00B46353">
        <w:rPr>
          <w:rFonts w:cstheme="minorHAnsi"/>
          <w:color w:val="000000" w:themeColor="text1"/>
          <w:sz w:val="24"/>
          <w:szCs w:val="24"/>
        </w:rPr>
        <w:t xml:space="preserve">the proposal </w:t>
      </w:r>
      <w:r>
        <w:rPr>
          <w:rFonts w:cstheme="minorHAnsi"/>
          <w:color w:val="000000" w:themeColor="text1"/>
          <w:sz w:val="24"/>
          <w:szCs w:val="24"/>
        </w:rPr>
        <w:t>wa</w:t>
      </w:r>
      <w:r w:rsidRPr="00B46353">
        <w:rPr>
          <w:rFonts w:cstheme="minorHAnsi"/>
          <w:color w:val="000000" w:themeColor="text1"/>
          <w:sz w:val="24"/>
          <w:szCs w:val="24"/>
        </w:rPr>
        <w:t xml:space="preserve">s </w:t>
      </w:r>
      <w:r>
        <w:rPr>
          <w:rFonts w:cstheme="minorHAnsi"/>
          <w:color w:val="000000" w:themeColor="text1"/>
          <w:sz w:val="24"/>
          <w:szCs w:val="24"/>
        </w:rPr>
        <w:t xml:space="preserve">to </w:t>
      </w:r>
      <w:r w:rsidRPr="00B46353">
        <w:rPr>
          <w:rFonts w:cstheme="minorHAnsi"/>
          <w:color w:val="000000" w:themeColor="text1"/>
          <w:sz w:val="24"/>
          <w:szCs w:val="24"/>
        </w:rPr>
        <w:t>consult on ways of introducing a requirement for business</w:t>
      </w:r>
      <w:r w:rsidR="00B253B2">
        <w:rPr>
          <w:rFonts w:cstheme="minorHAnsi"/>
          <w:color w:val="000000" w:themeColor="text1"/>
          <w:sz w:val="24"/>
          <w:szCs w:val="24"/>
        </w:rPr>
        <w:t>es</w:t>
      </w:r>
      <w:r w:rsidRPr="00B46353">
        <w:rPr>
          <w:rFonts w:cstheme="minorHAnsi"/>
          <w:color w:val="000000" w:themeColor="text1"/>
          <w:sz w:val="24"/>
          <w:szCs w:val="24"/>
        </w:rPr>
        <w:t xml:space="preserve"> with more than 250 employees to report on their </w:t>
      </w:r>
      <w:r>
        <w:rPr>
          <w:rFonts w:cstheme="minorHAnsi"/>
          <w:color w:val="000000" w:themeColor="text1"/>
          <w:sz w:val="24"/>
          <w:szCs w:val="24"/>
        </w:rPr>
        <w:t>‘</w:t>
      </w:r>
      <w:r w:rsidRPr="00B46353">
        <w:rPr>
          <w:rFonts w:cstheme="minorHAnsi"/>
          <w:color w:val="000000" w:themeColor="text1"/>
          <w:sz w:val="24"/>
          <w:szCs w:val="24"/>
        </w:rPr>
        <w:t>gender pay gap</w:t>
      </w:r>
      <w:r>
        <w:rPr>
          <w:rFonts w:cstheme="minorHAnsi"/>
          <w:color w:val="000000" w:themeColor="text1"/>
          <w:sz w:val="24"/>
          <w:szCs w:val="24"/>
        </w:rPr>
        <w:t>’</w:t>
      </w:r>
      <w:r w:rsidRPr="00B46353">
        <w:rPr>
          <w:rFonts w:cstheme="minorHAnsi"/>
          <w:color w:val="000000" w:themeColor="text1"/>
          <w:sz w:val="24"/>
          <w:szCs w:val="24"/>
        </w:rPr>
        <w:t xml:space="preserve">. The Department, in its initial submission, explained that the gender pay gap can be explained by a variety of factors, has </w:t>
      </w:r>
      <w:r>
        <w:rPr>
          <w:rFonts w:cstheme="minorHAnsi"/>
          <w:color w:val="000000" w:themeColor="text1"/>
          <w:sz w:val="24"/>
          <w:szCs w:val="24"/>
        </w:rPr>
        <w:t>reduced</w:t>
      </w:r>
      <w:r w:rsidRPr="00B46353">
        <w:rPr>
          <w:rFonts w:cstheme="minorHAnsi"/>
          <w:color w:val="000000" w:themeColor="text1"/>
          <w:sz w:val="24"/>
          <w:szCs w:val="24"/>
        </w:rPr>
        <w:t xml:space="preserve"> over time and is zero/negative for people below the age of 39. The initial submission did not explain sufficiently why introducing a requirement to report on pay </w:t>
      </w:r>
      <w:r>
        <w:rPr>
          <w:rFonts w:cstheme="minorHAnsi"/>
          <w:color w:val="000000" w:themeColor="text1"/>
          <w:sz w:val="24"/>
          <w:szCs w:val="24"/>
        </w:rPr>
        <w:t>by gender</w:t>
      </w:r>
      <w:r w:rsidRPr="00B46353">
        <w:rPr>
          <w:rFonts w:cstheme="minorHAnsi"/>
          <w:color w:val="000000" w:themeColor="text1"/>
          <w:sz w:val="24"/>
          <w:szCs w:val="24"/>
        </w:rPr>
        <w:t xml:space="preserve"> could lead to an increase in the speed of the reduction of </w:t>
      </w:r>
      <w:r>
        <w:rPr>
          <w:rFonts w:cstheme="minorHAnsi"/>
          <w:color w:val="000000" w:themeColor="text1"/>
          <w:sz w:val="24"/>
          <w:szCs w:val="24"/>
        </w:rPr>
        <w:t>any</w:t>
      </w:r>
      <w:r w:rsidRPr="00B46353">
        <w:rPr>
          <w:rFonts w:cstheme="minorHAnsi"/>
          <w:color w:val="000000" w:themeColor="text1"/>
          <w:sz w:val="24"/>
          <w:szCs w:val="24"/>
        </w:rPr>
        <w:t xml:space="preserve"> pay gap. In a later submission, the Department explained that the intrinsic aim of the policy was to make businesses reflect on internal factors that might contribute towards a pay gap. The reporting requirement was mainly a tool to ensure that businesses are actually undergoing such a review of their internal practices. The later submission received a ‘green’ rating by the RPC.</w:t>
      </w:r>
    </w:p>
    <w:p w:rsidR="0050231F" w:rsidRDefault="0050231F" w:rsidP="0050231F">
      <w:pPr>
        <w:spacing w:after="0"/>
        <w:rPr>
          <w:sz w:val="24"/>
          <w:szCs w:val="24"/>
        </w:rPr>
      </w:pPr>
    </w:p>
    <w:p w:rsidR="0050231F" w:rsidRPr="00F9261A" w:rsidRDefault="0050231F" w:rsidP="0050231F">
      <w:pPr>
        <w:spacing w:after="0"/>
        <w:rPr>
          <w:rFonts w:cstheme="minorHAnsi"/>
          <w:sz w:val="24"/>
          <w:szCs w:val="24"/>
        </w:rPr>
      </w:pPr>
      <w:r>
        <w:rPr>
          <w:rFonts w:cstheme="minorHAnsi"/>
          <w:sz w:val="24"/>
          <w:szCs w:val="24"/>
        </w:rPr>
        <w:t xml:space="preserve">The RPC looks for a clear statement in </w:t>
      </w:r>
      <w:r w:rsidRPr="00F9261A">
        <w:rPr>
          <w:rFonts w:cstheme="minorHAnsi"/>
          <w:sz w:val="24"/>
          <w:szCs w:val="24"/>
        </w:rPr>
        <w:t>the IA</w:t>
      </w:r>
      <w:r w:rsidRPr="00461D5F">
        <w:rPr>
          <w:rFonts w:cstheme="minorHAnsi"/>
          <w:sz w:val="24"/>
          <w:szCs w:val="24"/>
        </w:rPr>
        <w:t xml:space="preserve"> </w:t>
      </w:r>
      <w:r w:rsidR="00B253B2">
        <w:rPr>
          <w:rFonts w:cstheme="minorHAnsi"/>
          <w:sz w:val="24"/>
          <w:szCs w:val="24"/>
        </w:rPr>
        <w:t>on</w:t>
      </w:r>
      <w:r>
        <w:rPr>
          <w:rFonts w:cstheme="minorHAnsi"/>
          <w:sz w:val="24"/>
          <w:szCs w:val="24"/>
        </w:rPr>
        <w:t xml:space="preserve"> </w:t>
      </w:r>
      <w:r w:rsidRPr="00461D5F">
        <w:rPr>
          <w:rFonts w:cstheme="minorHAnsi"/>
          <w:sz w:val="24"/>
          <w:szCs w:val="24"/>
        </w:rPr>
        <w:t>which of the options discussed is preferred or being taken forward</w:t>
      </w:r>
      <w:r>
        <w:rPr>
          <w:rFonts w:cstheme="minorHAnsi"/>
          <w:sz w:val="24"/>
          <w:szCs w:val="24"/>
        </w:rPr>
        <w:t>,</w:t>
      </w:r>
      <w:r w:rsidRPr="00461D5F">
        <w:rPr>
          <w:rFonts w:cstheme="minorHAnsi"/>
          <w:sz w:val="24"/>
          <w:szCs w:val="24"/>
        </w:rPr>
        <w:t xml:space="preserve"> and a </w:t>
      </w:r>
      <w:r w:rsidRPr="00F9261A">
        <w:rPr>
          <w:rFonts w:cstheme="minorHAnsi"/>
          <w:sz w:val="24"/>
          <w:szCs w:val="24"/>
        </w:rPr>
        <w:t xml:space="preserve">clear </w:t>
      </w:r>
      <w:r w:rsidRPr="00461D5F">
        <w:rPr>
          <w:rFonts w:cstheme="minorHAnsi"/>
          <w:sz w:val="24"/>
          <w:szCs w:val="24"/>
        </w:rPr>
        <w:t>justification for this</w:t>
      </w:r>
      <w:r w:rsidRPr="00F9261A">
        <w:rPr>
          <w:rFonts w:cstheme="minorHAnsi"/>
          <w:sz w:val="24"/>
          <w:szCs w:val="24"/>
        </w:rPr>
        <w:t xml:space="preserve"> choice</w:t>
      </w:r>
      <w:r w:rsidRPr="00461D5F">
        <w:rPr>
          <w:rFonts w:cstheme="minorHAnsi"/>
          <w:sz w:val="24"/>
          <w:szCs w:val="24"/>
        </w:rPr>
        <w:t xml:space="preserve">. </w:t>
      </w:r>
      <w:r w:rsidRPr="00461D5F">
        <w:rPr>
          <w:rFonts w:cstheme="minorHAnsi"/>
          <w:b/>
          <w:sz w:val="24"/>
          <w:szCs w:val="24"/>
        </w:rPr>
        <w:t>In most instances</w:t>
      </w:r>
      <w:r>
        <w:rPr>
          <w:rFonts w:cstheme="minorHAnsi"/>
          <w:b/>
          <w:sz w:val="24"/>
          <w:szCs w:val="24"/>
        </w:rPr>
        <w:t>,</w:t>
      </w:r>
      <w:r w:rsidRPr="00461D5F">
        <w:rPr>
          <w:rFonts w:cstheme="minorHAnsi"/>
          <w:b/>
          <w:sz w:val="24"/>
          <w:szCs w:val="24"/>
        </w:rPr>
        <w:t xml:space="preserve"> this will be on the basis that the appraisal suggest</w:t>
      </w:r>
      <w:r>
        <w:rPr>
          <w:rFonts w:cstheme="minorHAnsi"/>
          <w:b/>
          <w:sz w:val="24"/>
          <w:szCs w:val="24"/>
        </w:rPr>
        <w:t>s that</w:t>
      </w:r>
      <w:r w:rsidRPr="00461D5F">
        <w:rPr>
          <w:rFonts w:cstheme="minorHAnsi"/>
          <w:b/>
          <w:sz w:val="24"/>
          <w:szCs w:val="24"/>
        </w:rPr>
        <w:t xml:space="preserve"> </w:t>
      </w:r>
      <w:r w:rsidRPr="00F9261A">
        <w:rPr>
          <w:rFonts w:cstheme="minorHAnsi"/>
          <w:b/>
          <w:sz w:val="24"/>
          <w:szCs w:val="24"/>
        </w:rPr>
        <w:t xml:space="preserve">such </w:t>
      </w:r>
      <w:r>
        <w:rPr>
          <w:rFonts w:cstheme="minorHAnsi"/>
          <w:b/>
          <w:sz w:val="24"/>
          <w:szCs w:val="24"/>
        </w:rPr>
        <w:t xml:space="preserve">an </w:t>
      </w:r>
      <w:r w:rsidRPr="00F9261A">
        <w:rPr>
          <w:rFonts w:cstheme="minorHAnsi"/>
          <w:b/>
          <w:sz w:val="24"/>
          <w:szCs w:val="24"/>
        </w:rPr>
        <w:t>option is likely to</w:t>
      </w:r>
      <w:r w:rsidRPr="00461D5F">
        <w:rPr>
          <w:rFonts w:cstheme="minorHAnsi"/>
          <w:b/>
          <w:sz w:val="24"/>
          <w:szCs w:val="24"/>
        </w:rPr>
        <w:t xml:space="preserve"> be </w:t>
      </w:r>
      <w:r>
        <w:rPr>
          <w:rFonts w:cstheme="minorHAnsi"/>
          <w:b/>
          <w:sz w:val="24"/>
          <w:szCs w:val="24"/>
        </w:rPr>
        <w:t xml:space="preserve">the one </w:t>
      </w:r>
      <w:r w:rsidRPr="00F9261A">
        <w:rPr>
          <w:rFonts w:cstheme="minorHAnsi"/>
          <w:b/>
          <w:sz w:val="24"/>
          <w:szCs w:val="24"/>
        </w:rPr>
        <w:t>with the highest net present value (NPV)</w:t>
      </w:r>
      <w:r>
        <w:rPr>
          <w:rFonts w:cstheme="minorHAnsi"/>
          <w:b/>
          <w:sz w:val="24"/>
          <w:szCs w:val="24"/>
        </w:rPr>
        <w:t xml:space="preserve">, </w:t>
      </w:r>
      <w:proofErr w:type="spellStart"/>
      <w:r>
        <w:rPr>
          <w:rFonts w:cstheme="minorHAnsi"/>
          <w:b/>
          <w:sz w:val="24"/>
          <w:szCs w:val="24"/>
        </w:rPr>
        <w:t>ie</w:t>
      </w:r>
      <w:proofErr w:type="spellEnd"/>
      <w:r>
        <w:rPr>
          <w:rFonts w:cstheme="minorHAnsi"/>
          <w:b/>
          <w:sz w:val="24"/>
          <w:szCs w:val="24"/>
        </w:rPr>
        <w:t xml:space="preserve"> </w:t>
      </w:r>
      <w:r w:rsidRPr="00461D5F">
        <w:rPr>
          <w:rFonts w:cstheme="minorHAnsi"/>
          <w:b/>
          <w:sz w:val="24"/>
          <w:szCs w:val="24"/>
        </w:rPr>
        <w:t>the most net beneficial or least net costly to society</w:t>
      </w:r>
      <w:r w:rsidRPr="00F9261A">
        <w:rPr>
          <w:rFonts w:cstheme="minorHAnsi"/>
          <w:b/>
          <w:sz w:val="24"/>
          <w:szCs w:val="24"/>
        </w:rPr>
        <w:t xml:space="preserve"> as a whole</w:t>
      </w:r>
      <w:r>
        <w:rPr>
          <w:rFonts w:cstheme="minorHAnsi"/>
          <w:b/>
          <w:sz w:val="24"/>
          <w:szCs w:val="24"/>
        </w:rPr>
        <w:t>.</w:t>
      </w:r>
    </w:p>
    <w:p w:rsidR="0050231F" w:rsidRPr="00F9261A" w:rsidRDefault="0050231F" w:rsidP="0050231F">
      <w:pPr>
        <w:spacing w:after="0"/>
        <w:rPr>
          <w:rFonts w:cstheme="minorHAnsi"/>
          <w:sz w:val="24"/>
          <w:szCs w:val="24"/>
        </w:rPr>
      </w:pPr>
    </w:p>
    <w:p w:rsidR="0050231F" w:rsidRPr="00F9261A" w:rsidRDefault="0050231F" w:rsidP="0050231F">
      <w:pPr>
        <w:spacing w:after="0"/>
        <w:rPr>
          <w:rFonts w:cstheme="minorHAnsi"/>
          <w:b/>
          <w:sz w:val="24"/>
          <w:szCs w:val="24"/>
        </w:rPr>
      </w:pPr>
      <w:r>
        <w:rPr>
          <w:rFonts w:cstheme="minorHAnsi"/>
          <w:sz w:val="24"/>
          <w:szCs w:val="24"/>
        </w:rPr>
        <w:t>The RPC also recognises that there will be cases where departments can justify recommending a policy option that does not necessarily have</w:t>
      </w:r>
      <w:r w:rsidRPr="00F9261A">
        <w:rPr>
          <w:rFonts w:cstheme="minorHAnsi"/>
          <w:sz w:val="24"/>
          <w:szCs w:val="24"/>
        </w:rPr>
        <w:t xml:space="preserve"> the highest NPV</w:t>
      </w:r>
      <w:r>
        <w:rPr>
          <w:rFonts w:cstheme="minorHAnsi"/>
          <w:sz w:val="24"/>
          <w:szCs w:val="24"/>
        </w:rPr>
        <w:t>. For example, this could be the case</w:t>
      </w:r>
      <w:r w:rsidRPr="00F9261A">
        <w:rPr>
          <w:rFonts w:cstheme="minorHAnsi"/>
          <w:sz w:val="24"/>
          <w:szCs w:val="24"/>
        </w:rPr>
        <w:t xml:space="preserve"> when the existence and scale of non-monetised benefits can be </w:t>
      </w:r>
      <w:r>
        <w:rPr>
          <w:rFonts w:cstheme="minorHAnsi"/>
          <w:sz w:val="24"/>
          <w:szCs w:val="24"/>
        </w:rPr>
        <w:t xml:space="preserve">clearly </w:t>
      </w:r>
      <w:r w:rsidRPr="00F9261A">
        <w:rPr>
          <w:rFonts w:cstheme="minorHAnsi"/>
          <w:sz w:val="24"/>
          <w:szCs w:val="24"/>
        </w:rPr>
        <w:t>demonstrated.</w:t>
      </w:r>
    </w:p>
    <w:p w:rsidR="0050231F" w:rsidRPr="00F9261A" w:rsidRDefault="0050231F" w:rsidP="0050231F">
      <w:pPr>
        <w:spacing w:after="0"/>
        <w:rPr>
          <w:rFonts w:cstheme="minorHAnsi"/>
          <w:sz w:val="24"/>
          <w:szCs w:val="24"/>
        </w:rPr>
      </w:pPr>
    </w:p>
    <w:p w:rsidR="0050231F" w:rsidRDefault="0050231F" w:rsidP="0050231F">
      <w:pPr>
        <w:spacing w:after="0"/>
        <w:rPr>
          <w:rFonts w:cstheme="minorHAnsi"/>
          <w:sz w:val="24"/>
          <w:szCs w:val="24"/>
        </w:rPr>
      </w:pPr>
      <w:r>
        <w:rPr>
          <w:noProof/>
          <w:lang w:eastAsia="en-GB"/>
        </w:rPr>
        <mc:AlternateContent>
          <mc:Choice Requires="wps">
            <w:drawing>
              <wp:anchor distT="0" distB="0" distL="114300" distR="114300" simplePos="0" relativeHeight="251705344" behindDoc="0" locked="0" layoutInCell="1" allowOverlap="1" wp14:anchorId="4A7090D1" wp14:editId="5B707133">
                <wp:simplePos x="0" y="0"/>
                <wp:positionH relativeFrom="column">
                  <wp:posOffset>5902325</wp:posOffset>
                </wp:positionH>
                <wp:positionV relativeFrom="paragraph">
                  <wp:posOffset>118745</wp:posOffset>
                </wp:positionV>
                <wp:extent cx="683895" cy="44831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895" cy="448310"/>
                        </a:xfrm>
                        <a:prstGeom prst="rect">
                          <a:avLst/>
                        </a:prstGeom>
                        <a:noFill/>
                        <a:ln w="6350">
                          <a:noFill/>
                        </a:ln>
                        <a:effectLst/>
                      </wps:spPr>
                      <wps:txbx>
                        <w:txbxContent>
                          <w:p w:rsidR="00C90A59" w:rsidRPr="00F3504F" w:rsidRDefault="00C90A59" w:rsidP="0050231F">
                            <w:pPr>
                              <w:pBdr>
                                <w:top w:val="single" w:sz="4" w:space="1" w:color="FABF8F" w:themeColor="accent6" w:themeTint="99"/>
                                <w:bottom w:val="single" w:sz="4" w:space="1" w:color="FABF8F" w:themeColor="accent6" w:themeTint="99"/>
                              </w:pBdr>
                              <w:spacing w:after="0"/>
                              <w:jc w:val="center"/>
                              <w:rPr>
                                <w:rFonts w:cstheme="minorHAnsi"/>
                                <w:i/>
                                <w:color w:val="E36C0A" w:themeColor="accent6" w:themeShade="BF"/>
                                <w:sz w:val="16"/>
                                <w:szCs w:val="16"/>
                              </w:rPr>
                            </w:pPr>
                            <w:r w:rsidRPr="00F3504F">
                              <w:rPr>
                                <w:rFonts w:cstheme="minorHAnsi"/>
                                <w:b/>
                                <w:i/>
                                <w:color w:val="E36C0A" w:themeColor="accent6" w:themeShade="BF"/>
                                <w:sz w:val="16"/>
                                <w:szCs w:val="16"/>
                              </w:rPr>
                              <w:t>Potential red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464.75pt;margin-top:9.35pt;width:53.85pt;height:35.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tPgIAAH4EAAAOAAAAZHJzL2Uyb0RvYy54bWysVEtv2zAMvg/YfxB0X5z3UiNOkbXIMCBo&#10;CyRDz4osx8YkUZOU2NmvHyXbadDtNOwiU+LH50d6ed8oSc7Cugp0RkeDISVCc8grfczo9/3m04IS&#10;55nOmQQtMnoRjt6vPn5Y1iYVYyhB5sISdKJdWpuMlt6bNEkcL4VibgBGaFQWYBXzeLXHJLesRu9K&#10;JuPhcJ7UYHNjgQvn8PWxVdJV9F8UgvvnonDCE5lRzM3H08bzEM5ktWTp0TJTVrxLg/1DFopVGoNe&#10;XT0yz8jJVn+4UhW34KDwAw4qgaKouIg1YDWj4btqdiUzItaCzXHm2ib3/9zyp/OLJVWe0Tklmimk&#10;aC8aT75AQ+ahO7VxKYJ2BmG+wWdkOVbqzBb4D4eQ5AbTGjhEh240hVXhi3USNEQCLtemhygcH+eL&#10;yeJuRglH1XS6mIwiKcmbsbHOfxWgSBAyapHTmAA7b50P4VnaQ0IsDZtKysir1KTGAJPZMBpcNWgh&#10;dcCKOCGdm1BFm3iQfHNoYl9mfRcOkF+wCRbaIXKGbyrMaMucf2EWpwbLw03wz3gUEjAydBIlJdhf&#10;f3sPeCQTtZTUOIUZdT9PzApK5DeNNN+NptMwtvEynX0e48Xeag63Gn1SD4CDPsKdMzyKAe9lLxYW&#10;1CsuzDpERRXTHGNn1Pfig293AxeOi/U6gnBQDfNbvTO85z70e9+8Mms6Ujyy+QT9vLL0HTcttmVn&#10;ffJQVJG40Oe2q90Q4ZBHPruFDFt0e4+ot9/G6jcAAAD//wMAUEsDBBQABgAIAAAAIQDs8NQ34AAA&#10;AAoBAAAPAAAAZHJzL2Rvd25yZXYueG1sTI/LTsMwEEX3SPyDNUjsqEMqyKNxqgrBBgmhlkqoOzce&#10;4oA9Drbbhr/HXcFydI/uPdMsJ2vYEX0YHAm4nWXAkDqnBuoFbN+ebkpgIUpS0jhCAT8YYNleXjSy&#10;Vu5EazxuYs9SCYVaCtAxjjXnodNoZZi5ESllH85bGdPpe668PKVya3ieZffcyoHSgpYjPmjsvjYH&#10;K6Aod0p/+udp+/6y+tavIzePkgtxfTWtFsAiTvEPhrN+Uoc2Oe3dgVRgRkCVV3cJTUFZADsD2bzI&#10;ge0FlNUceNvw/y+0vwAAAP//AwBQSwECLQAUAAYACAAAACEAtoM4kv4AAADhAQAAEwAAAAAAAAAA&#10;AAAAAAAAAAAAW0NvbnRlbnRfVHlwZXNdLnhtbFBLAQItABQABgAIAAAAIQA4/SH/1gAAAJQBAAAL&#10;AAAAAAAAAAAAAAAAAC8BAABfcmVscy8ucmVsc1BLAQItABQABgAIAAAAIQBr+WgtPgIAAH4EAAAO&#10;AAAAAAAAAAAAAAAAAC4CAABkcnMvZTJvRG9jLnhtbFBLAQItABQABgAIAAAAIQDs8NQ34AAAAAoB&#10;AAAPAAAAAAAAAAAAAAAAAJgEAABkcnMvZG93bnJldi54bWxQSwUGAAAAAAQABADzAAAApQUAAAAA&#10;" filled="f" stroked="f" strokeweight=".5pt">
                <v:path arrowok="t"/>
                <v:textbox>
                  <w:txbxContent>
                    <w:p w:rsidR="00C90A59" w:rsidRPr="00F3504F" w:rsidRDefault="00C90A59" w:rsidP="0050231F">
                      <w:pPr>
                        <w:pBdr>
                          <w:top w:val="single" w:sz="4" w:space="1" w:color="FABF8F" w:themeColor="accent6" w:themeTint="99"/>
                          <w:bottom w:val="single" w:sz="4" w:space="1" w:color="FABF8F" w:themeColor="accent6" w:themeTint="99"/>
                        </w:pBdr>
                        <w:spacing w:after="0"/>
                        <w:jc w:val="center"/>
                        <w:rPr>
                          <w:rFonts w:cstheme="minorHAnsi"/>
                          <w:i/>
                          <w:color w:val="E36C0A" w:themeColor="accent6" w:themeShade="BF"/>
                          <w:sz w:val="16"/>
                          <w:szCs w:val="16"/>
                        </w:rPr>
                      </w:pPr>
                      <w:r w:rsidRPr="00F3504F">
                        <w:rPr>
                          <w:rFonts w:cstheme="minorHAnsi"/>
                          <w:b/>
                          <w:i/>
                          <w:color w:val="E36C0A" w:themeColor="accent6" w:themeShade="BF"/>
                          <w:sz w:val="16"/>
                          <w:szCs w:val="16"/>
                        </w:rPr>
                        <w:t>Potential red point</w:t>
                      </w:r>
                    </w:p>
                  </w:txbxContent>
                </v:textbox>
                <w10:wrap type="square"/>
              </v:shape>
            </w:pict>
          </mc:Fallback>
        </mc:AlternateContent>
      </w:r>
      <w:r w:rsidRPr="00F9261A">
        <w:rPr>
          <w:rFonts w:cstheme="minorHAnsi"/>
          <w:sz w:val="24"/>
          <w:szCs w:val="24"/>
        </w:rPr>
        <w:t xml:space="preserve">However, </w:t>
      </w:r>
      <w:r>
        <w:rPr>
          <w:rFonts w:cstheme="minorHAnsi"/>
          <w:sz w:val="24"/>
          <w:szCs w:val="24"/>
        </w:rPr>
        <w:t xml:space="preserve">as mentioned earlier, </w:t>
      </w:r>
      <w:r w:rsidRPr="00F9261A">
        <w:rPr>
          <w:rFonts w:cstheme="minorHAnsi"/>
          <w:sz w:val="24"/>
          <w:szCs w:val="24"/>
        </w:rPr>
        <w:t xml:space="preserve">departments should </w:t>
      </w:r>
      <w:r>
        <w:rPr>
          <w:rFonts w:cstheme="minorHAnsi"/>
          <w:sz w:val="24"/>
          <w:szCs w:val="24"/>
        </w:rPr>
        <w:t>remember</w:t>
      </w:r>
      <w:r w:rsidRPr="00F9261A">
        <w:rPr>
          <w:rFonts w:cstheme="minorHAnsi"/>
          <w:sz w:val="24"/>
          <w:szCs w:val="24"/>
        </w:rPr>
        <w:t xml:space="preserve"> that </w:t>
      </w:r>
      <w:r>
        <w:rPr>
          <w:rFonts w:cstheme="minorHAnsi"/>
          <w:sz w:val="24"/>
          <w:szCs w:val="24"/>
        </w:rPr>
        <w:t>a</w:t>
      </w:r>
      <w:r w:rsidRPr="00461D5F">
        <w:rPr>
          <w:rFonts w:cstheme="minorHAnsi"/>
          <w:sz w:val="24"/>
          <w:szCs w:val="24"/>
        </w:rPr>
        <w:t>ppealing to ministerial priorities is not, on its own, a sufficient justification for choosing a policy option not supported by the appraisal</w:t>
      </w:r>
      <w:r w:rsidRPr="00F9261A">
        <w:rPr>
          <w:rFonts w:cstheme="minorHAnsi"/>
          <w:sz w:val="24"/>
          <w:szCs w:val="24"/>
        </w:rPr>
        <w:t xml:space="preserve"> and evidence</w:t>
      </w:r>
      <w:r>
        <w:rPr>
          <w:rFonts w:cstheme="minorHAnsi"/>
          <w:sz w:val="24"/>
          <w:szCs w:val="24"/>
        </w:rPr>
        <w:t>,</w:t>
      </w:r>
      <w:r w:rsidR="00B253B2">
        <w:rPr>
          <w:rFonts w:cstheme="minorHAnsi"/>
          <w:sz w:val="24"/>
          <w:szCs w:val="24"/>
        </w:rPr>
        <w:t xml:space="preserve"> and hence could </w:t>
      </w:r>
      <w:r w:rsidRPr="00F9261A">
        <w:rPr>
          <w:rFonts w:cstheme="minorHAnsi"/>
          <w:sz w:val="24"/>
          <w:szCs w:val="24"/>
        </w:rPr>
        <w:t xml:space="preserve">result in a </w:t>
      </w:r>
      <w:r w:rsidR="00B253B2">
        <w:rPr>
          <w:rFonts w:cstheme="minorHAnsi"/>
          <w:sz w:val="24"/>
          <w:szCs w:val="24"/>
        </w:rPr>
        <w:t xml:space="preserve">not </w:t>
      </w:r>
      <w:r w:rsidRPr="00F9261A">
        <w:rPr>
          <w:rFonts w:cstheme="minorHAnsi"/>
          <w:sz w:val="24"/>
          <w:szCs w:val="24"/>
        </w:rPr>
        <w:t xml:space="preserve">fit for purpose opinion issued by the RPC. </w:t>
      </w:r>
    </w:p>
    <w:p w:rsidR="0050231F" w:rsidRPr="00D15D6D" w:rsidRDefault="0050231F" w:rsidP="0050231F">
      <w:pPr>
        <w:autoSpaceDE w:val="0"/>
        <w:autoSpaceDN w:val="0"/>
        <w:adjustRightInd w:val="0"/>
        <w:spacing w:after="0" w:line="240" w:lineRule="auto"/>
        <w:rPr>
          <w:rFonts w:ascii="Arial" w:hAnsi="Arial" w:cs="Arial"/>
          <w:color w:val="000000"/>
          <w:sz w:val="24"/>
          <w:szCs w:val="24"/>
        </w:rPr>
      </w:pPr>
    </w:p>
    <w:p w:rsidR="0050231F" w:rsidRPr="00B65AB3" w:rsidRDefault="0050231F" w:rsidP="0050231F">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autoSpaceDE w:val="0"/>
        <w:autoSpaceDN w:val="0"/>
        <w:adjustRightInd w:val="0"/>
        <w:spacing w:after="0"/>
        <w:rPr>
          <w:rFonts w:cstheme="minorHAnsi"/>
          <w:i/>
          <w:iCs/>
          <w:color w:val="000000"/>
          <w:sz w:val="24"/>
          <w:szCs w:val="24"/>
        </w:rPr>
      </w:pPr>
      <w:r w:rsidRPr="00C30BC6">
        <w:rPr>
          <w:rFonts w:cstheme="minorHAnsi"/>
          <w:b/>
          <w:sz w:val="24"/>
          <w:szCs w:val="24"/>
        </w:rPr>
        <w:t>Paediatric</w:t>
      </w:r>
      <w:r>
        <w:rPr>
          <w:rFonts w:cstheme="minorHAnsi"/>
          <w:b/>
          <w:sz w:val="24"/>
          <w:szCs w:val="24"/>
        </w:rPr>
        <w:t xml:space="preserve"> First Aid </w:t>
      </w:r>
      <w:r w:rsidRPr="00C30BC6">
        <w:rPr>
          <w:rFonts w:cstheme="minorHAnsi"/>
          <w:b/>
          <w:sz w:val="24"/>
          <w:szCs w:val="24"/>
        </w:rPr>
        <w:t xml:space="preserve"> (PFA) in early years provision (Consultation Stage, Red) (RPC15-DfE-2356): </w:t>
      </w:r>
      <w:r w:rsidRPr="00C30BC6">
        <w:rPr>
          <w:rFonts w:cstheme="minorHAnsi"/>
          <w:color w:val="000000"/>
          <w:sz w:val="24"/>
          <w:szCs w:val="24"/>
        </w:rPr>
        <w:t xml:space="preserve">The Department’s proposal </w:t>
      </w:r>
      <w:r w:rsidRPr="00B65AB3">
        <w:rPr>
          <w:rFonts w:cstheme="minorHAnsi"/>
          <w:color w:val="000000"/>
          <w:sz w:val="24"/>
          <w:szCs w:val="24"/>
        </w:rPr>
        <w:t>was</w:t>
      </w:r>
      <w:r w:rsidRPr="00C30BC6">
        <w:rPr>
          <w:rFonts w:cstheme="minorHAnsi"/>
          <w:color w:val="000000"/>
          <w:sz w:val="24"/>
          <w:szCs w:val="24"/>
        </w:rPr>
        <w:t xml:space="preserve"> a response to a coroner’s recommendation, a 103,000 signature petition, a subsequent parliamentary debate and a national review, following a tragic incident in a nurs</w:t>
      </w:r>
      <w:r w:rsidRPr="00B65AB3">
        <w:rPr>
          <w:rFonts w:cstheme="minorHAnsi"/>
          <w:color w:val="000000"/>
          <w:sz w:val="24"/>
          <w:szCs w:val="24"/>
        </w:rPr>
        <w:t>ery class. The Department stated</w:t>
      </w:r>
      <w:r w:rsidRPr="00C30BC6">
        <w:rPr>
          <w:rFonts w:cstheme="minorHAnsi"/>
          <w:color w:val="000000"/>
          <w:sz w:val="24"/>
          <w:szCs w:val="24"/>
        </w:rPr>
        <w:t xml:space="preserve"> that “</w:t>
      </w:r>
      <w:r w:rsidRPr="00C30BC6">
        <w:rPr>
          <w:rFonts w:cstheme="minorHAnsi"/>
          <w:i/>
          <w:iCs/>
          <w:color w:val="000000"/>
          <w:sz w:val="24"/>
          <w:szCs w:val="24"/>
        </w:rPr>
        <w:t xml:space="preserve">the national review has shown that parents would welcome additional reassurance that their children are safe through increased paediatric first aid provision”. </w:t>
      </w:r>
    </w:p>
    <w:p w:rsidR="0050231F" w:rsidRDefault="0050231F" w:rsidP="0050231F">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autoSpaceDE w:val="0"/>
        <w:autoSpaceDN w:val="0"/>
        <w:adjustRightInd w:val="0"/>
        <w:spacing w:after="0"/>
        <w:rPr>
          <w:rFonts w:cstheme="minorHAnsi"/>
          <w:color w:val="000000"/>
          <w:sz w:val="24"/>
          <w:szCs w:val="24"/>
        </w:rPr>
      </w:pPr>
    </w:p>
    <w:p w:rsidR="0050231F" w:rsidRPr="00B65AB3" w:rsidRDefault="0050231F" w:rsidP="0050231F">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autoSpaceDE w:val="0"/>
        <w:autoSpaceDN w:val="0"/>
        <w:adjustRightInd w:val="0"/>
        <w:spacing w:after="0"/>
        <w:rPr>
          <w:rFonts w:cstheme="minorHAnsi"/>
          <w:color w:val="000000"/>
          <w:sz w:val="24"/>
          <w:szCs w:val="24"/>
        </w:rPr>
      </w:pPr>
      <w:r w:rsidRPr="00B65AB3">
        <w:rPr>
          <w:rFonts w:cstheme="minorHAnsi"/>
          <w:color w:val="000000"/>
          <w:sz w:val="24"/>
          <w:szCs w:val="24"/>
        </w:rPr>
        <w:t>Initially, the Department provided</w:t>
      </w:r>
      <w:r w:rsidRPr="00C30BC6">
        <w:rPr>
          <w:rFonts w:cstheme="minorHAnsi"/>
          <w:color w:val="000000"/>
          <w:sz w:val="24"/>
          <w:szCs w:val="24"/>
        </w:rPr>
        <w:t xml:space="preserve"> no assessment of the possible health and safety benefits of the proposal. There </w:t>
      </w:r>
      <w:r w:rsidRPr="00B65AB3">
        <w:rPr>
          <w:rFonts w:cstheme="minorHAnsi"/>
          <w:color w:val="000000"/>
          <w:sz w:val="24"/>
          <w:szCs w:val="24"/>
        </w:rPr>
        <w:t>was</w:t>
      </w:r>
      <w:r w:rsidRPr="00C30BC6">
        <w:rPr>
          <w:rFonts w:cstheme="minorHAnsi"/>
          <w:color w:val="000000"/>
          <w:sz w:val="24"/>
          <w:szCs w:val="24"/>
        </w:rPr>
        <w:t xml:space="preserve"> no information on the number of health incidents and, therefore, the level of risk under the existing PFA requirements. There </w:t>
      </w:r>
      <w:r w:rsidRPr="00B65AB3">
        <w:rPr>
          <w:rFonts w:cstheme="minorHAnsi"/>
          <w:color w:val="000000"/>
          <w:sz w:val="24"/>
          <w:szCs w:val="24"/>
        </w:rPr>
        <w:t>was</w:t>
      </w:r>
      <w:r w:rsidRPr="00C30BC6">
        <w:rPr>
          <w:rFonts w:cstheme="minorHAnsi"/>
          <w:color w:val="000000"/>
          <w:sz w:val="24"/>
          <w:szCs w:val="24"/>
        </w:rPr>
        <w:t xml:space="preserve"> no assessment of how much the proposal might lower these risks.</w:t>
      </w:r>
      <w:r>
        <w:rPr>
          <w:rFonts w:cstheme="minorHAnsi"/>
          <w:color w:val="000000"/>
          <w:sz w:val="24"/>
          <w:szCs w:val="24"/>
        </w:rPr>
        <w:t xml:space="preserve"> The IA was, therefore, rated as not fit for purpose on the basis that it did not identify satisfactorily a fundamental impact of the </w:t>
      </w:r>
      <w:r>
        <w:rPr>
          <w:rFonts w:cstheme="minorHAnsi"/>
          <w:color w:val="000000"/>
          <w:sz w:val="24"/>
          <w:szCs w:val="24"/>
        </w:rPr>
        <w:lastRenderedPageBreak/>
        <w:t>proposal. In addition, w</w:t>
      </w:r>
      <w:r w:rsidRPr="00C30BC6">
        <w:rPr>
          <w:rFonts w:cstheme="minorHAnsi"/>
          <w:color w:val="000000"/>
          <w:sz w:val="24"/>
          <w:szCs w:val="24"/>
        </w:rPr>
        <w:t xml:space="preserve">ithout any assessment of the above benefits, </w:t>
      </w:r>
      <w:r>
        <w:rPr>
          <w:rFonts w:cstheme="minorHAnsi"/>
          <w:color w:val="000000"/>
          <w:sz w:val="24"/>
          <w:szCs w:val="24"/>
        </w:rPr>
        <w:t xml:space="preserve">it was difficult to </w:t>
      </w:r>
      <w:r w:rsidRPr="00C30BC6">
        <w:rPr>
          <w:rFonts w:cstheme="minorHAnsi"/>
          <w:color w:val="000000"/>
          <w:sz w:val="24"/>
          <w:szCs w:val="24"/>
        </w:rPr>
        <w:t xml:space="preserve">understand fully the rationale for the proposal or </w:t>
      </w:r>
      <w:r w:rsidRPr="00B65AB3">
        <w:rPr>
          <w:rFonts w:cstheme="minorHAnsi"/>
          <w:color w:val="000000"/>
          <w:sz w:val="24"/>
          <w:szCs w:val="24"/>
        </w:rPr>
        <w:t>how the options compare, and its justification for a</w:t>
      </w:r>
      <w:r w:rsidRPr="00C30BC6">
        <w:rPr>
          <w:rFonts w:cstheme="minorHAnsi"/>
          <w:color w:val="000000"/>
          <w:sz w:val="24"/>
          <w:szCs w:val="24"/>
        </w:rPr>
        <w:t xml:space="preserve"> </w:t>
      </w:r>
      <w:r w:rsidRPr="00B65AB3">
        <w:rPr>
          <w:rFonts w:cstheme="minorHAnsi"/>
          <w:color w:val="000000"/>
          <w:sz w:val="24"/>
          <w:szCs w:val="24"/>
        </w:rPr>
        <w:t xml:space="preserve">preferred option to address </w:t>
      </w:r>
      <w:r>
        <w:rPr>
          <w:rFonts w:cstheme="minorHAnsi"/>
          <w:color w:val="000000"/>
          <w:sz w:val="24"/>
          <w:szCs w:val="24"/>
        </w:rPr>
        <w:t xml:space="preserve">the </w:t>
      </w:r>
      <w:r w:rsidRPr="00B65AB3">
        <w:rPr>
          <w:rFonts w:cstheme="minorHAnsi"/>
          <w:color w:val="000000"/>
          <w:sz w:val="24"/>
          <w:szCs w:val="24"/>
        </w:rPr>
        <w:t>problem.</w:t>
      </w:r>
    </w:p>
    <w:p w:rsidR="0050231F" w:rsidRPr="00B65AB3" w:rsidRDefault="0050231F" w:rsidP="0050231F">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cstheme="minorHAnsi"/>
          <w:color w:val="000000"/>
          <w:sz w:val="24"/>
          <w:szCs w:val="24"/>
        </w:rPr>
      </w:pPr>
    </w:p>
    <w:p w:rsidR="0050231F" w:rsidRPr="00B65AB3" w:rsidRDefault="0050231F" w:rsidP="0050231F">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cstheme="minorHAnsi"/>
          <w:color w:val="000000"/>
          <w:sz w:val="24"/>
          <w:szCs w:val="24"/>
        </w:rPr>
      </w:pPr>
      <w:r w:rsidRPr="00B65AB3">
        <w:rPr>
          <w:rFonts w:cstheme="minorHAnsi"/>
          <w:color w:val="000000"/>
          <w:sz w:val="24"/>
          <w:szCs w:val="24"/>
        </w:rPr>
        <w:t>Subsequently, the Department addressed satisfactorily all comments made by the RPC and proposed to us</w:t>
      </w:r>
      <w:r>
        <w:rPr>
          <w:rFonts w:cstheme="minorHAnsi"/>
          <w:color w:val="000000"/>
          <w:sz w:val="24"/>
          <w:szCs w:val="24"/>
        </w:rPr>
        <w:t>e</w:t>
      </w:r>
      <w:r w:rsidRPr="00B65AB3">
        <w:rPr>
          <w:rFonts w:cstheme="minorHAnsi"/>
          <w:color w:val="000000"/>
          <w:sz w:val="24"/>
          <w:szCs w:val="24"/>
        </w:rPr>
        <w:t xml:space="preserve"> the consultation to strengthen its assessment of possible impacts. </w:t>
      </w:r>
    </w:p>
    <w:p w:rsidR="0050231F" w:rsidRDefault="0050231F" w:rsidP="0050231F">
      <w:pPr>
        <w:spacing w:after="0"/>
        <w:rPr>
          <w:rFonts w:cstheme="minorHAnsi"/>
          <w:sz w:val="24"/>
          <w:szCs w:val="24"/>
        </w:rPr>
      </w:pPr>
    </w:p>
    <w:p w:rsidR="0050231F" w:rsidRDefault="0050231F" w:rsidP="0050231F">
      <w:pPr>
        <w:spacing w:after="0"/>
        <w:rPr>
          <w:b/>
          <w:sz w:val="24"/>
          <w:szCs w:val="24"/>
        </w:rPr>
      </w:pPr>
    </w:p>
    <w:p w:rsidR="0050231F" w:rsidRPr="00B04E4D" w:rsidRDefault="0050231F" w:rsidP="0050231F">
      <w:pPr>
        <w:spacing w:after="0"/>
        <w:rPr>
          <w:b/>
          <w:i/>
          <w:sz w:val="24"/>
          <w:szCs w:val="24"/>
        </w:rPr>
      </w:pPr>
      <w:r w:rsidRPr="00B04E4D">
        <w:rPr>
          <w:b/>
          <w:i/>
          <w:sz w:val="24"/>
          <w:szCs w:val="24"/>
        </w:rPr>
        <w:t>Additional examples in relation to problem identification and policy justification</w:t>
      </w:r>
      <w:r w:rsidR="00491E52">
        <w:rPr>
          <w:b/>
          <w:i/>
          <w:sz w:val="24"/>
          <w:szCs w:val="24"/>
        </w:rPr>
        <w:t>:</w:t>
      </w:r>
      <w:r w:rsidRPr="00B04E4D">
        <w:rPr>
          <w:b/>
          <w:i/>
          <w:sz w:val="24"/>
          <w:szCs w:val="24"/>
        </w:rPr>
        <w:t xml:space="preserve"> </w:t>
      </w:r>
    </w:p>
    <w:p w:rsidR="0050231F" w:rsidRDefault="0050231F" w:rsidP="0050231F">
      <w:pPr>
        <w:rPr>
          <w:b/>
          <w:color w:val="E36C0A" w:themeColor="accent6" w:themeShade="BF"/>
          <w:sz w:val="32"/>
          <w:szCs w:val="32"/>
        </w:rPr>
      </w:pPr>
    </w:p>
    <w:p w:rsidR="0050231F" w:rsidRPr="00D92A4C" w:rsidRDefault="0050231F" w:rsidP="0050231F">
      <w:pPr>
        <w:pBdr>
          <w:top w:val="single" w:sz="12" w:space="0" w:color="984806" w:themeColor="accent6" w:themeShade="80"/>
          <w:left w:val="single" w:sz="12" w:space="1" w:color="984806" w:themeColor="accent6" w:themeShade="80"/>
          <w:bottom w:val="single" w:sz="12" w:space="1" w:color="984806" w:themeColor="accent6" w:themeShade="80"/>
          <w:right w:val="single" w:sz="12" w:space="1" w:color="984806" w:themeColor="accent6" w:themeShade="80"/>
        </w:pBdr>
        <w:shd w:val="clear" w:color="auto" w:fill="FDE9D9" w:themeFill="accent6" w:themeFillTint="33"/>
        <w:spacing w:after="0"/>
        <w:rPr>
          <w:rFonts w:eastAsia="Times New Roman" w:cstheme="minorHAnsi"/>
          <w:sz w:val="24"/>
          <w:szCs w:val="24"/>
          <w:lang w:eastAsia="en-GB"/>
        </w:rPr>
      </w:pPr>
      <w:r w:rsidRPr="008271F5">
        <w:rPr>
          <w:rFonts w:eastAsia="Times New Roman" w:cstheme="minorHAnsi"/>
          <w:b/>
          <w:sz w:val="24"/>
          <w:szCs w:val="24"/>
          <w:lang w:eastAsia="en-GB"/>
        </w:rPr>
        <w:t xml:space="preserve">Ex-military aircraft occupant placard (Final Stage, Red) (RPC12-DFT-1371(2)): </w:t>
      </w:r>
      <w:r>
        <w:rPr>
          <w:rFonts w:eastAsia="Times New Roman" w:cstheme="minorHAnsi"/>
          <w:sz w:val="24"/>
          <w:szCs w:val="24"/>
          <w:lang w:eastAsia="en-GB"/>
        </w:rPr>
        <w:t>T</w:t>
      </w:r>
      <w:r w:rsidRPr="008271F5">
        <w:rPr>
          <w:rFonts w:eastAsia="Times New Roman" w:cstheme="minorHAnsi"/>
          <w:sz w:val="24"/>
          <w:szCs w:val="24"/>
          <w:lang w:eastAsia="en-GB"/>
        </w:rPr>
        <w:t xml:space="preserve">his </w:t>
      </w:r>
      <w:r>
        <w:rPr>
          <w:rFonts w:eastAsia="Times New Roman" w:cstheme="minorHAnsi"/>
          <w:sz w:val="24"/>
          <w:szCs w:val="24"/>
          <w:lang w:eastAsia="en-GB"/>
        </w:rPr>
        <w:t>proposal</w:t>
      </w:r>
      <w:r w:rsidRPr="008271F5">
        <w:rPr>
          <w:rFonts w:eastAsia="Times New Roman" w:cstheme="minorHAnsi"/>
          <w:sz w:val="24"/>
          <w:szCs w:val="24"/>
          <w:lang w:eastAsia="en-GB"/>
        </w:rPr>
        <w:t xml:space="preserve"> required ex-military aircraft to display a placard explaining </w:t>
      </w:r>
      <w:r>
        <w:rPr>
          <w:rFonts w:eastAsia="Times New Roman" w:cstheme="minorHAnsi"/>
          <w:sz w:val="24"/>
          <w:szCs w:val="24"/>
          <w:lang w:eastAsia="en-GB"/>
        </w:rPr>
        <w:t xml:space="preserve">that </w:t>
      </w:r>
      <w:r w:rsidRPr="008271F5">
        <w:rPr>
          <w:rFonts w:eastAsia="Times New Roman" w:cstheme="minorHAnsi"/>
          <w:sz w:val="24"/>
          <w:szCs w:val="24"/>
          <w:lang w:eastAsia="en-GB"/>
        </w:rPr>
        <w:t>the aircraft is not certified under international airworthiness requirements. The IA failed to demonstrate that there was currently any lack of safety awareness among passengers travelling in such aircraft</w:t>
      </w:r>
      <w:r>
        <w:rPr>
          <w:rFonts w:eastAsia="Times New Roman" w:cstheme="minorHAnsi"/>
          <w:sz w:val="24"/>
          <w:szCs w:val="24"/>
          <w:lang w:eastAsia="en-GB"/>
        </w:rPr>
        <w:t xml:space="preserve">.  Indeed, </w:t>
      </w:r>
      <w:r w:rsidRPr="008271F5">
        <w:rPr>
          <w:rFonts w:eastAsia="Times New Roman" w:cstheme="minorHAnsi"/>
          <w:sz w:val="24"/>
          <w:szCs w:val="24"/>
          <w:lang w:eastAsia="en-GB"/>
        </w:rPr>
        <w:t>responses from stakeholders suggested this was not a problem. As the IA was submitted before limitations were placed on RPC ratings of final stage IAs, the IA received a red rating for this and other reasons.  A revised IA was submitted addressing other concerns but not the rationale issue.  As the problem did not relate to direct cost</w:t>
      </w:r>
      <w:r w:rsidR="00B253B2">
        <w:rPr>
          <w:rFonts w:eastAsia="Times New Roman" w:cstheme="minorHAnsi"/>
          <w:sz w:val="24"/>
          <w:szCs w:val="24"/>
          <w:lang w:eastAsia="en-GB"/>
        </w:rPr>
        <w:t>s</w:t>
      </w:r>
      <w:r w:rsidRPr="008271F5">
        <w:rPr>
          <w:rFonts w:eastAsia="Times New Roman" w:cstheme="minorHAnsi"/>
          <w:sz w:val="24"/>
          <w:szCs w:val="24"/>
          <w:lang w:eastAsia="en-GB"/>
        </w:rPr>
        <w:t xml:space="preserve"> to business the IA received a green rating, but with highly critical comments on the quality of the analysis.</w:t>
      </w:r>
    </w:p>
    <w:p w:rsidR="0050231F" w:rsidRDefault="0050231F" w:rsidP="0050231F">
      <w:pPr>
        <w:rPr>
          <w:b/>
          <w:color w:val="E36C0A" w:themeColor="accent6" w:themeShade="BF"/>
          <w:sz w:val="32"/>
          <w:szCs w:val="32"/>
        </w:rPr>
      </w:pPr>
    </w:p>
    <w:p w:rsidR="0050231F" w:rsidRPr="008271F5" w:rsidRDefault="0050231F" w:rsidP="0050231F">
      <w:pPr>
        <w:pBdr>
          <w:top w:val="single" w:sz="12" w:space="0" w:color="984806" w:themeColor="accent6" w:themeShade="80"/>
          <w:left w:val="single" w:sz="12" w:space="1" w:color="984806" w:themeColor="accent6" w:themeShade="80"/>
          <w:bottom w:val="single" w:sz="12" w:space="1" w:color="984806" w:themeColor="accent6" w:themeShade="80"/>
          <w:right w:val="single" w:sz="12" w:space="1" w:color="984806" w:themeColor="accent6" w:themeShade="80"/>
        </w:pBdr>
        <w:shd w:val="clear" w:color="auto" w:fill="FDE9D9" w:themeFill="accent6" w:themeFillTint="33"/>
        <w:spacing w:after="0"/>
        <w:rPr>
          <w:rFonts w:eastAsia="Times New Roman" w:cstheme="minorHAnsi"/>
          <w:sz w:val="24"/>
          <w:szCs w:val="24"/>
          <w:lang w:eastAsia="en-GB"/>
        </w:rPr>
      </w:pPr>
      <w:r w:rsidRPr="008271F5">
        <w:rPr>
          <w:rFonts w:eastAsia="Times New Roman" w:cstheme="minorHAnsi"/>
          <w:b/>
          <w:sz w:val="24"/>
          <w:szCs w:val="24"/>
          <w:lang w:eastAsia="en-GB"/>
        </w:rPr>
        <w:t xml:space="preserve">Sheep identification – electronic slaughter tag (Consultation Stage, Red), (RPC13-DEFRA-1721):  </w:t>
      </w:r>
      <w:r w:rsidRPr="006920D4">
        <w:rPr>
          <w:rFonts w:eastAsia="Times New Roman" w:cstheme="minorHAnsi"/>
          <w:sz w:val="24"/>
          <w:szCs w:val="24"/>
          <w:lang w:eastAsia="en-GB"/>
        </w:rPr>
        <w:t>T</w:t>
      </w:r>
      <w:r w:rsidRPr="008271F5">
        <w:rPr>
          <w:rFonts w:eastAsia="Times New Roman" w:cstheme="minorHAnsi"/>
          <w:sz w:val="24"/>
          <w:szCs w:val="24"/>
          <w:lang w:eastAsia="en-GB"/>
        </w:rPr>
        <w:t>his p</w:t>
      </w:r>
      <w:r>
        <w:rPr>
          <w:rFonts w:eastAsia="Times New Roman" w:cstheme="minorHAnsi"/>
          <w:sz w:val="24"/>
          <w:szCs w:val="24"/>
          <w:lang w:eastAsia="en-GB"/>
        </w:rPr>
        <w:t>roposal</w:t>
      </w:r>
      <w:r w:rsidRPr="008271F5">
        <w:rPr>
          <w:rFonts w:eastAsia="Times New Roman" w:cstheme="minorHAnsi"/>
          <w:sz w:val="24"/>
          <w:szCs w:val="24"/>
          <w:lang w:eastAsia="en-GB"/>
        </w:rPr>
        <w:t xml:space="preserve"> introduced mandatory use of electronic identification (EID) slaughter tags, and electronic reading by markets and abattoirs. The preferred option would result in a net benefit to business</w:t>
      </w:r>
      <w:r>
        <w:rPr>
          <w:rFonts w:eastAsia="Times New Roman" w:cstheme="minorHAnsi"/>
          <w:sz w:val="24"/>
          <w:szCs w:val="24"/>
          <w:lang w:eastAsia="en-GB"/>
        </w:rPr>
        <w:t xml:space="preserve"> because</w:t>
      </w:r>
      <w:r w:rsidRPr="008271F5">
        <w:rPr>
          <w:rFonts w:eastAsia="Times New Roman" w:cstheme="minorHAnsi"/>
          <w:sz w:val="24"/>
          <w:szCs w:val="24"/>
          <w:lang w:eastAsia="en-GB"/>
        </w:rPr>
        <w:t xml:space="preserve"> the benefits to markets, keepers and abattoirs, due to the reduced cost of reading animals, is greater than the costs to farmers who will need to purchase more expensive electronic tags. The original IA suggested that it was thought</w:t>
      </w:r>
      <w:r>
        <w:rPr>
          <w:rFonts w:eastAsia="Times New Roman" w:cstheme="minorHAnsi"/>
          <w:sz w:val="24"/>
          <w:szCs w:val="24"/>
          <w:lang w:eastAsia="en-GB"/>
        </w:rPr>
        <w:t xml:space="preserve"> that</w:t>
      </w:r>
      <w:r w:rsidRPr="008271F5">
        <w:rPr>
          <w:rFonts w:eastAsia="Times New Roman" w:cstheme="minorHAnsi"/>
          <w:sz w:val="24"/>
          <w:szCs w:val="24"/>
          <w:lang w:eastAsia="en-GB"/>
        </w:rPr>
        <w:t xml:space="preserve"> commercial pressures would drive the take up of EID tags for lambs intended for slaughter, but that this did not happen. The RPC asked for a clearer explanation of the market failures which had been identified as preventing these commercial drivers from taking effect. This resulted in a red-rated RPC opinion of the consultation stage IA.  A revised IA was submitted; it explained that the marketplace had not driven the use of the EID slaughter tags because of competition for trade, and fear that it would divert sales direct to abattoirs away from livestock markets. The revised IA received a green-rated RPC opinion.</w:t>
      </w:r>
    </w:p>
    <w:p w:rsidR="0050231F" w:rsidRDefault="0050231F" w:rsidP="0050231F">
      <w:pPr>
        <w:rPr>
          <w:b/>
          <w:color w:val="E36C0A" w:themeColor="accent6" w:themeShade="BF"/>
          <w:sz w:val="32"/>
          <w:szCs w:val="32"/>
        </w:rPr>
      </w:pPr>
      <w:r>
        <w:rPr>
          <w:b/>
          <w:color w:val="E36C0A" w:themeColor="accent6" w:themeShade="BF"/>
          <w:sz w:val="32"/>
          <w:szCs w:val="32"/>
        </w:rPr>
        <w:br w:type="page"/>
      </w:r>
    </w:p>
    <w:p w:rsidR="0050231F" w:rsidRPr="00280563" w:rsidRDefault="0050231F" w:rsidP="0050231F">
      <w:pPr>
        <w:rPr>
          <w:b/>
          <w:color w:val="E36C0A" w:themeColor="accent6" w:themeShade="BF"/>
          <w:sz w:val="32"/>
          <w:szCs w:val="32"/>
        </w:rPr>
      </w:pPr>
      <w:r>
        <w:rPr>
          <w:b/>
          <w:color w:val="E36C0A" w:themeColor="accent6" w:themeShade="BF"/>
          <w:sz w:val="32"/>
          <w:szCs w:val="32"/>
        </w:rPr>
        <w:lastRenderedPageBreak/>
        <w:t>Section 2:</w:t>
      </w:r>
      <w:r w:rsidRPr="00280563">
        <w:rPr>
          <w:b/>
          <w:color w:val="E36C0A" w:themeColor="accent6" w:themeShade="BF"/>
          <w:sz w:val="32"/>
          <w:szCs w:val="32"/>
        </w:rPr>
        <w:t xml:space="preserve"> Impact assessment options</w:t>
      </w:r>
    </w:p>
    <w:p w:rsidR="0050231F" w:rsidRPr="00E86AC4" w:rsidRDefault="0050231F" w:rsidP="0050231F">
      <w:pPr>
        <w:spacing w:line="240" w:lineRule="auto"/>
        <w:rPr>
          <w:rFonts w:cstheme="minorHAnsi"/>
          <w:b/>
          <w:color w:val="984806" w:themeColor="accent6" w:themeShade="80"/>
          <w:sz w:val="28"/>
          <w:szCs w:val="28"/>
        </w:rPr>
      </w:pPr>
      <w:r>
        <w:rPr>
          <w:rFonts w:cstheme="minorHAnsi"/>
          <w:b/>
          <w:color w:val="984806" w:themeColor="accent6" w:themeShade="80"/>
          <w:sz w:val="28"/>
          <w:szCs w:val="28"/>
        </w:rPr>
        <w:t>2</w:t>
      </w:r>
      <w:r w:rsidRPr="00E86AC4">
        <w:rPr>
          <w:rFonts w:cstheme="minorHAnsi"/>
          <w:b/>
          <w:color w:val="984806" w:themeColor="accent6" w:themeShade="80"/>
          <w:sz w:val="28"/>
          <w:szCs w:val="28"/>
        </w:rPr>
        <w:t>.1 Non-regulatory options</w:t>
      </w:r>
      <w:r>
        <w:rPr>
          <w:rFonts w:cstheme="minorHAnsi"/>
          <w:b/>
          <w:color w:val="984806" w:themeColor="accent6" w:themeShade="80"/>
          <w:sz w:val="28"/>
          <w:szCs w:val="28"/>
        </w:rPr>
        <w:t xml:space="preserve"> to regulation</w:t>
      </w:r>
    </w:p>
    <w:p w:rsidR="0050231F" w:rsidRPr="003032B3" w:rsidRDefault="0050231F" w:rsidP="0050231F">
      <w:pPr>
        <w:spacing w:after="120"/>
        <w:rPr>
          <w:rFonts w:cstheme="minorHAnsi"/>
          <w:sz w:val="24"/>
          <w:szCs w:val="24"/>
        </w:rPr>
      </w:pPr>
      <w:r>
        <w:rPr>
          <w:noProof/>
          <w:lang w:eastAsia="en-GB"/>
        </w:rPr>
        <mc:AlternateContent>
          <mc:Choice Requires="wps">
            <w:drawing>
              <wp:anchor distT="0" distB="0" distL="114300" distR="114300" simplePos="0" relativeHeight="251706368" behindDoc="0" locked="0" layoutInCell="1" allowOverlap="1" wp14:anchorId="03B3921D" wp14:editId="1AF91B2F">
                <wp:simplePos x="0" y="0"/>
                <wp:positionH relativeFrom="column">
                  <wp:posOffset>5876925</wp:posOffset>
                </wp:positionH>
                <wp:positionV relativeFrom="paragraph">
                  <wp:posOffset>1193165</wp:posOffset>
                </wp:positionV>
                <wp:extent cx="683895" cy="44831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895" cy="448310"/>
                        </a:xfrm>
                        <a:prstGeom prst="rect">
                          <a:avLst/>
                        </a:prstGeom>
                        <a:noFill/>
                        <a:ln w="6350">
                          <a:noFill/>
                        </a:ln>
                        <a:effectLst/>
                      </wps:spPr>
                      <wps:txbx>
                        <w:txbxContent>
                          <w:p w:rsidR="00C90A59" w:rsidRPr="00F3504F" w:rsidRDefault="00C90A59" w:rsidP="0050231F">
                            <w:pPr>
                              <w:pBdr>
                                <w:top w:val="single" w:sz="4" w:space="1" w:color="FABF8F" w:themeColor="accent6" w:themeTint="99"/>
                                <w:bottom w:val="single" w:sz="4" w:space="1" w:color="FABF8F" w:themeColor="accent6" w:themeTint="99"/>
                              </w:pBdr>
                              <w:spacing w:after="0"/>
                              <w:jc w:val="center"/>
                              <w:rPr>
                                <w:rFonts w:cstheme="minorHAnsi"/>
                                <w:i/>
                                <w:color w:val="E36C0A" w:themeColor="accent6" w:themeShade="BF"/>
                                <w:sz w:val="16"/>
                                <w:szCs w:val="16"/>
                              </w:rPr>
                            </w:pPr>
                            <w:r w:rsidRPr="00F3504F">
                              <w:rPr>
                                <w:rFonts w:cstheme="minorHAnsi"/>
                                <w:b/>
                                <w:i/>
                                <w:color w:val="E36C0A" w:themeColor="accent6" w:themeShade="BF"/>
                                <w:sz w:val="16"/>
                                <w:szCs w:val="16"/>
                              </w:rPr>
                              <w:t>Potential red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462.75pt;margin-top:93.95pt;width:53.85pt;height:35.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lDMPgIAAH4EAAAOAAAAZHJzL2Uyb0RvYy54bWysVEtv2zAMvg/YfxB0X5z3EiNOkbXIMCBo&#10;CyRDz4osxcYsUZOU2N2vHyXbadDtNOwiU+LH50d6ddeoilyEdSXojI4GQ0qE5pCX+pTR74ftpwUl&#10;zjOdswq0yOircPRu/fHDqjapGEMBVS4sQSfapbXJaOG9SZPE8UIo5gZghEalBKuYx6s9JbllNXpX&#10;VTIeDudJDTY3FrhwDl8fWiVdR/9SCu6fpHTCkyqjmJuPp43nMZzJesXSk2WmKHmXBvuHLBQrNQa9&#10;unpgnpGzLf9wpUpuwYH0Aw4qASlLLmINWM1o+K6afcGMiLVgc5y5tsn9P7f88fJsSZlndEmJZgop&#10;OojGky/QkGXoTm1ciqC9QZhv8BlZjpU6swP+wyEkucG0Bg7RoRuNtCp8sU6ChkjA67XpIQrHx/li&#10;sljOKOGomk4Xk1EkJXkzNtb5rwIUCUJGLXIaE2CXnfMhPEt7SIilYVtWVeS10qTGAJPZMBpcNWhR&#10;6YAVcUI6N6GKNvEg+ebYxL7M+y4cIX/FJlhoh8gZvi0xox1z/plZnBosDzfBP+EhK8DI0EmUFGB/&#10;/e094JFM1FJS4xRm1P08Mysoqb5ppHk5mk7D2MbLdPZ5jBd7qzneavRZ3QMO+gh3zvAoBryvelFa&#10;UC+4MJsQFVVMc4ydUd+L977dDVw4LjabCMJBNczv9N7wnvvQ70PzwqzpSPHI5iP088rSd9y02Jad&#10;zdmDLCNxoc9tV7shwiGPfHYLGbbo9h5Rb7+N9W8AAAD//wMAUEsDBBQABgAIAAAAIQC1AoRr4QAA&#10;AAwBAAAPAAAAZHJzL2Rvd25yZXYueG1sTI/BTsMwEETvSPyDtUjcqEOq0DTEqSoEFySEKJUQt228&#10;xAF7HWK3DX+Pe4Ljap5m3taryVlxoDH0nhVczzIQxK3XPXcKtq8PVyWIEJE1Ws+k4IcCrJrzsxor&#10;7Y/8QodN7EQq4VChAhPjUEkZWkMOw8wPxCn78KPDmM6xk3rEYyp3VuZZdiMd9pwWDA50Z6j92uyd&#10;gkX5rs3n+Dht357W3+Z5kPYepVKXF9P6FkSkKf7BcNJP6tAkp53fsw7CKljmRZHQFJSLJYgTkc3n&#10;OYidgrwoC5BNLf8/0fwCAAD//wMAUEsBAi0AFAAGAAgAAAAhALaDOJL+AAAA4QEAABMAAAAAAAAA&#10;AAAAAAAAAAAAAFtDb250ZW50X1R5cGVzXS54bWxQSwECLQAUAAYACAAAACEAOP0h/9YAAACUAQAA&#10;CwAAAAAAAAAAAAAAAAAvAQAAX3JlbHMvLnJlbHNQSwECLQAUAAYACAAAACEA4bZQzD4CAAB+BAAA&#10;DgAAAAAAAAAAAAAAAAAuAgAAZHJzL2Uyb0RvYy54bWxQSwECLQAUAAYACAAAACEAtQKEa+EAAAAM&#10;AQAADwAAAAAAAAAAAAAAAACYBAAAZHJzL2Rvd25yZXYueG1sUEsFBgAAAAAEAAQA8wAAAKYFAAAA&#10;AA==&#10;" filled="f" stroked="f" strokeweight=".5pt">
                <v:path arrowok="t"/>
                <v:textbox>
                  <w:txbxContent>
                    <w:p w:rsidR="00C90A59" w:rsidRPr="00F3504F" w:rsidRDefault="00C90A59" w:rsidP="0050231F">
                      <w:pPr>
                        <w:pBdr>
                          <w:top w:val="single" w:sz="4" w:space="1" w:color="FABF8F" w:themeColor="accent6" w:themeTint="99"/>
                          <w:bottom w:val="single" w:sz="4" w:space="1" w:color="FABF8F" w:themeColor="accent6" w:themeTint="99"/>
                        </w:pBdr>
                        <w:spacing w:after="0"/>
                        <w:jc w:val="center"/>
                        <w:rPr>
                          <w:rFonts w:cstheme="minorHAnsi"/>
                          <w:i/>
                          <w:color w:val="E36C0A" w:themeColor="accent6" w:themeShade="BF"/>
                          <w:sz w:val="16"/>
                          <w:szCs w:val="16"/>
                        </w:rPr>
                      </w:pPr>
                      <w:r w:rsidRPr="00F3504F">
                        <w:rPr>
                          <w:rFonts w:cstheme="minorHAnsi"/>
                          <w:b/>
                          <w:i/>
                          <w:color w:val="E36C0A" w:themeColor="accent6" w:themeShade="BF"/>
                          <w:sz w:val="16"/>
                          <w:szCs w:val="16"/>
                        </w:rPr>
                        <w:t>Potential red point</w:t>
                      </w:r>
                    </w:p>
                  </w:txbxContent>
                </v:textbox>
                <w10:wrap type="square"/>
              </v:shape>
            </w:pict>
          </mc:Fallback>
        </mc:AlternateContent>
      </w:r>
      <w:r w:rsidRPr="003032B3">
        <w:rPr>
          <w:rFonts w:cstheme="minorHAnsi"/>
          <w:sz w:val="24"/>
          <w:szCs w:val="24"/>
        </w:rPr>
        <w:t xml:space="preserve">The Government’s Principles of Regulation state that </w:t>
      </w:r>
      <w:r w:rsidRPr="003032B3">
        <w:rPr>
          <w:sz w:val="24"/>
          <w:szCs w:val="24"/>
        </w:rPr>
        <w:t>“</w:t>
      </w:r>
      <w:r w:rsidRPr="003032B3">
        <w:rPr>
          <w:i/>
          <w:sz w:val="24"/>
          <w:szCs w:val="24"/>
        </w:rPr>
        <w:t>in many instances alternatives to regulation are more effective, such as simplifying existing regulation, giving clearer information to consumers or developing voluntary codes of practice</w:t>
      </w:r>
      <w:r w:rsidRPr="003032B3">
        <w:rPr>
          <w:sz w:val="24"/>
          <w:szCs w:val="24"/>
        </w:rPr>
        <w:t xml:space="preserve">”. </w:t>
      </w:r>
      <w:r>
        <w:rPr>
          <w:sz w:val="24"/>
          <w:szCs w:val="24"/>
        </w:rPr>
        <w:t>Therefore, the RPC expects d</w:t>
      </w:r>
      <w:r w:rsidRPr="003032B3">
        <w:rPr>
          <w:sz w:val="24"/>
          <w:szCs w:val="24"/>
        </w:rPr>
        <w:t xml:space="preserve">epartments </w:t>
      </w:r>
      <w:r>
        <w:rPr>
          <w:sz w:val="24"/>
          <w:szCs w:val="24"/>
        </w:rPr>
        <w:t xml:space="preserve">to </w:t>
      </w:r>
      <w:r w:rsidRPr="003032B3">
        <w:rPr>
          <w:sz w:val="24"/>
          <w:szCs w:val="24"/>
        </w:rPr>
        <w:t xml:space="preserve">consider </w:t>
      </w:r>
      <w:r>
        <w:rPr>
          <w:sz w:val="24"/>
          <w:szCs w:val="24"/>
        </w:rPr>
        <w:t xml:space="preserve">non-regulatory </w:t>
      </w:r>
      <w:r w:rsidRPr="003032B3">
        <w:rPr>
          <w:sz w:val="24"/>
          <w:szCs w:val="24"/>
        </w:rPr>
        <w:t>options</w:t>
      </w:r>
      <w:r>
        <w:rPr>
          <w:sz w:val="24"/>
          <w:szCs w:val="24"/>
        </w:rPr>
        <w:t xml:space="preserve"> (also commonly known as “alternatives to regulation”) </w:t>
      </w:r>
      <w:r w:rsidRPr="003032B3">
        <w:rPr>
          <w:sz w:val="24"/>
          <w:szCs w:val="24"/>
        </w:rPr>
        <w:t xml:space="preserve">and analyse their viability and effectiveness. </w:t>
      </w:r>
      <w:r>
        <w:rPr>
          <w:sz w:val="24"/>
          <w:szCs w:val="24"/>
        </w:rPr>
        <w:t xml:space="preserve"> A lack of such analysis is likely to result in a not fit for purpose opinion from the RPC at consultation stage.</w:t>
      </w:r>
    </w:p>
    <w:p w:rsidR="0050231F" w:rsidRDefault="0050231F" w:rsidP="0050231F">
      <w:pPr>
        <w:pStyle w:val="Default"/>
        <w:spacing w:after="120" w:line="276" w:lineRule="auto"/>
        <w:rPr>
          <w:rFonts w:asciiTheme="minorHAnsi" w:hAnsiTheme="minorHAnsi" w:cstheme="minorHAnsi"/>
        </w:rPr>
      </w:pPr>
      <w:r>
        <w:rPr>
          <w:rFonts w:asciiTheme="minorHAnsi" w:hAnsiTheme="minorHAnsi" w:cstheme="minorHAnsi"/>
        </w:rPr>
        <w:t>A summary of RPC expectations by stage and type of impact assessment process is presented below.</w:t>
      </w:r>
    </w:p>
    <w:p w:rsidR="0050231F" w:rsidRPr="002D123A" w:rsidRDefault="0050231F" w:rsidP="0050231F">
      <w:pPr>
        <w:spacing w:after="120" w:line="240" w:lineRule="auto"/>
        <w:rPr>
          <w:rFonts w:cstheme="minorHAnsi"/>
          <w:b/>
          <w:sz w:val="26"/>
          <w:szCs w:val="26"/>
        </w:rPr>
      </w:pPr>
      <w:r w:rsidRPr="002D123A">
        <w:rPr>
          <w:rFonts w:cstheme="minorHAnsi"/>
          <w:b/>
          <w:sz w:val="26"/>
          <w:szCs w:val="26"/>
        </w:rPr>
        <w:t xml:space="preserve">Table </w:t>
      </w:r>
      <w:r w:rsidR="008A0419" w:rsidRPr="008A0419">
        <w:rPr>
          <w:rFonts w:cstheme="minorHAnsi"/>
          <w:b/>
          <w:sz w:val="26"/>
          <w:szCs w:val="26"/>
        </w:rPr>
        <w:t>2</w:t>
      </w:r>
      <w:r w:rsidRPr="002D123A">
        <w:rPr>
          <w:rFonts w:cstheme="minorHAnsi"/>
          <w:b/>
          <w:sz w:val="26"/>
          <w:szCs w:val="26"/>
        </w:rPr>
        <w:t xml:space="preserve">: Non-regulatory options - </w:t>
      </w:r>
      <w:r>
        <w:rPr>
          <w:rFonts w:cstheme="minorHAnsi"/>
          <w:b/>
          <w:sz w:val="26"/>
          <w:szCs w:val="26"/>
        </w:rPr>
        <w:t xml:space="preserve">RPC expectations </w:t>
      </w:r>
      <w:r w:rsidRPr="002D123A">
        <w:rPr>
          <w:rFonts w:cstheme="minorHAnsi"/>
          <w:b/>
          <w:sz w:val="26"/>
          <w:szCs w:val="26"/>
        </w:rPr>
        <w:t>by stage and type</w:t>
      </w:r>
    </w:p>
    <w:tbl>
      <w:tblPr>
        <w:tblStyle w:val="TableGrid"/>
        <w:tblW w:w="0" w:type="auto"/>
        <w:tbl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insideH w:val="single" w:sz="12" w:space="0" w:color="984806" w:themeColor="accent6" w:themeShade="80"/>
          <w:insideV w:val="single" w:sz="12" w:space="0" w:color="984806" w:themeColor="accent6" w:themeShade="80"/>
        </w:tblBorders>
        <w:tblLook w:val="04A0" w:firstRow="1" w:lastRow="0" w:firstColumn="1" w:lastColumn="0" w:noHBand="0" w:noVBand="1"/>
      </w:tblPr>
      <w:tblGrid>
        <w:gridCol w:w="1985"/>
        <w:gridCol w:w="2092"/>
        <w:gridCol w:w="4763"/>
      </w:tblGrid>
      <w:tr w:rsidR="0050231F" w:rsidTr="0083160F">
        <w:tc>
          <w:tcPr>
            <w:tcW w:w="1985" w:type="dxa"/>
            <w:vMerge w:val="restart"/>
            <w:shd w:val="clear" w:color="auto" w:fill="E36C0A" w:themeFill="accent6" w:themeFillShade="BF"/>
            <w:vAlign w:val="center"/>
          </w:tcPr>
          <w:p w:rsidR="0050231F" w:rsidRPr="00B3646A" w:rsidRDefault="0050231F" w:rsidP="0083160F">
            <w:pPr>
              <w:spacing w:after="120"/>
              <w:jc w:val="center"/>
              <w:rPr>
                <w:rFonts w:cstheme="minorHAnsi"/>
                <w:sz w:val="24"/>
                <w:szCs w:val="24"/>
              </w:rPr>
            </w:pPr>
            <w:r w:rsidRPr="00B3646A">
              <w:rPr>
                <w:rFonts w:cstheme="minorHAnsi"/>
                <w:sz w:val="24"/>
                <w:szCs w:val="24"/>
              </w:rPr>
              <w:t>Domestic</w:t>
            </w:r>
          </w:p>
        </w:tc>
        <w:tc>
          <w:tcPr>
            <w:tcW w:w="2092" w:type="dxa"/>
            <w:shd w:val="clear" w:color="auto" w:fill="FABF8F" w:themeFill="accent6" w:themeFillTint="99"/>
            <w:vAlign w:val="center"/>
          </w:tcPr>
          <w:p w:rsidR="0050231F" w:rsidRPr="00B3646A" w:rsidRDefault="0050231F" w:rsidP="0083160F">
            <w:pPr>
              <w:spacing w:after="120"/>
              <w:jc w:val="center"/>
              <w:rPr>
                <w:rFonts w:cstheme="minorHAnsi"/>
                <w:sz w:val="24"/>
                <w:szCs w:val="24"/>
              </w:rPr>
            </w:pPr>
            <w:r w:rsidRPr="00B3646A">
              <w:rPr>
                <w:rFonts w:cstheme="minorHAnsi"/>
                <w:sz w:val="24"/>
                <w:szCs w:val="24"/>
              </w:rPr>
              <w:t>Consultation stage</w:t>
            </w:r>
          </w:p>
        </w:tc>
        <w:tc>
          <w:tcPr>
            <w:tcW w:w="4763" w:type="dxa"/>
            <w:shd w:val="clear" w:color="auto" w:fill="FDE9D9" w:themeFill="accent6" w:themeFillTint="33"/>
          </w:tcPr>
          <w:p w:rsidR="0050231F" w:rsidRDefault="0050231F" w:rsidP="0083160F">
            <w:pPr>
              <w:pStyle w:val="ListParagraph"/>
              <w:spacing w:after="120"/>
              <w:ind w:left="601"/>
              <w:rPr>
                <w:rFonts w:cstheme="minorHAnsi"/>
                <w:sz w:val="24"/>
                <w:szCs w:val="24"/>
              </w:rPr>
            </w:pPr>
          </w:p>
          <w:p w:rsidR="0050231F" w:rsidRPr="00FB2550" w:rsidRDefault="0050231F" w:rsidP="00CE5B54">
            <w:pPr>
              <w:pStyle w:val="ListParagraph"/>
              <w:numPr>
                <w:ilvl w:val="0"/>
                <w:numId w:val="7"/>
              </w:numPr>
              <w:spacing w:after="120"/>
              <w:ind w:left="601" w:hanging="425"/>
              <w:rPr>
                <w:rFonts w:cstheme="minorHAnsi"/>
                <w:sz w:val="24"/>
                <w:szCs w:val="24"/>
              </w:rPr>
            </w:pPr>
            <w:r>
              <w:rPr>
                <w:rFonts w:cstheme="minorHAnsi"/>
                <w:sz w:val="24"/>
                <w:szCs w:val="24"/>
              </w:rPr>
              <w:t>D</w:t>
            </w:r>
            <w:r w:rsidRPr="00FB2550">
              <w:rPr>
                <w:rFonts w:cstheme="minorHAnsi"/>
                <w:sz w:val="24"/>
                <w:szCs w:val="24"/>
              </w:rPr>
              <w:t>iscuss</w:t>
            </w:r>
            <w:r>
              <w:rPr>
                <w:rFonts w:cstheme="minorHAnsi"/>
                <w:sz w:val="24"/>
                <w:szCs w:val="24"/>
              </w:rPr>
              <w:t>ion of</w:t>
            </w:r>
            <w:r w:rsidRPr="00FB2550">
              <w:rPr>
                <w:rFonts w:cstheme="minorHAnsi"/>
                <w:sz w:val="24"/>
                <w:szCs w:val="24"/>
              </w:rPr>
              <w:t xml:space="preserve"> non-regulatory options with the same level of detail as all other options, explaining clear</w:t>
            </w:r>
            <w:r>
              <w:rPr>
                <w:rFonts w:cstheme="minorHAnsi"/>
                <w:sz w:val="24"/>
                <w:szCs w:val="24"/>
              </w:rPr>
              <w:t>ly</w:t>
            </w:r>
            <w:r w:rsidRPr="00FB2550">
              <w:rPr>
                <w:rFonts w:cstheme="minorHAnsi"/>
                <w:sz w:val="24"/>
                <w:szCs w:val="24"/>
              </w:rPr>
              <w:t xml:space="preserve"> the incentives and potential costs and benefits.</w:t>
            </w:r>
          </w:p>
          <w:p w:rsidR="0050231F" w:rsidRDefault="0050231F" w:rsidP="0083160F">
            <w:pPr>
              <w:pStyle w:val="ListParagraph"/>
              <w:spacing w:before="120" w:after="120"/>
              <w:ind w:left="601"/>
              <w:rPr>
                <w:rFonts w:cstheme="minorHAnsi"/>
                <w:sz w:val="24"/>
                <w:szCs w:val="24"/>
              </w:rPr>
            </w:pPr>
          </w:p>
          <w:p w:rsidR="0050231F" w:rsidRDefault="0050231F" w:rsidP="00CE5B54">
            <w:pPr>
              <w:pStyle w:val="ListParagraph"/>
              <w:numPr>
                <w:ilvl w:val="0"/>
                <w:numId w:val="7"/>
              </w:numPr>
              <w:spacing w:before="120" w:after="120"/>
              <w:ind w:left="601" w:hanging="425"/>
              <w:rPr>
                <w:rFonts w:cstheme="minorHAnsi"/>
                <w:sz w:val="24"/>
                <w:szCs w:val="24"/>
              </w:rPr>
            </w:pPr>
            <w:r>
              <w:rPr>
                <w:rFonts w:cstheme="minorHAnsi"/>
                <w:sz w:val="24"/>
                <w:szCs w:val="24"/>
              </w:rPr>
              <w:t>C</w:t>
            </w:r>
            <w:r w:rsidRPr="00B3646A">
              <w:rPr>
                <w:rFonts w:cstheme="minorHAnsi"/>
                <w:sz w:val="24"/>
                <w:szCs w:val="24"/>
              </w:rPr>
              <w:t xml:space="preserve">lear </w:t>
            </w:r>
            <w:r>
              <w:rPr>
                <w:rFonts w:cstheme="minorHAnsi"/>
                <w:sz w:val="24"/>
                <w:szCs w:val="24"/>
              </w:rPr>
              <w:t xml:space="preserve">explanation of </w:t>
            </w:r>
            <w:r w:rsidRPr="00B3646A">
              <w:rPr>
                <w:rFonts w:cstheme="minorHAnsi"/>
                <w:sz w:val="24"/>
                <w:szCs w:val="24"/>
              </w:rPr>
              <w:t xml:space="preserve">legal requirements and/or the economic rationale why alternatives to regulation </w:t>
            </w:r>
            <w:r>
              <w:rPr>
                <w:rFonts w:cstheme="minorHAnsi"/>
                <w:sz w:val="24"/>
                <w:szCs w:val="24"/>
              </w:rPr>
              <w:t>might</w:t>
            </w:r>
            <w:r w:rsidRPr="00B3646A">
              <w:rPr>
                <w:rFonts w:cstheme="minorHAnsi"/>
                <w:sz w:val="24"/>
                <w:szCs w:val="24"/>
              </w:rPr>
              <w:t xml:space="preserve"> not </w:t>
            </w:r>
            <w:r>
              <w:rPr>
                <w:rFonts w:cstheme="minorHAnsi"/>
                <w:sz w:val="24"/>
                <w:szCs w:val="24"/>
              </w:rPr>
              <w:t xml:space="preserve">be </w:t>
            </w:r>
            <w:r w:rsidRPr="00B3646A">
              <w:rPr>
                <w:rFonts w:cstheme="minorHAnsi"/>
                <w:sz w:val="24"/>
                <w:szCs w:val="24"/>
              </w:rPr>
              <w:t>viable.</w:t>
            </w:r>
          </w:p>
          <w:p w:rsidR="0050231F" w:rsidRPr="00A60A97" w:rsidRDefault="0050231F" w:rsidP="0083160F">
            <w:pPr>
              <w:pStyle w:val="ListParagraph"/>
              <w:rPr>
                <w:rFonts w:cstheme="minorHAnsi"/>
                <w:sz w:val="24"/>
                <w:szCs w:val="24"/>
              </w:rPr>
            </w:pPr>
          </w:p>
          <w:p w:rsidR="0050231F" w:rsidRPr="00A60A97" w:rsidRDefault="0050231F" w:rsidP="00CE5B54">
            <w:pPr>
              <w:pStyle w:val="ListParagraph"/>
              <w:numPr>
                <w:ilvl w:val="0"/>
                <w:numId w:val="7"/>
              </w:numPr>
              <w:spacing w:before="120" w:after="120"/>
              <w:ind w:left="601" w:hanging="425"/>
              <w:rPr>
                <w:rFonts w:cstheme="minorHAnsi"/>
                <w:sz w:val="24"/>
                <w:szCs w:val="24"/>
              </w:rPr>
            </w:pPr>
            <w:r>
              <w:rPr>
                <w:rFonts w:cstheme="minorHAnsi"/>
                <w:sz w:val="24"/>
                <w:szCs w:val="24"/>
              </w:rPr>
              <w:t>Monetisation of non-regulatory options as far as possible</w:t>
            </w:r>
            <w:r w:rsidR="00B253B2">
              <w:rPr>
                <w:rFonts w:cstheme="minorHAnsi"/>
                <w:sz w:val="24"/>
                <w:szCs w:val="24"/>
              </w:rPr>
              <w:t xml:space="preserve"> and proportionate</w:t>
            </w:r>
            <w:r>
              <w:rPr>
                <w:rFonts w:cstheme="minorHAnsi"/>
                <w:sz w:val="24"/>
                <w:szCs w:val="24"/>
              </w:rPr>
              <w:t xml:space="preserve">. </w:t>
            </w:r>
            <w:r w:rsidRPr="00A60A97">
              <w:rPr>
                <w:rFonts w:cstheme="minorHAnsi"/>
                <w:sz w:val="24"/>
                <w:szCs w:val="24"/>
              </w:rPr>
              <w:t>If full monetisation is not feasible, provi</w:t>
            </w:r>
            <w:r>
              <w:rPr>
                <w:rFonts w:cstheme="minorHAnsi"/>
                <w:sz w:val="24"/>
                <w:szCs w:val="24"/>
              </w:rPr>
              <w:t>sion of</w:t>
            </w:r>
            <w:r w:rsidRPr="00A60A97">
              <w:rPr>
                <w:rFonts w:cstheme="minorHAnsi"/>
                <w:sz w:val="24"/>
                <w:szCs w:val="24"/>
              </w:rPr>
              <w:t xml:space="preserve"> assumptions about potential uptake and effectiveness drawing from the experience in other sectors and the literature.</w:t>
            </w:r>
          </w:p>
          <w:p w:rsidR="0050231F" w:rsidRPr="00B3646A" w:rsidRDefault="0050231F" w:rsidP="0083160F">
            <w:pPr>
              <w:pStyle w:val="ListParagraph"/>
              <w:spacing w:after="120"/>
              <w:ind w:left="601"/>
              <w:rPr>
                <w:rFonts w:cstheme="minorHAnsi"/>
                <w:sz w:val="24"/>
                <w:szCs w:val="24"/>
              </w:rPr>
            </w:pPr>
          </w:p>
          <w:p w:rsidR="0050231F" w:rsidRPr="00B3646A" w:rsidRDefault="0050231F" w:rsidP="00CE5B54">
            <w:pPr>
              <w:pStyle w:val="ListParagraph"/>
              <w:numPr>
                <w:ilvl w:val="0"/>
                <w:numId w:val="7"/>
              </w:numPr>
              <w:spacing w:after="120"/>
              <w:ind w:left="601" w:hanging="425"/>
              <w:rPr>
                <w:rFonts w:cstheme="minorHAnsi"/>
                <w:sz w:val="24"/>
                <w:szCs w:val="24"/>
              </w:rPr>
            </w:pPr>
            <w:r w:rsidRPr="00B3646A">
              <w:rPr>
                <w:rFonts w:cstheme="minorHAnsi"/>
                <w:sz w:val="24"/>
                <w:szCs w:val="24"/>
              </w:rPr>
              <w:t xml:space="preserve">Test </w:t>
            </w:r>
            <w:r>
              <w:rPr>
                <w:rFonts w:cstheme="minorHAnsi"/>
                <w:sz w:val="24"/>
                <w:szCs w:val="24"/>
              </w:rPr>
              <w:t xml:space="preserve">of </w:t>
            </w:r>
            <w:r w:rsidRPr="00B3646A">
              <w:rPr>
                <w:rFonts w:cstheme="minorHAnsi"/>
                <w:sz w:val="24"/>
                <w:szCs w:val="24"/>
              </w:rPr>
              <w:t>the assumptions during consultation.</w:t>
            </w:r>
          </w:p>
        </w:tc>
      </w:tr>
      <w:tr w:rsidR="0050231F" w:rsidTr="0083160F">
        <w:tc>
          <w:tcPr>
            <w:tcW w:w="1985" w:type="dxa"/>
            <w:vMerge/>
            <w:shd w:val="clear" w:color="auto" w:fill="E36C0A" w:themeFill="accent6" w:themeFillShade="BF"/>
          </w:tcPr>
          <w:p w:rsidR="0050231F" w:rsidRPr="00B3646A" w:rsidRDefault="0050231F" w:rsidP="0083160F">
            <w:pPr>
              <w:spacing w:after="120"/>
              <w:rPr>
                <w:rFonts w:cstheme="minorHAnsi"/>
                <w:sz w:val="24"/>
                <w:szCs w:val="24"/>
              </w:rPr>
            </w:pPr>
          </w:p>
        </w:tc>
        <w:tc>
          <w:tcPr>
            <w:tcW w:w="2092" w:type="dxa"/>
            <w:shd w:val="clear" w:color="auto" w:fill="FABF8F" w:themeFill="accent6" w:themeFillTint="99"/>
            <w:vAlign w:val="center"/>
          </w:tcPr>
          <w:p w:rsidR="0050231F" w:rsidRPr="00B3646A" w:rsidRDefault="0050231F" w:rsidP="0083160F">
            <w:pPr>
              <w:spacing w:after="120"/>
              <w:jc w:val="center"/>
              <w:rPr>
                <w:rFonts w:cstheme="minorHAnsi"/>
                <w:sz w:val="24"/>
                <w:szCs w:val="24"/>
              </w:rPr>
            </w:pPr>
            <w:r w:rsidRPr="00B3646A">
              <w:rPr>
                <w:rFonts w:cstheme="minorHAnsi"/>
                <w:sz w:val="24"/>
                <w:szCs w:val="24"/>
              </w:rPr>
              <w:t>Final stage</w:t>
            </w:r>
          </w:p>
        </w:tc>
        <w:tc>
          <w:tcPr>
            <w:tcW w:w="4763" w:type="dxa"/>
            <w:shd w:val="clear" w:color="auto" w:fill="FDE9D9" w:themeFill="accent6" w:themeFillTint="33"/>
          </w:tcPr>
          <w:p w:rsidR="0050231F" w:rsidRPr="00B3646A" w:rsidRDefault="0050231F" w:rsidP="00CE5B54">
            <w:pPr>
              <w:pStyle w:val="ListParagraph"/>
              <w:numPr>
                <w:ilvl w:val="0"/>
                <w:numId w:val="8"/>
              </w:numPr>
              <w:spacing w:before="120" w:after="120"/>
              <w:ind w:left="601" w:hanging="425"/>
              <w:rPr>
                <w:rFonts w:cstheme="minorHAnsi"/>
                <w:sz w:val="24"/>
                <w:szCs w:val="24"/>
              </w:rPr>
            </w:pPr>
            <w:r w:rsidRPr="00B3646A">
              <w:rPr>
                <w:rFonts w:cstheme="minorHAnsi"/>
                <w:sz w:val="24"/>
                <w:szCs w:val="24"/>
              </w:rPr>
              <w:t xml:space="preserve">Update </w:t>
            </w:r>
            <w:r>
              <w:rPr>
                <w:rFonts w:cstheme="minorHAnsi"/>
                <w:sz w:val="24"/>
                <w:szCs w:val="24"/>
              </w:rPr>
              <w:t xml:space="preserve">of </w:t>
            </w:r>
            <w:r w:rsidRPr="00B3646A">
              <w:rPr>
                <w:rFonts w:cstheme="minorHAnsi"/>
                <w:sz w:val="24"/>
                <w:szCs w:val="24"/>
              </w:rPr>
              <w:t xml:space="preserve">assumptions </w:t>
            </w:r>
            <w:r>
              <w:rPr>
                <w:rFonts w:cstheme="minorHAnsi"/>
                <w:sz w:val="24"/>
                <w:szCs w:val="24"/>
              </w:rPr>
              <w:t>from</w:t>
            </w:r>
            <w:r w:rsidRPr="00B3646A">
              <w:rPr>
                <w:rFonts w:cstheme="minorHAnsi"/>
                <w:sz w:val="24"/>
                <w:szCs w:val="24"/>
              </w:rPr>
              <w:t xml:space="preserve"> consultation responses.</w:t>
            </w:r>
          </w:p>
          <w:p w:rsidR="0050231F" w:rsidRPr="00B3646A" w:rsidRDefault="0050231F" w:rsidP="0083160F">
            <w:pPr>
              <w:pStyle w:val="ListParagraph"/>
              <w:spacing w:before="120" w:after="120"/>
              <w:ind w:left="601"/>
              <w:rPr>
                <w:rFonts w:cstheme="minorHAnsi"/>
                <w:sz w:val="24"/>
                <w:szCs w:val="24"/>
              </w:rPr>
            </w:pPr>
          </w:p>
          <w:p w:rsidR="0050231F" w:rsidRPr="00B3646A" w:rsidRDefault="0050231F" w:rsidP="00CE5B54">
            <w:pPr>
              <w:pStyle w:val="ListParagraph"/>
              <w:numPr>
                <w:ilvl w:val="0"/>
                <w:numId w:val="8"/>
              </w:numPr>
              <w:spacing w:after="120"/>
              <w:ind w:left="601" w:hanging="425"/>
              <w:rPr>
                <w:rFonts w:cstheme="minorHAnsi"/>
                <w:sz w:val="24"/>
                <w:szCs w:val="24"/>
              </w:rPr>
            </w:pPr>
            <w:r w:rsidRPr="00B3646A">
              <w:rPr>
                <w:rFonts w:cstheme="minorHAnsi"/>
                <w:sz w:val="24"/>
                <w:szCs w:val="24"/>
              </w:rPr>
              <w:t>Monetis</w:t>
            </w:r>
            <w:r>
              <w:rPr>
                <w:rFonts w:cstheme="minorHAnsi"/>
                <w:sz w:val="24"/>
                <w:szCs w:val="24"/>
              </w:rPr>
              <w:t>ation</w:t>
            </w:r>
            <w:r w:rsidRPr="00B3646A">
              <w:rPr>
                <w:rFonts w:cstheme="minorHAnsi"/>
                <w:sz w:val="24"/>
                <w:szCs w:val="24"/>
              </w:rPr>
              <w:t xml:space="preserve"> </w:t>
            </w:r>
            <w:r>
              <w:rPr>
                <w:rFonts w:cstheme="minorHAnsi"/>
                <w:sz w:val="24"/>
                <w:szCs w:val="24"/>
              </w:rPr>
              <w:t xml:space="preserve">of </w:t>
            </w:r>
            <w:r w:rsidRPr="00B3646A">
              <w:rPr>
                <w:rFonts w:cstheme="minorHAnsi"/>
                <w:sz w:val="24"/>
                <w:szCs w:val="24"/>
              </w:rPr>
              <w:t xml:space="preserve">all options as </w:t>
            </w:r>
            <w:r>
              <w:rPr>
                <w:rFonts w:cstheme="minorHAnsi"/>
                <w:sz w:val="24"/>
                <w:szCs w:val="24"/>
              </w:rPr>
              <w:t>far</w:t>
            </w:r>
            <w:r w:rsidRPr="00B3646A">
              <w:rPr>
                <w:rFonts w:cstheme="minorHAnsi"/>
                <w:sz w:val="24"/>
                <w:szCs w:val="24"/>
              </w:rPr>
              <w:t xml:space="preserve"> as possible and proportionate.</w:t>
            </w:r>
          </w:p>
          <w:p w:rsidR="0050231F" w:rsidRPr="00B3646A" w:rsidRDefault="0050231F" w:rsidP="0083160F">
            <w:pPr>
              <w:pStyle w:val="ListParagraph"/>
              <w:spacing w:after="120"/>
              <w:ind w:left="601"/>
              <w:rPr>
                <w:rFonts w:cstheme="minorHAnsi"/>
                <w:sz w:val="24"/>
                <w:szCs w:val="24"/>
              </w:rPr>
            </w:pPr>
          </w:p>
          <w:p w:rsidR="0050231F" w:rsidRPr="00B3646A" w:rsidRDefault="0050231F" w:rsidP="00CE5B54">
            <w:pPr>
              <w:pStyle w:val="ListParagraph"/>
              <w:numPr>
                <w:ilvl w:val="0"/>
                <w:numId w:val="8"/>
              </w:numPr>
              <w:spacing w:after="120"/>
              <w:ind w:left="601" w:hanging="425"/>
              <w:rPr>
                <w:rFonts w:cstheme="minorHAnsi"/>
                <w:sz w:val="24"/>
                <w:szCs w:val="24"/>
              </w:rPr>
            </w:pPr>
            <w:r>
              <w:rPr>
                <w:rFonts w:cstheme="minorHAnsi"/>
                <w:sz w:val="24"/>
                <w:szCs w:val="24"/>
              </w:rPr>
              <w:t>Clear explanation of w</w:t>
            </w:r>
            <w:r w:rsidRPr="00B3646A">
              <w:rPr>
                <w:rFonts w:cstheme="minorHAnsi"/>
                <w:sz w:val="24"/>
                <w:szCs w:val="24"/>
              </w:rPr>
              <w:t>hy regulation</w:t>
            </w:r>
            <w:r>
              <w:rPr>
                <w:rFonts w:cstheme="minorHAnsi"/>
                <w:sz w:val="24"/>
                <w:szCs w:val="24"/>
              </w:rPr>
              <w:t xml:space="preserve"> is</w:t>
            </w:r>
            <w:r w:rsidRPr="00B3646A">
              <w:rPr>
                <w:rFonts w:cstheme="minorHAnsi"/>
                <w:sz w:val="24"/>
                <w:szCs w:val="24"/>
              </w:rPr>
              <w:t xml:space="preserve"> favoured</w:t>
            </w:r>
            <w:r>
              <w:rPr>
                <w:rFonts w:cstheme="minorHAnsi"/>
                <w:sz w:val="24"/>
                <w:szCs w:val="24"/>
              </w:rPr>
              <w:t>.</w:t>
            </w:r>
            <w:r w:rsidRPr="00B3646A">
              <w:rPr>
                <w:rFonts w:cstheme="minorHAnsi"/>
                <w:sz w:val="24"/>
                <w:szCs w:val="24"/>
              </w:rPr>
              <w:t xml:space="preserve"> For example, why was a </w:t>
            </w:r>
            <w:r w:rsidRPr="00B3646A">
              <w:rPr>
                <w:rFonts w:cstheme="minorHAnsi"/>
                <w:sz w:val="24"/>
                <w:szCs w:val="24"/>
              </w:rPr>
              <w:lastRenderedPageBreak/>
              <w:t>voluntary approach</w:t>
            </w:r>
            <w:r>
              <w:rPr>
                <w:rFonts w:cstheme="minorHAnsi"/>
                <w:sz w:val="24"/>
                <w:szCs w:val="24"/>
              </w:rPr>
              <w:t>,</w:t>
            </w:r>
            <w:r w:rsidR="00B07C97">
              <w:rPr>
                <w:rFonts w:cstheme="minorHAnsi"/>
                <w:sz w:val="24"/>
                <w:szCs w:val="24"/>
              </w:rPr>
              <w:t xml:space="preserve"> </w:t>
            </w:r>
            <w:proofErr w:type="gramStart"/>
            <w:r>
              <w:rPr>
                <w:rFonts w:cstheme="minorHAnsi"/>
                <w:sz w:val="24"/>
                <w:szCs w:val="24"/>
              </w:rPr>
              <w:t xml:space="preserve">say </w:t>
            </w:r>
            <w:r w:rsidRPr="00B3646A">
              <w:rPr>
                <w:rFonts w:cstheme="minorHAnsi"/>
                <w:sz w:val="24"/>
                <w:szCs w:val="24"/>
              </w:rPr>
              <w:t xml:space="preserve"> resulting</w:t>
            </w:r>
            <w:proofErr w:type="gramEnd"/>
            <w:r w:rsidRPr="00B3646A">
              <w:rPr>
                <w:rFonts w:cstheme="minorHAnsi"/>
                <w:sz w:val="24"/>
                <w:szCs w:val="24"/>
              </w:rPr>
              <w:t xml:space="preserve"> in half the costs to business but delivering 60% of the policy benefits, seen as an inferior approach?</w:t>
            </w:r>
          </w:p>
        </w:tc>
      </w:tr>
      <w:tr w:rsidR="0050231F" w:rsidTr="0083160F">
        <w:trPr>
          <w:trHeight w:val="1985"/>
        </w:trPr>
        <w:tc>
          <w:tcPr>
            <w:tcW w:w="1985" w:type="dxa"/>
            <w:shd w:val="clear" w:color="auto" w:fill="E36C0A" w:themeFill="accent6" w:themeFillShade="BF"/>
            <w:vAlign w:val="center"/>
          </w:tcPr>
          <w:p w:rsidR="0050231F" w:rsidRPr="00B3646A" w:rsidRDefault="0050231F" w:rsidP="0083160F">
            <w:pPr>
              <w:spacing w:after="120"/>
              <w:jc w:val="center"/>
              <w:rPr>
                <w:rFonts w:cstheme="minorHAnsi"/>
                <w:sz w:val="24"/>
                <w:szCs w:val="24"/>
              </w:rPr>
            </w:pPr>
            <w:r w:rsidRPr="00B3646A">
              <w:rPr>
                <w:rFonts w:cstheme="minorHAnsi"/>
                <w:sz w:val="24"/>
                <w:szCs w:val="24"/>
              </w:rPr>
              <w:lastRenderedPageBreak/>
              <w:t>EU/International</w:t>
            </w:r>
          </w:p>
        </w:tc>
        <w:tc>
          <w:tcPr>
            <w:tcW w:w="6855" w:type="dxa"/>
            <w:gridSpan w:val="2"/>
            <w:shd w:val="clear" w:color="auto" w:fill="FDE9D9" w:themeFill="accent6" w:themeFillTint="33"/>
            <w:vAlign w:val="center"/>
          </w:tcPr>
          <w:p w:rsidR="0050231F" w:rsidRPr="00B3646A" w:rsidRDefault="0050231F" w:rsidP="0083160F">
            <w:pPr>
              <w:pStyle w:val="ListParagraph"/>
              <w:spacing w:before="120" w:after="120"/>
              <w:ind w:left="709"/>
              <w:rPr>
                <w:rFonts w:cstheme="minorHAnsi"/>
                <w:sz w:val="24"/>
                <w:szCs w:val="24"/>
              </w:rPr>
            </w:pPr>
          </w:p>
          <w:p w:rsidR="0050231F" w:rsidRPr="00B3646A" w:rsidRDefault="0050231F" w:rsidP="00CE5B54">
            <w:pPr>
              <w:pStyle w:val="ListParagraph"/>
              <w:numPr>
                <w:ilvl w:val="0"/>
                <w:numId w:val="9"/>
              </w:numPr>
              <w:spacing w:after="120"/>
              <w:ind w:left="709" w:hanging="426"/>
              <w:rPr>
                <w:rFonts w:cstheme="minorHAnsi"/>
                <w:sz w:val="24"/>
                <w:szCs w:val="24"/>
              </w:rPr>
            </w:pPr>
            <w:r w:rsidRPr="00B3646A">
              <w:rPr>
                <w:rFonts w:cstheme="minorHAnsi"/>
                <w:sz w:val="24"/>
                <w:szCs w:val="24"/>
              </w:rPr>
              <w:t>Clear expla</w:t>
            </w:r>
            <w:r>
              <w:rPr>
                <w:rFonts w:cstheme="minorHAnsi"/>
                <w:sz w:val="24"/>
                <w:szCs w:val="24"/>
              </w:rPr>
              <w:t>nation</w:t>
            </w:r>
            <w:r w:rsidRPr="00B3646A">
              <w:rPr>
                <w:rFonts w:cstheme="minorHAnsi"/>
                <w:sz w:val="24"/>
                <w:szCs w:val="24"/>
              </w:rPr>
              <w:t xml:space="preserve"> </w:t>
            </w:r>
            <w:r>
              <w:rPr>
                <w:rFonts w:cstheme="minorHAnsi"/>
                <w:sz w:val="24"/>
                <w:szCs w:val="24"/>
              </w:rPr>
              <w:t xml:space="preserve">of whether </w:t>
            </w:r>
            <w:r w:rsidRPr="00B3646A">
              <w:rPr>
                <w:rFonts w:cstheme="minorHAnsi"/>
                <w:sz w:val="24"/>
                <w:szCs w:val="24"/>
              </w:rPr>
              <w:t xml:space="preserve">and why a regulatory approach by the UK is required to fulfil the </w:t>
            </w:r>
            <w:r>
              <w:rPr>
                <w:rFonts w:cstheme="minorHAnsi"/>
                <w:sz w:val="24"/>
                <w:szCs w:val="24"/>
              </w:rPr>
              <w:t>EU obligations</w:t>
            </w:r>
            <w:r w:rsidRPr="00B3646A">
              <w:rPr>
                <w:rFonts w:cstheme="minorHAnsi"/>
                <w:sz w:val="24"/>
                <w:szCs w:val="24"/>
              </w:rPr>
              <w:t>.</w:t>
            </w:r>
          </w:p>
        </w:tc>
      </w:tr>
    </w:tbl>
    <w:p w:rsidR="0050231F" w:rsidRDefault="0050231F" w:rsidP="0050231F">
      <w:pPr>
        <w:spacing w:after="120"/>
        <w:rPr>
          <w:rFonts w:cstheme="minorHAnsi"/>
        </w:rPr>
      </w:pPr>
    </w:p>
    <w:p w:rsidR="0050231F" w:rsidRDefault="0050231F" w:rsidP="0050231F">
      <w:pPr>
        <w:spacing w:after="120"/>
        <w:rPr>
          <w:rFonts w:cstheme="minorHAnsi"/>
          <w:sz w:val="24"/>
          <w:szCs w:val="24"/>
        </w:rPr>
      </w:pPr>
      <w:r>
        <w:rPr>
          <w:rFonts w:cstheme="minorHAnsi"/>
          <w:sz w:val="24"/>
          <w:szCs w:val="24"/>
        </w:rPr>
        <w:t>T</w:t>
      </w:r>
      <w:r w:rsidRPr="003032B3">
        <w:rPr>
          <w:rFonts w:cstheme="minorHAnsi"/>
          <w:sz w:val="24"/>
          <w:szCs w:val="24"/>
        </w:rPr>
        <w:t xml:space="preserve">he RPC would like to see more assessments </w:t>
      </w:r>
      <w:r>
        <w:rPr>
          <w:rFonts w:cstheme="minorHAnsi"/>
          <w:sz w:val="24"/>
          <w:szCs w:val="24"/>
        </w:rPr>
        <w:t>and more</w:t>
      </w:r>
      <w:r w:rsidRPr="003032B3">
        <w:rPr>
          <w:rFonts w:cstheme="minorHAnsi"/>
          <w:sz w:val="24"/>
          <w:szCs w:val="24"/>
        </w:rPr>
        <w:t xml:space="preserve"> monetisation of costs and benefits </w:t>
      </w:r>
      <w:r>
        <w:rPr>
          <w:rFonts w:cstheme="minorHAnsi"/>
          <w:sz w:val="24"/>
          <w:szCs w:val="24"/>
        </w:rPr>
        <w:t xml:space="preserve">for </w:t>
      </w:r>
      <w:r w:rsidRPr="003032B3">
        <w:rPr>
          <w:rFonts w:cstheme="minorHAnsi"/>
          <w:sz w:val="24"/>
          <w:szCs w:val="24"/>
        </w:rPr>
        <w:t xml:space="preserve">non-regulatory options. </w:t>
      </w:r>
      <w:r>
        <w:rPr>
          <w:sz w:val="24"/>
          <w:szCs w:val="24"/>
        </w:rPr>
        <w:t>RPC analysis shows</w:t>
      </w:r>
      <w:r w:rsidRPr="006C111F">
        <w:rPr>
          <w:sz w:val="24"/>
          <w:szCs w:val="24"/>
        </w:rPr>
        <w:t xml:space="preserve"> that</w:t>
      </w:r>
      <w:r>
        <w:rPr>
          <w:sz w:val="24"/>
          <w:szCs w:val="24"/>
        </w:rPr>
        <w:t>,</w:t>
      </w:r>
      <w:r w:rsidRPr="006C111F">
        <w:rPr>
          <w:sz w:val="24"/>
          <w:szCs w:val="24"/>
        </w:rPr>
        <w:t xml:space="preserve"> </w:t>
      </w:r>
      <w:r>
        <w:rPr>
          <w:sz w:val="24"/>
          <w:szCs w:val="24"/>
        </w:rPr>
        <w:t xml:space="preserve">in 2014, only </w:t>
      </w:r>
      <w:r w:rsidRPr="006C111F">
        <w:rPr>
          <w:sz w:val="24"/>
          <w:szCs w:val="24"/>
        </w:rPr>
        <w:t>one in two domestic</w:t>
      </w:r>
      <w:r>
        <w:rPr>
          <w:sz w:val="24"/>
          <w:szCs w:val="24"/>
        </w:rPr>
        <w:t xml:space="preserve"> </w:t>
      </w:r>
      <w:r w:rsidRPr="006C111F">
        <w:rPr>
          <w:sz w:val="24"/>
          <w:szCs w:val="24"/>
        </w:rPr>
        <w:t xml:space="preserve">regulatory measures </w:t>
      </w:r>
      <w:r>
        <w:rPr>
          <w:sz w:val="24"/>
          <w:szCs w:val="24"/>
        </w:rPr>
        <w:t>submitted via a</w:t>
      </w:r>
      <w:r w:rsidRPr="006C111F">
        <w:rPr>
          <w:sz w:val="24"/>
          <w:szCs w:val="24"/>
        </w:rPr>
        <w:t xml:space="preserve"> full track </w:t>
      </w:r>
      <w:r>
        <w:rPr>
          <w:sz w:val="24"/>
          <w:szCs w:val="24"/>
        </w:rPr>
        <w:t xml:space="preserve">route </w:t>
      </w:r>
      <w:r w:rsidRPr="006C111F">
        <w:rPr>
          <w:sz w:val="24"/>
          <w:szCs w:val="24"/>
        </w:rPr>
        <w:t>discussed non-regulatory options.</w:t>
      </w:r>
      <w:r>
        <w:rPr>
          <w:sz w:val="24"/>
          <w:szCs w:val="24"/>
        </w:rPr>
        <w:t xml:space="preserve"> </w:t>
      </w:r>
      <w:proofErr w:type="gramStart"/>
      <w:r>
        <w:rPr>
          <w:sz w:val="24"/>
          <w:szCs w:val="24"/>
        </w:rPr>
        <w:t>In addition, o</w:t>
      </w:r>
      <w:r w:rsidRPr="006C111F">
        <w:rPr>
          <w:sz w:val="24"/>
          <w:szCs w:val="24"/>
        </w:rPr>
        <w:t>nly one in eight quantified and monetised non-regulatory options fully.</w:t>
      </w:r>
      <w:proofErr w:type="gramEnd"/>
    </w:p>
    <w:p w:rsidR="0050231F" w:rsidRDefault="0050231F" w:rsidP="0050231F">
      <w:pPr>
        <w:spacing w:after="120"/>
        <w:rPr>
          <w:rFonts w:cstheme="minorHAnsi"/>
          <w:sz w:val="24"/>
          <w:szCs w:val="24"/>
        </w:rPr>
      </w:pPr>
      <w:r>
        <w:rPr>
          <w:rFonts w:cstheme="minorHAnsi"/>
          <w:sz w:val="24"/>
          <w:szCs w:val="24"/>
        </w:rPr>
        <w:t xml:space="preserve">Where a department is proposing to regulate, the RPC will look for </w:t>
      </w:r>
      <w:r w:rsidRPr="003032B3">
        <w:rPr>
          <w:rFonts w:cstheme="minorHAnsi"/>
          <w:sz w:val="24"/>
          <w:szCs w:val="24"/>
        </w:rPr>
        <w:t>analysis outlining why alternatives to regulation are not viable or will not be effective in achieving the policy objective. Where possible and proportionate</w:t>
      </w:r>
      <w:r>
        <w:rPr>
          <w:rFonts w:cstheme="minorHAnsi"/>
          <w:sz w:val="24"/>
          <w:szCs w:val="24"/>
        </w:rPr>
        <w:t>,</w:t>
      </w:r>
      <w:r w:rsidRPr="003032B3">
        <w:rPr>
          <w:rFonts w:cstheme="minorHAnsi"/>
          <w:sz w:val="24"/>
          <w:szCs w:val="24"/>
        </w:rPr>
        <w:t xml:space="preserve"> this analysis should include quantification.</w:t>
      </w:r>
      <w:r w:rsidRPr="0066373D">
        <w:rPr>
          <w:rStyle w:val="FootnoteReference"/>
          <w:rFonts w:cstheme="minorHAnsi"/>
          <w:sz w:val="24"/>
          <w:szCs w:val="24"/>
        </w:rPr>
        <w:t xml:space="preserve"> </w:t>
      </w:r>
    </w:p>
    <w:p w:rsidR="0050231F" w:rsidRDefault="0050231F" w:rsidP="0050231F">
      <w:pPr>
        <w:spacing w:after="120"/>
        <w:rPr>
          <w:rFonts w:cstheme="minorHAnsi"/>
          <w:sz w:val="24"/>
          <w:szCs w:val="24"/>
        </w:rPr>
      </w:pPr>
      <w:r w:rsidRPr="003032B3">
        <w:rPr>
          <w:rFonts w:cstheme="minorHAnsi"/>
          <w:sz w:val="24"/>
          <w:szCs w:val="24"/>
        </w:rPr>
        <w:t xml:space="preserve">At consultation stage, the focus of the impact assessment should be to present a suitable set of options, including non-regulatory </w:t>
      </w:r>
      <w:r>
        <w:rPr>
          <w:rFonts w:cstheme="minorHAnsi"/>
          <w:sz w:val="24"/>
          <w:szCs w:val="24"/>
        </w:rPr>
        <w:t>alternatives</w:t>
      </w:r>
      <w:r w:rsidRPr="003032B3">
        <w:rPr>
          <w:rFonts w:cstheme="minorHAnsi"/>
          <w:sz w:val="24"/>
          <w:szCs w:val="24"/>
        </w:rPr>
        <w:t>, and to identify and explain costs and benefits of all</w:t>
      </w:r>
      <w:r w:rsidR="00B253B2">
        <w:rPr>
          <w:rFonts w:cstheme="minorHAnsi"/>
          <w:sz w:val="24"/>
          <w:szCs w:val="24"/>
        </w:rPr>
        <w:t xml:space="preserve"> options in a comparable way</w:t>
      </w:r>
      <w:r w:rsidRPr="003032B3">
        <w:rPr>
          <w:rFonts w:cstheme="minorHAnsi"/>
          <w:sz w:val="24"/>
          <w:szCs w:val="24"/>
        </w:rPr>
        <w:t xml:space="preserve">. At final stage, the focus should be </w:t>
      </w:r>
      <w:r>
        <w:rPr>
          <w:rFonts w:cstheme="minorHAnsi"/>
          <w:sz w:val="24"/>
          <w:szCs w:val="24"/>
        </w:rPr>
        <w:t>on</w:t>
      </w:r>
      <w:r w:rsidRPr="003032B3">
        <w:rPr>
          <w:rFonts w:cstheme="minorHAnsi"/>
          <w:sz w:val="24"/>
          <w:szCs w:val="24"/>
        </w:rPr>
        <w:t xml:space="preserve"> monetis</w:t>
      </w:r>
      <w:r>
        <w:rPr>
          <w:rFonts w:cstheme="minorHAnsi"/>
          <w:sz w:val="24"/>
          <w:szCs w:val="24"/>
        </w:rPr>
        <w:t>ing</w:t>
      </w:r>
      <w:r w:rsidRPr="003032B3">
        <w:rPr>
          <w:rFonts w:cstheme="minorHAnsi"/>
          <w:sz w:val="24"/>
          <w:szCs w:val="24"/>
        </w:rPr>
        <w:t xml:space="preserve"> the </w:t>
      </w:r>
      <w:r>
        <w:rPr>
          <w:rFonts w:cstheme="minorHAnsi"/>
          <w:sz w:val="24"/>
          <w:szCs w:val="24"/>
        </w:rPr>
        <w:t>impacts</w:t>
      </w:r>
      <w:r w:rsidRPr="003032B3">
        <w:rPr>
          <w:rFonts w:cstheme="minorHAnsi"/>
          <w:sz w:val="24"/>
          <w:szCs w:val="24"/>
        </w:rPr>
        <w:t xml:space="preserve"> as much as feasible and proportionate</w:t>
      </w:r>
      <w:r>
        <w:rPr>
          <w:rFonts w:cstheme="minorHAnsi"/>
          <w:sz w:val="24"/>
          <w:szCs w:val="24"/>
        </w:rPr>
        <w:t>,</w:t>
      </w:r>
      <w:r w:rsidRPr="003032B3">
        <w:rPr>
          <w:rFonts w:cstheme="minorHAnsi"/>
          <w:sz w:val="24"/>
          <w:szCs w:val="24"/>
        </w:rPr>
        <w:t xml:space="preserve"> to </w:t>
      </w:r>
      <w:r>
        <w:rPr>
          <w:rFonts w:cstheme="minorHAnsi"/>
          <w:sz w:val="24"/>
          <w:szCs w:val="24"/>
        </w:rPr>
        <w:t xml:space="preserve">support any recommendation for </w:t>
      </w:r>
      <w:r w:rsidRPr="003032B3">
        <w:rPr>
          <w:rFonts w:cstheme="minorHAnsi"/>
          <w:sz w:val="24"/>
          <w:szCs w:val="24"/>
        </w:rPr>
        <w:t>a regulatory approach.</w:t>
      </w:r>
      <w:r>
        <w:rPr>
          <w:rFonts w:cstheme="minorHAnsi"/>
          <w:sz w:val="24"/>
          <w:szCs w:val="24"/>
        </w:rPr>
        <w:t xml:space="preserve"> Where non-regulatory approaches are currently in place, their effects should be fully assessed as part of the ‘</w:t>
      </w:r>
      <w:proofErr w:type="gramStart"/>
      <w:r>
        <w:rPr>
          <w:rFonts w:cstheme="minorHAnsi"/>
          <w:sz w:val="24"/>
          <w:szCs w:val="24"/>
        </w:rPr>
        <w:t>do</w:t>
      </w:r>
      <w:proofErr w:type="gramEnd"/>
      <w:r>
        <w:rPr>
          <w:rFonts w:cstheme="minorHAnsi"/>
          <w:sz w:val="24"/>
          <w:szCs w:val="24"/>
        </w:rPr>
        <w:t xml:space="preserve"> nothing’ option. The RPC acknowledges that non-regulatory options are not feasible in all cases. The RPC recognises that the scope to implement the policy via different options might be particularly limited with international measures or the transposition of EU directives. </w:t>
      </w:r>
    </w:p>
    <w:p w:rsidR="0050231F" w:rsidRDefault="0050231F" w:rsidP="0050231F">
      <w:pPr>
        <w:spacing w:line="240" w:lineRule="auto"/>
        <w:rPr>
          <w:rFonts w:cstheme="minorHAnsi"/>
        </w:rPr>
      </w:pPr>
    </w:p>
    <w:p w:rsidR="0050231F" w:rsidRPr="00E86AC4" w:rsidRDefault="0050231F" w:rsidP="00CE5B54">
      <w:pPr>
        <w:pStyle w:val="ListParagraph"/>
        <w:numPr>
          <w:ilvl w:val="1"/>
          <w:numId w:val="11"/>
        </w:numPr>
        <w:spacing w:line="240" w:lineRule="auto"/>
        <w:rPr>
          <w:rFonts w:cstheme="minorHAnsi"/>
          <w:b/>
          <w:color w:val="984806" w:themeColor="accent6" w:themeShade="80"/>
          <w:sz w:val="28"/>
          <w:szCs w:val="28"/>
        </w:rPr>
      </w:pPr>
      <w:r>
        <w:rPr>
          <w:rFonts w:cstheme="minorHAnsi"/>
          <w:b/>
          <w:color w:val="984806" w:themeColor="accent6" w:themeShade="80"/>
          <w:sz w:val="28"/>
          <w:szCs w:val="28"/>
        </w:rPr>
        <w:t xml:space="preserve"> Broader issues </w:t>
      </w:r>
      <w:r w:rsidRPr="00E86AC4">
        <w:rPr>
          <w:rFonts w:cstheme="minorHAnsi"/>
          <w:b/>
          <w:color w:val="984806" w:themeColor="accent6" w:themeShade="80"/>
          <w:sz w:val="28"/>
          <w:szCs w:val="28"/>
        </w:rPr>
        <w:t xml:space="preserve">departments </w:t>
      </w:r>
      <w:r>
        <w:rPr>
          <w:rFonts w:cstheme="minorHAnsi"/>
          <w:b/>
          <w:color w:val="984806" w:themeColor="accent6" w:themeShade="80"/>
          <w:sz w:val="28"/>
          <w:szCs w:val="28"/>
        </w:rPr>
        <w:t xml:space="preserve">should consider in the </w:t>
      </w:r>
      <w:r w:rsidRPr="00E86AC4">
        <w:rPr>
          <w:rFonts w:cstheme="minorHAnsi"/>
          <w:b/>
          <w:color w:val="984806" w:themeColor="accent6" w:themeShade="80"/>
          <w:sz w:val="28"/>
          <w:szCs w:val="28"/>
        </w:rPr>
        <w:t>analysis of options</w:t>
      </w:r>
    </w:p>
    <w:p w:rsidR="0050231F" w:rsidRPr="001B0A23" w:rsidRDefault="0050231F" w:rsidP="0050231F">
      <w:pPr>
        <w:spacing w:line="240" w:lineRule="auto"/>
        <w:rPr>
          <w:rFonts w:cstheme="minorHAnsi"/>
          <w:b/>
          <w:color w:val="984806" w:themeColor="accent6" w:themeShade="80"/>
          <w:sz w:val="8"/>
          <w:szCs w:val="8"/>
        </w:rPr>
      </w:pPr>
    </w:p>
    <w:p w:rsidR="0050231F" w:rsidRPr="003032B3" w:rsidRDefault="0050231F" w:rsidP="0050231F">
      <w:pPr>
        <w:pStyle w:val="ListParagraph"/>
        <w:spacing w:after="120"/>
        <w:ind w:left="709" w:hanging="709"/>
        <w:rPr>
          <w:rFonts w:cstheme="minorHAnsi"/>
          <w:b/>
          <w:sz w:val="24"/>
          <w:szCs w:val="24"/>
        </w:rPr>
      </w:pPr>
      <w:r>
        <w:rPr>
          <w:rFonts w:cstheme="minorHAnsi"/>
          <w:b/>
          <w:sz w:val="24"/>
          <w:szCs w:val="24"/>
        </w:rPr>
        <w:t xml:space="preserve">2.2.1 </w:t>
      </w:r>
      <w:r>
        <w:rPr>
          <w:rFonts w:cstheme="minorHAnsi"/>
          <w:b/>
          <w:sz w:val="24"/>
          <w:szCs w:val="24"/>
        </w:rPr>
        <w:tab/>
      </w:r>
      <w:r w:rsidRPr="003032B3">
        <w:rPr>
          <w:rFonts w:cstheme="minorHAnsi"/>
          <w:b/>
          <w:sz w:val="24"/>
          <w:szCs w:val="24"/>
        </w:rPr>
        <w:t>The</w:t>
      </w:r>
      <w:r>
        <w:rPr>
          <w:rFonts w:cstheme="minorHAnsi"/>
          <w:b/>
          <w:sz w:val="24"/>
          <w:szCs w:val="24"/>
        </w:rPr>
        <w:t xml:space="preserve"> relationship between regulatory</w:t>
      </w:r>
      <w:r w:rsidRPr="003032B3">
        <w:rPr>
          <w:rFonts w:cstheme="minorHAnsi"/>
          <w:b/>
          <w:sz w:val="24"/>
          <w:szCs w:val="24"/>
        </w:rPr>
        <w:t xml:space="preserve"> and non-regulatory approaches</w:t>
      </w:r>
    </w:p>
    <w:p w:rsidR="0050231F" w:rsidRPr="003032B3" w:rsidRDefault="0050231F" w:rsidP="0050231F">
      <w:pPr>
        <w:spacing w:after="120"/>
        <w:rPr>
          <w:rFonts w:cstheme="minorHAnsi"/>
          <w:sz w:val="24"/>
          <w:szCs w:val="24"/>
        </w:rPr>
      </w:pPr>
      <w:r>
        <w:rPr>
          <w:rFonts w:cstheme="minorHAnsi"/>
          <w:sz w:val="24"/>
          <w:szCs w:val="24"/>
        </w:rPr>
        <w:t>The RPC expects d</w:t>
      </w:r>
      <w:r w:rsidRPr="003032B3">
        <w:rPr>
          <w:rFonts w:cstheme="minorHAnsi"/>
          <w:sz w:val="24"/>
          <w:szCs w:val="24"/>
        </w:rPr>
        <w:t xml:space="preserve">epartments </w:t>
      </w:r>
      <w:r>
        <w:rPr>
          <w:rFonts w:cstheme="minorHAnsi"/>
          <w:sz w:val="24"/>
          <w:szCs w:val="24"/>
        </w:rPr>
        <w:t xml:space="preserve">to </w:t>
      </w:r>
      <w:r w:rsidRPr="003032B3">
        <w:rPr>
          <w:rFonts w:cstheme="minorHAnsi"/>
          <w:sz w:val="24"/>
          <w:szCs w:val="24"/>
        </w:rPr>
        <w:t>show awareness and</w:t>
      </w:r>
      <w:r>
        <w:rPr>
          <w:rFonts w:cstheme="minorHAnsi"/>
          <w:sz w:val="24"/>
          <w:szCs w:val="24"/>
        </w:rPr>
        <w:t xml:space="preserve"> provide clear</w:t>
      </w:r>
      <w:r w:rsidRPr="003032B3">
        <w:rPr>
          <w:rFonts w:cstheme="minorHAnsi"/>
          <w:sz w:val="24"/>
          <w:szCs w:val="24"/>
        </w:rPr>
        <w:t xml:space="preserve"> analys</w:t>
      </w:r>
      <w:r>
        <w:rPr>
          <w:rFonts w:cstheme="minorHAnsi"/>
          <w:sz w:val="24"/>
          <w:szCs w:val="24"/>
        </w:rPr>
        <w:t>is</w:t>
      </w:r>
      <w:r w:rsidRPr="003032B3">
        <w:rPr>
          <w:rFonts w:cstheme="minorHAnsi"/>
          <w:sz w:val="24"/>
          <w:szCs w:val="24"/>
        </w:rPr>
        <w:t xml:space="preserve"> </w:t>
      </w:r>
      <w:r>
        <w:rPr>
          <w:rFonts w:cstheme="minorHAnsi"/>
          <w:sz w:val="24"/>
          <w:szCs w:val="24"/>
        </w:rPr>
        <w:t xml:space="preserve">of </w:t>
      </w:r>
      <w:r w:rsidRPr="003032B3">
        <w:rPr>
          <w:rFonts w:cstheme="minorHAnsi"/>
          <w:sz w:val="24"/>
          <w:szCs w:val="24"/>
        </w:rPr>
        <w:t xml:space="preserve">the relationship between non-regulatory approaches and regulatory ones. The effectiveness of regulation might depend on the level of voluntary schemes already in place. Existing forms </w:t>
      </w:r>
      <w:r w:rsidRPr="003032B3">
        <w:rPr>
          <w:rFonts w:cstheme="minorHAnsi"/>
          <w:sz w:val="24"/>
          <w:szCs w:val="24"/>
        </w:rPr>
        <w:lastRenderedPageBreak/>
        <w:t>of self-regulation or co-regulation might make new regulation partially redundant</w:t>
      </w:r>
      <w:r>
        <w:rPr>
          <w:rFonts w:cstheme="minorHAnsi"/>
          <w:sz w:val="24"/>
          <w:szCs w:val="24"/>
        </w:rPr>
        <w:t xml:space="preserve"> as the benefits of such new regulations would be reduced</w:t>
      </w:r>
      <w:r w:rsidRPr="003032B3">
        <w:rPr>
          <w:rFonts w:cstheme="minorHAnsi"/>
          <w:sz w:val="24"/>
          <w:szCs w:val="24"/>
        </w:rPr>
        <w:t>.</w:t>
      </w:r>
      <w:r w:rsidRPr="003032B3">
        <w:rPr>
          <w:rStyle w:val="FootnoteReference"/>
          <w:rFonts w:cstheme="minorHAnsi"/>
          <w:sz w:val="24"/>
          <w:szCs w:val="24"/>
        </w:rPr>
        <w:footnoteReference w:id="1"/>
      </w:r>
      <w:r w:rsidRPr="003032B3">
        <w:rPr>
          <w:rFonts w:cstheme="minorHAnsi"/>
          <w:sz w:val="24"/>
          <w:szCs w:val="24"/>
        </w:rPr>
        <w:t xml:space="preserve"> </w:t>
      </w:r>
    </w:p>
    <w:p w:rsidR="0050231F" w:rsidRDefault="0050231F" w:rsidP="0050231F">
      <w:pPr>
        <w:spacing w:after="120"/>
        <w:rPr>
          <w:rFonts w:cstheme="minorHAnsi"/>
          <w:sz w:val="24"/>
          <w:szCs w:val="24"/>
        </w:rPr>
      </w:pPr>
      <w:r w:rsidRPr="003032B3">
        <w:rPr>
          <w:rFonts w:cstheme="minorHAnsi"/>
          <w:sz w:val="24"/>
          <w:szCs w:val="24"/>
        </w:rPr>
        <w:t xml:space="preserve">Departments should </w:t>
      </w:r>
      <w:r>
        <w:rPr>
          <w:rFonts w:cstheme="minorHAnsi"/>
          <w:sz w:val="24"/>
          <w:szCs w:val="24"/>
        </w:rPr>
        <w:t xml:space="preserve">consider how the position might evolve over time. </w:t>
      </w:r>
      <w:r w:rsidRPr="003032B3">
        <w:rPr>
          <w:rFonts w:cstheme="minorHAnsi"/>
          <w:sz w:val="24"/>
          <w:szCs w:val="24"/>
        </w:rPr>
        <w:t xml:space="preserve"> Are businesses currently thinking about a voluntary approach and should it be included in the counterfactual? Would the introduction of </w:t>
      </w:r>
      <w:r>
        <w:rPr>
          <w:rFonts w:cstheme="minorHAnsi"/>
          <w:sz w:val="24"/>
          <w:szCs w:val="24"/>
        </w:rPr>
        <w:t xml:space="preserve">statutory </w:t>
      </w:r>
      <w:r w:rsidRPr="003032B3">
        <w:rPr>
          <w:rFonts w:cstheme="minorHAnsi"/>
          <w:sz w:val="24"/>
          <w:szCs w:val="24"/>
        </w:rPr>
        <w:t>regulation stifle voluntary efforts by business?</w:t>
      </w:r>
    </w:p>
    <w:p w:rsidR="0050231F" w:rsidRPr="00E86AC4" w:rsidRDefault="0050231F" w:rsidP="00CE5B54">
      <w:pPr>
        <w:pStyle w:val="ListParagraph"/>
        <w:numPr>
          <w:ilvl w:val="2"/>
          <w:numId w:val="12"/>
        </w:numPr>
        <w:spacing w:after="120"/>
        <w:rPr>
          <w:rFonts w:cstheme="minorHAnsi"/>
          <w:b/>
          <w:sz w:val="24"/>
          <w:szCs w:val="24"/>
        </w:rPr>
      </w:pPr>
      <w:r w:rsidRPr="00E86AC4">
        <w:rPr>
          <w:rFonts w:cstheme="minorHAnsi"/>
          <w:b/>
          <w:sz w:val="24"/>
          <w:szCs w:val="24"/>
        </w:rPr>
        <w:t>Incentives</w:t>
      </w:r>
    </w:p>
    <w:p w:rsidR="0050231F" w:rsidRPr="003032B3" w:rsidRDefault="0050231F" w:rsidP="0050231F">
      <w:pPr>
        <w:spacing w:after="120"/>
        <w:rPr>
          <w:rFonts w:cstheme="minorHAnsi"/>
          <w:sz w:val="24"/>
          <w:szCs w:val="24"/>
        </w:rPr>
      </w:pPr>
      <w:r w:rsidRPr="003032B3">
        <w:rPr>
          <w:rFonts w:cstheme="minorHAnsi"/>
          <w:sz w:val="24"/>
          <w:szCs w:val="24"/>
        </w:rPr>
        <w:t>While there might be some degree of substitutability between regulatory and non-regulatory approaches, the incentives involved can be very different. For example, self-regulation could be imposed by dominant players in the market to stifle entry and competition and standards set by industry voluntarily could, therefore, be stricter at times.</w:t>
      </w:r>
      <w:r w:rsidRPr="003032B3">
        <w:rPr>
          <w:rStyle w:val="FootnoteReference"/>
          <w:rFonts w:cstheme="minorHAnsi"/>
          <w:sz w:val="24"/>
          <w:szCs w:val="24"/>
        </w:rPr>
        <w:footnoteReference w:id="2"/>
      </w:r>
    </w:p>
    <w:p w:rsidR="0050231F" w:rsidRPr="003032B3" w:rsidRDefault="0050231F" w:rsidP="0050231F">
      <w:pPr>
        <w:spacing w:after="240"/>
        <w:rPr>
          <w:rFonts w:cstheme="minorHAnsi"/>
          <w:sz w:val="24"/>
          <w:szCs w:val="24"/>
        </w:rPr>
      </w:pPr>
      <w:r w:rsidRPr="003032B3">
        <w:rPr>
          <w:rFonts w:cstheme="minorHAnsi"/>
          <w:sz w:val="24"/>
          <w:szCs w:val="24"/>
        </w:rPr>
        <w:t xml:space="preserve">Many non-regulatory options are based on building appropriate incentives for </w:t>
      </w:r>
      <w:r>
        <w:rPr>
          <w:rFonts w:cstheme="minorHAnsi"/>
          <w:sz w:val="24"/>
          <w:szCs w:val="24"/>
        </w:rPr>
        <w:t xml:space="preserve">the </w:t>
      </w:r>
      <w:r w:rsidRPr="003032B3">
        <w:rPr>
          <w:rFonts w:cstheme="minorHAnsi"/>
          <w:sz w:val="24"/>
          <w:szCs w:val="24"/>
        </w:rPr>
        <w:t xml:space="preserve">parties involved. Government has greatly increased its analysis of behavioural responses to incentive schemes, for example by setting up the UK Behavioural Insights Team (UKBIT) in 2010. Analysis by BIT and results from other academic research in the field of behavioural economics </w:t>
      </w:r>
      <w:r>
        <w:rPr>
          <w:rFonts w:cstheme="minorHAnsi"/>
          <w:sz w:val="24"/>
          <w:szCs w:val="24"/>
        </w:rPr>
        <w:t>are</w:t>
      </w:r>
      <w:r w:rsidRPr="003032B3">
        <w:rPr>
          <w:rFonts w:cstheme="minorHAnsi"/>
          <w:sz w:val="24"/>
          <w:szCs w:val="24"/>
        </w:rPr>
        <w:t xml:space="preserve"> increasingly </w:t>
      </w:r>
      <w:r>
        <w:rPr>
          <w:rFonts w:cstheme="minorHAnsi"/>
          <w:sz w:val="24"/>
          <w:szCs w:val="24"/>
        </w:rPr>
        <w:t>being</w:t>
      </w:r>
      <w:r w:rsidRPr="003032B3">
        <w:rPr>
          <w:rFonts w:cstheme="minorHAnsi"/>
          <w:sz w:val="24"/>
          <w:szCs w:val="24"/>
        </w:rPr>
        <w:t xml:space="preserve"> used for policy making and the design of regulation.</w:t>
      </w:r>
      <w:r w:rsidRPr="003032B3">
        <w:rPr>
          <w:rStyle w:val="FootnoteReference"/>
          <w:rFonts w:cstheme="minorHAnsi"/>
          <w:sz w:val="24"/>
          <w:szCs w:val="24"/>
        </w:rPr>
        <w:footnoteReference w:id="3"/>
      </w:r>
      <w:r w:rsidRPr="003032B3">
        <w:rPr>
          <w:rFonts w:cstheme="minorHAnsi"/>
          <w:sz w:val="24"/>
          <w:szCs w:val="24"/>
        </w:rPr>
        <w:t xml:space="preserve"> The principles arising from this research extend beyond regulatory policy. Departments should make use of such sources when analysing the potential outcomes of non-regulatory approaches</w:t>
      </w:r>
      <w:r>
        <w:rPr>
          <w:rFonts w:cstheme="minorHAnsi"/>
          <w:sz w:val="24"/>
          <w:szCs w:val="24"/>
        </w:rPr>
        <w:t>,</w:t>
      </w:r>
      <w:r w:rsidRPr="003032B3">
        <w:rPr>
          <w:rFonts w:cstheme="minorHAnsi"/>
          <w:sz w:val="24"/>
          <w:szCs w:val="24"/>
        </w:rPr>
        <w:t xml:space="preserve"> and the incentives involved</w:t>
      </w:r>
      <w:r>
        <w:rPr>
          <w:rFonts w:cstheme="minorHAnsi"/>
          <w:sz w:val="24"/>
          <w:szCs w:val="24"/>
        </w:rPr>
        <w:t>,</w:t>
      </w:r>
      <w:r w:rsidRPr="003032B3">
        <w:rPr>
          <w:rFonts w:cstheme="minorHAnsi"/>
          <w:sz w:val="24"/>
          <w:szCs w:val="24"/>
        </w:rPr>
        <w:t xml:space="preserve"> when more standard forms of data are not available.</w:t>
      </w:r>
    </w:p>
    <w:p w:rsidR="0050231F" w:rsidRPr="00E86AC4" w:rsidRDefault="0050231F" w:rsidP="00CE5B54">
      <w:pPr>
        <w:pStyle w:val="ListParagraph"/>
        <w:numPr>
          <w:ilvl w:val="2"/>
          <w:numId w:val="12"/>
        </w:numPr>
        <w:spacing w:after="120"/>
        <w:rPr>
          <w:rFonts w:cstheme="minorHAnsi"/>
          <w:b/>
          <w:sz w:val="24"/>
          <w:szCs w:val="24"/>
        </w:rPr>
      </w:pPr>
      <w:r w:rsidRPr="00E86AC4">
        <w:rPr>
          <w:rFonts w:cstheme="minorHAnsi"/>
          <w:b/>
          <w:sz w:val="24"/>
          <w:szCs w:val="24"/>
        </w:rPr>
        <w:t>Set of non-regulatory approaches considered and justification for regulation</w:t>
      </w:r>
    </w:p>
    <w:p w:rsidR="0050231F" w:rsidRPr="003032B3" w:rsidRDefault="0050231F" w:rsidP="0050231F">
      <w:pPr>
        <w:spacing w:after="120"/>
        <w:rPr>
          <w:rFonts w:cstheme="minorHAnsi"/>
          <w:sz w:val="24"/>
          <w:szCs w:val="24"/>
        </w:rPr>
      </w:pPr>
      <w:r w:rsidRPr="003032B3">
        <w:rPr>
          <w:rFonts w:cstheme="minorHAnsi"/>
          <w:sz w:val="24"/>
          <w:szCs w:val="24"/>
        </w:rPr>
        <w:t xml:space="preserve">Departments should not only consider formal non-regulatory </w:t>
      </w:r>
      <w:r>
        <w:rPr>
          <w:rFonts w:cstheme="minorHAnsi"/>
          <w:sz w:val="24"/>
          <w:szCs w:val="24"/>
        </w:rPr>
        <w:t>options</w:t>
      </w:r>
      <w:r w:rsidRPr="003032B3">
        <w:rPr>
          <w:rFonts w:cstheme="minorHAnsi"/>
          <w:sz w:val="24"/>
          <w:szCs w:val="24"/>
        </w:rPr>
        <w:t xml:space="preserve">, such as voluntary codes of practice or industry standards, but also analyse to what extent </w:t>
      </w:r>
      <w:r>
        <w:rPr>
          <w:rFonts w:cstheme="minorHAnsi"/>
          <w:sz w:val="24"/>
          <w:szCs w:val="24"/>
        </w:rPr>
        <w:t xml:space="preserve">recent developments and market </w:t>
      </w:r>
      <w:r w:rsidRPr="003032B3">
        <w:rPr>
          <w:rFonts w:cstheme="minorHAnsi"/>
          <w:sz w:val="24"/>
          <w:szCs w:val="24"/>
        </w:rPr>
        <w:t xml:space="preserve">mechanisms could </w:t>
      </w:r>
      <w:r w:rsidR="00B253B2">
        <w:rPr>
          <w:rFonts w:cstheme="minorHAnsi"/>
          <w:sz w:val="24"/>
          <w:szCs w:val="24"/>
        </w:rPr>
        <w:t xml:space="preserve">at least </w:t>
      </w:r>
      <w:r w:rsidRPr="003032B3">
        <w:rPr>
          <w:rFonts w:cstheme="minorHAnsi"/>
          <w:sz w:val="24"/>
          <w:szCs w:val="24"/>
        </w:rPr>
        <w:t xml:space="preserve">partially address the issue. Such mechanisms could be, amongst others, the strengthening of consumer awareness and pressure </w:t>
      </w:r>
      <w:r>
        <w:rPr>
          <w:rFonts w:cstheme="minorHAnsi"/>
          <w:sz w:val="24"/>
          <w:szCs w:val="24"/>
        </w:rPr>
        <w:t xml:space="preserve">from </w:t>
      </w:r>
      <w:r w:rsidRPr="003032B3">
        <w:rPr>
          <w:rFonts w:cstheme="minorHAnsi"/>
          <w:sz w:val="24"/>
          <w:szCs w:val="24"/>
        </w:rPr>
        <w:t>new technologies. These should be taken into account in the counterfactual.</w:t>
      </w:r>
    </w:p>
    <w:p w:rsidR="0050231F" w:rsidRPr="003032B3" w:rsidRDefault="0050231F" w:rsidP="0050231F">
      <w:pPr>
        <w:spacing w:after="120"/>
        <w:rPr>
          <w:rFonts w:cstheme="minorHAnsi"/>
          <w:sz w:val="24"/>
          <w:szCs w:val="24"/>
        </w:rPr>
      </w:pPr>
      <w:r w:rsidRPr="003032B3">
        <w:rPr>
          <w:rFonts w:cstheme="minorHAnsi"/>
          <w:sz w:val="24"/>
          <w:szCs w:val="24"/>
        </w:rPr>
        <w:t xml:space="preserve">Departments should avoid </w:t>
      </w:r>
      <w:r>
        <w:rPr>
          <w:rFonts w:cstheme="minorHAnsi"/>
          <w:sz w:val="24"/>
          <w:szCs w:val="24"/>
        </w:rPr>
        <w:t xml:space="preserve">assuming as </w:t>
      </w:r>
      <w:r w:rsidRPr="003032B3">
        <w:rPr>
          <w:rFonts w:cstheme="minorHAnsi"/>
          <w:sz w:val="24"/>
          <w:szCs w:val="24"/>
        </w:rPr>
        <w:t xml:space="preserve">standard that non-regulatory options </w:t>
      </w:r>
      <w:r>
        <w:rPr>
          <w:rFonts w:cstheme="minorHAnsi"/>
          <w:sz w:val="24"/>
          <w:szCs w:val="24"/>
        </w:rPr>
        <w:t xml:space="preserve">produce lower </w:t>
      </w:r>
      <w:r w:rsidRPr="003032B3">
        <w:rPr>
          <w:rFonts w:cstheme="minorHAnsi"/>
          <w:sz w:val="24"/>
          <w:szCs w:val="24"/>
        </w:rPr>
        <w:t xml:space="preserve">uptake than regulation and that they, therefore, lead to smaller costs to business </w:t>
      </w:r>
      <w:r>
        <w:rPr>
          <w:rFonts w:cstheme="minorHAnsi"/>
          <w:sz w:val="24"/>
          <w:szCs w:val="24"/>
        </w:rPr>
        <w:t>while delivering</w:t>
      </w:r>
      <w:r w:rsidRPr="003032B3">
        <w:rPr>
          <w:rFonts w:cstheme="minorHAnsi"/>
          <w:sz w:val="24"/>
          <w:szCs w:val="24"/>
        </w:rPr>
        <w:t xml:space="preserve"> a smaller net benefit to society. While this might be true i</w:t>
      </w:r>
      <w:r w:rsidR="00B253B2">
        <w:rPr>
          <w:rFonts w:cstheme="minorHAnsi"/>
          <w:sz w:val="24"/>
          <w:szCs w:val="24"/>
        </w:rPr>
        <w:t>n many instances, it should be gr</w:t>
      </w:r>
      <w:r w:rsidRPr="003032B3">
        <w:rPr>
          <w:rFonts w:cstheme="minorHAnsi"/>
          <w:sz w:val="24"/>
          <w:szCs w:val="24"/>
        </w:rPr>
        <w:t xml:space="preserve">ounded in evidence rather than just asserted. </w:t>
      </w:r>
      <w:r>
        <w:rPr>
          <w:rFonts w:cstheme="minorHAnsi"/>
          <w:sz w:val="24"/>
          <w:szCs w:val="24"/>
        </w:rPr>
        <w:t>D</w:t>
      </w:r>
      <w:r w:rsidRPr="003032B3">
        <w:rPr>
          <w:rFonts w:cstheme="minorHAnsi"/>
          <w:sz w:val="24"/>
          <w:szCs w:val="24"/>
        </w:rPr>
        <w:t xml:space="preserve">epartments should </w:t>
      </w:r>
      <w:r>
        <w:rPr>
          <w:rFonts w:cstheme="minorHAnsi"/>
          <w:sz w:val="24"/>
          <w:szCs w:val="24"/>
        </w:rPr>
        <w:t xml:space="preserve">also </w:t>
      </w:r>
      <w:r w:rsidRPr="003032B3">
        <w:rPr>
          <w:rFonts w:cstheme="minorHAnsi"/>
          <w:sz w:val="24"/>
          <w:szCs w:val="24"/>
        </w:rPr>
        <w:t xml:space="preserve">explain </w:t>
      </w:r>
      <w:r w:rsidRPr="003032B3">
        <w:rPr>
          <w:rFonts w:cstheme="minorHAnsi"/>
          <w:sz w:val="24"/>
          <w:szCs w:val="24"/>
        </w:rPr>
        <w:lastRenderedPageBreak/>
        <w:t>why the delivery of a smaller part of the policy objective at the benefit of a reduced cost to business is not acceptable.</w:t>
      </w:r>
    </w:p>
    <w:p w:rsidR="0050231F" w:rsidRDefault="00B253B2" w:rsidP="0050231F">
      <w:pPr>
        <w:spacing w:after="0"/>
        <w:rPr>
          <w:sz w:val="24"/>
          <w:szCs w:val="24"/>
        </w:rPr>
      </w:pPr>
      <w:r>
        <w:rPr>
          <w:sz w:val="24"/>
          <w:szCs w:val="24"/>
        </w:rPr>
        <w:t>By definition, t</w:t>
      </w:r>
      <w:r w:rsidR="0050231F" w:rsidRPr="003032B3">
        <w:rPr>
          <w:sz w:val="24"/>
          <w:szCs w:val="24"/>
        </w:rPr>
        <w:t xml:space="preserve">he RPC does not, usually, see cases in which a non-regulatory option is taken forward. Below are some cases which included a good analysis of non-regulatory options. </w:t>
      </w:r>
    </w:p>
    <w:p w:rsidR="0050231F" w:rsidRDefault="0050231F" w:rsidP="0050231F">
      <w:pPr>
        <w:spacing w:after="0"/>
        <w:rPr>
          <w:sz w:val="24"/>
          <w:szCs w:val="24"/>
        </w:rPr>
      </w:pPr>
    </w:p>
    <w:p w:rsidR="0050231F" w:rsidRPr="0023556D" w:rsidRDefault="0050231F" w:rsidP="0050231F">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rPr>
          <w:rFonts w:cstheme="minorHAnsi"/>
          <w:b/>
          <w:color w:val="000000" w:themeColor="text1"/>
          <w:sz w:val="24"/>
          <w:szCs w:val="24"/>
        </w:rPr>
      </w:pPr>
      <w:r w:rsidRPr="0023556D">
        <w:rPr>
          <w:rFonts w:eastAsiaTheme="majorEastAsia" w:cstheme="minorHAnsi"/>
          <w:b/>
          <w:bCs/>
          <w:iCs/>
          <w:color w:val="000000" w:themeColor="text1"/>
          <w:sz w:val="24"/>
          <w:szCs w:val="24"/>
        </w:rPr>
        <w:t xml:space="preserve">Employers in Great Britain, with at least 250 employees, to publish mean and median </w:t>
      </w:r>
      <w:r w:rsidR="00B253B2">
        <w:rPr>
          <w:rFonts w:eastAsiaTheme="majorEastAsia" w:cstheme="minorHAnsi"/>
          <w:b/>
          <w:bCs/>
          <w:iCs/>
          <w:color w:val="000000" w:themeColor="text1"/>
          <w:sz w:val="24"/>
          <w:szCs w:val="24"/>
        </w:rPr>
        <w:t>‘</w:t>
      </w:r>
      <w:r w:rsidRPr="0023556D">
        <w:rPr>
          <w:rFonts w:eastAsiaTheme="majorEastAsia" w:cstheme="minorHAnsi"/>
          <w:b/>
          <w:bCs/>
          <w:iCs/>
          <w:color w:val="000000" w:themeColor="text1"/>
          <w:sz w:val="24"/>
          <w:szCs w:val="24"/>
        </w:rPr>
        <w:t>gender pay gap</w:t>
      </w:r>
      <w:r w:rsidR="00B253B2">
        <w:rPr>
          <w:rFonts w:eastAsiaTheme="majorEastAsia" w:cstheme="minorHAnsi"/>
          <w:b/>
          <w:bCs/>
          <w:iCs/>
          <w:color w:val="000000" w:themeColor="text1"/>
          <w:sz w:val="24"/>
          <w:szCs w:val="24"/>
        </w:rPr>
        <w:t>’</w:t>
      </w:r>
      <w:r w:rsidRPr="0023556D">
        <w:rPr>
          <w:rFonts w:eastAsiaTheme="majorEastAsia" w:cstheme="minorHAnsi"/>
          <w:b/>
          <w:bCs/>
          <w:iCs/>
          <w:color w:val="000000" w:themeColor="text1"/>
          <w:sz w:val="24"/>
          <w:szCs w:val="24"/>
        </w:rPr>
        <w:t xml:space="preserve"> figures, mean and median gender bonus gap figures and a table with the breakdown of the number of males and females by salary quartiles (RPC-GEO-3023(4))</w:t>
      </w:r>
      <w:r w:rsidRPr="0023556D">
        <w:rPr>
          <w:rFonts w:cstheme="minorHAnsi"/>
          <w:b/>
          <w:color w:val="000000" w:themeColor="text1"/>
          <w:sz w:val="24"/>
          <w:szCs w:val="24"/>
        </w:rPr>
        <w:t xml:space="preserve"> </w:t>
      </w:r>
    </w:p>
    <w:p w:rsidR="0050231F" w:rsidRPr="0023556D" w:rsidRDefault="0050231F" w:rsidP="0050231F">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rPr>
          <w:rFonts w:cstheme="minorHAnsi"/>
          <w:sz w:val="24"/>
          <w:szCs w:val="24"/>
        </w:rPr>
      </w:pPr>
      <w:r w:rsidRPr="0023556D">
        <w:rPr>
          <w:rFonts w:cstheme="minorHAnsi"/>
          <w:sz w:val="24"/>
          <w:szCs w:val="24"/>
        </w:rPr>
        <w:t>These regulations will require companies with more than 250 employees to publish the following figures annually: (a) mean and median gender pay gaps; (b) mean and median gender bonus gaps; and (c) the number of men and women in each quartile of the company’s pay distribution.</w:t>
      </w:r>
    </w:p>
    <w:p w:rsidR="0050231F" w:rsidRPr="0023556D" w:rsidRDefault="0050231F" w:rsidP="0050231F">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rPr>
          <w:rFonts w:cstheme="minorHAnsi"/>
          <w:sz w:val="24"/>
          <w:szCs w:val="24"/>
        </w:rPr>
      </w:pPr>
      <w:r w:rsidRPr="0023556D">
        <w:rPr>
          <w:rFonts w:cstheme="minorHAnsi"/>
          <w:sz w:val="24"/>
          <w:szCs w:val="24"/>
        </w:rPr>
        <w:t>The Government previously pursued alternatives to regulation. In particular, since 2011 the Department encouraged large employers to voluntar</w:t>
      </w:r>
      <w:r w:rsidR="00B253B2">
        <w:rPr>
          <w:rFonts w:cstheme="minorHAnsi"/>
          <w:sz w:val="24"/>
          <w:szCs w:val="24"/>
        </w:rPr>
        <w:t>il</w:t>
      </w:r>
      <w:r w:rsidRPr="0023556D">
        <w:rPr>
          <w:rFonts w:cstheme="minorHAnsi"/>
          <w:sz w:val="24"/>
          <w:szCs w:val="24"/>
        </w:rPr>
        <w:t xml:space="preserve">y publish gender pay gap information through the </w:t>
      </w:r>
      <w:r w:rsidRPr="0023556D">
        <w:rPr>
          <w:rFonts w:cstheme="minorHAnsi"/>
          <w:i/>
          <w:sz w:val="24"/>
          <w:szCs w:val="24"/>
        </w:rPr>
        <w:t>Think Act Report</w:t>
      </w:r>
      <w:r w:rsidRPr="0023556D">
        <w:rPr>
          <w:rFonts w:cstheme="minorHAnsi"/>
          <w:sz w:val="24"/>
          <w:szCs w:val="24"/>
        </w:rPr>
        <w:t xml:space="preserve"> initiative. However, only 5 out of almost 280 employers who signed up to the voluntary initiative published the information. The Department explains that while the gender pay gap has slowly fallen over the last five years, decreasing from 19.85% in 2010 by 0.75% to 19.1% in 2015, the voluntary approach would be very unlikely to achieve the policy objective of accelerating the reduction in the gender pay gap over time.</w:t>
      </w:r>
    </w:p>
    <w:p w:rsidR="0050231F" w:rsidRPr="003032B3" w:rsidRDefault="0050231F" w:rsidP="0050231F">
      <w:pPr>
        <w:spacing w:after="0"/>
        <w:rPr>
          <w:sz w:val="24"/>
          <w:szCs w:val="24"/>
        </w:rPr>
      </w:pPr>
    </w:p>
    <w:p w:rsidR="0050231F" w:rsidRPr="00663D24" w:rsidRDefault="0050231F" w:rsidP="0050231F">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rPr>
          <w:b/>
          <w:color w:val="000000" w:themeColor="text1"/>
          <w:sz w:val="24"/>
          <w:szCs w:val="24"/>
        </w:rPr>
      </w:pPr>
      <w:r w:rsidRPr="003032B3">
        <w:rPr>
          <w:b/>
          <w:color w:val="000000" w:themeColor="text1"/>
          <w:sz w:val="24"/>
          <w:szCs w:val="24"/>
        </w:rPr>
        <w:t>Material Recovery Facilities</w:t>
      </w:r>
      <w:r>
        <w:rPr>
          <w:b/>
          <w:color w:val="000000" w:themeColor="text1"/>
          <w:sz w:val="24"/>
          <w:szCs w:val="24"/>
        </w:rPr>
        <w:t xml:space="preserve"> (RPC12-DEFRA-1625): </w:t>
      </w:r>
      <w:r w:rsidRPr="003032B3">
        <w:rPr>
          <w:color w:val="000000" w:themeColor="text1"/>
          <w:sz w:val="24"/>
          <w:szCs w:val="24"/>
        </w:rPr>
        <w:t>The proposal requires Material Recovery Facilities to sample the quality of their input and output material streams in a standardised way and make information on this transparent and public.</w:t>
      </w:r>
    </w:p>
    <w:p w:rsidR="0050231F" w:rsidRPr="003032B3" w:rsidRDefault="0050231F" w:rsidP="0050231F">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color w:val="000000" w:themeColor="text1"/>
          <w:sz w:val="24"/>
          <w:szCs w:val="24"/>
        </w:rPr>
      </w:pPr>
      <w:r w:rsidRPr="003032B3">
        <w:rPr>
          <w:color w:val="000000" w:themeColor="text1"/>
          <w:sz w:val="24"/>
          <w:szCs w:val="24"/>
        </w:rPr>
        <w:t xml:space="preserve">The IA does not </w:t>
      </w:r>
      <w:r>
        <w:rPr>
          <w:color w:val="000000" w:themeColor="text1"/>
          <w:sz w:val="24"/>
          <w:szCs w:val="24"/>
        </w:rPr>
        <w:t xml:space="preserve">provide an </w:t>
      </w:r>
      <w:r w:rsidRPr="003032B3">
        <w:rPr>
          <w:color w:val="000000" w:themeColor="text1"/>
          <w:sz w:val="24"/>
          <w:szCs w:val="24"/>
        </w:rPr>
        <w:t>assess</w:t>
      </w:r>
      <w:r>
        <w:rPr>
          <w:color w:val="000000" w:themeColor="text1"/>
          <w:sz w:val="24"/>
          <w:szCs w:val="24"/>
        </w:rPr>
        <w:t>ment of a</w:t>
      </w:r>
      <w:r w:rsidRPr="003032B3">
        <w:rPr>
          <w:color w:val="000000" w:themeColor="text1"/>
          <w:sz w:val="24"/>
          <w:szCs w:val="24"/>
        </w:rPr>
        <w:t xml:space="preserve"> non-regulatory approach as such, but explains clearly the pre-regulatory environment. It provides good theoretical analysis, which is backed up by consultation responses from the industry, on why existing voluntary approaches cannot address the issue at hand.</w:t>
      </w:r>
    </w:p>
    <w:p w:rsidR="0050231F" w:rsidRPr="003032B3" w:rsidRDefault="0050231F" w:rsidP="0050231F">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color w:val="000000" w:themeColor="text1"/>
          <w:sz w:val="24"/>
          <w:szCs w:val="24"/>
        </w:rPr>
      </w:pPr>
      <w:r w:rsidRPr="003032B3">
        <w:rPr>
          <w:color w:val="000000" w:themeColor="text1"/>
          <w:sz w:val="24"/>
          <w:szCs w:val="24"/>
        </w:rPr>
        <w:t>The IA explains that competitive pressure on operating costs is very high in this sector. In addition, asymmetric information in this market means that buyers of recycle</w:t>
      </w:r>
      <w:r>
        <w:rPr>
          <w:color w:val="000000" w:themeColor="text1"/>
          <w:sz w:val="24"/>
          <w:szCs w:val="24"/>
        </w:rPr>
        <w:t>d material</w:t>
      </w:r>
      <w:r w:rsidRPr="003032B3">
        <w:rPr>
          <w:color w:val="000000" w:themeColor="text1"/>
          <w:sz w:val="24"/>
          <w:szCs w:val="24"/>
        </w:rPr>
        <w:t xml:space="preserve"> cannot verify the quality at the point of purchase. The pressure on costs means that businesses properly assessing the quality of their produce are often at a competitive disadvantage due to in</w:t>
      </w:r>
      <w:r>
        <w:rPr>
          <w:color w:val="000000" w:themeColor="text1"/>
          <w:sz w:val="24"/>
          <w:szCs w:val="24"/>
        </w:rPr>
        <w:t xml:space="preserve">creased costs, while the buyers’ </w:t>
      </w:r>
      <w:r w:rsidRPr="003032B3">
        <w:rPr>
          <w:color w:val="000000" w:themeColor="text1"/>
          <w:sz w:val="24"/>
          <w:szCs w:val="24"/>
        </w:rPr>
        <w:t>inability to verify quality means that any quality signal cannot be seen as credible in the absence of mandatory, standardised sampling and reporting requirements.</w:t>
      </w:r>
      <w:r w:rsidRPr="00967791">
        <w:rPr>
          <w:color w:val="000000" w:themeColor="text1"/>
          <w:sz w:val="24"/>
          <w:szCs w:val="24"/>
        </w:rPr>
        <w:t xml:space="preserve"> </w:t>
      </w:r>
      <w:r>
        <w:rPr>
          <w:color w:val="000000" w:themeColor="text1"/>
          <w:sz w:val="24"/>
          <w:szCs w:val="24"/>
        </w:rPr>
        <w:t>(</w:t>
      </w:r>
      <w:hyperlink r:id="rId27" w:history="1">
        <w:r w:rsidRPr="000D18F9">
          <w:rPr>
            <w:rStyle w:val="Hyperlink"/>
            <w:sz w:val="24"/>
            <w:szCs w:val="24"/>
          </w:rPr>
          <w:t>Opinion</w:t>
        </w:r>
      </w:hyperlink>
      <w:r>
        <w:rPr>
          <w:color w:val="000000" w:themeColor="text1"/>
          <w:sz w:val="24"/>
          <w:szCs w:val="24"/>
        </w:rPr>
        <w:t>)</w:t>
      </w:r>
    </w:p>
    <w:p w:rsidR="0050231F" w:rsidRPr="003032B3" w:rsidRDefault="0050231F" w:rsidP="0050231F">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color w:val="000000" w:themeColor="text1"/>
          <w:sz w:val="24"/>
          <w:szCs w:val="24"/>
          <w:u w:val="single"/>
        </w:rPr>
      </w:pPr>
    </w:p>
    <w:p w:rsidR="0050231F" w:rsidRDefault="0050231F" w:rsidP="0050231F">
      <w:pPr>
        <w:rPr>
          <w:rFonts w:cstheme="minorHAnsi"/>
          <w:color w:val="000000" w:themeColor="text1"/>
        </w:rPr>
      </w:pPr>
    </w:p>
    <w:p w:rsidR="0050231F" w:rsidRPr="00663D24" w:rsidRDefault="0050231F" w:rsidP="0050231F">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rPr>
          <w:b/>
          <w:bCs/>
          <w:color w:val="000000" w:themeColor="text1"/>
          <w:sz w:val="24"/>
          <w:szCs w:val="24"/>
        </w:rPr>
      </w:pPr>
      <w:r w:rsidRPr="003032B3">
        <w:rPr>
          <w:b/>
          <w:bCs/>
          <w:color w:val="000000" w:themeColor="text1"/>
          <w:sz w:val="24"/>
          <w:szCs w:val="24"/>
        </w:rPr>
        <w:lastRenderedPageBreak/>
        <w:t>Community right to buy into renewable electricity developments</w:t>
      </w:r>
      <w:r>
        <w:rPr>
          <w:b/>
          <w:bCs/>
          <w:color w:val="000000" w:themeColor="text1"/>
          <w:sz w:val="24"/>
          <w:szCs w:val="24"/>
        </w:rPr>
        <w:t xml:space="preserve"> (RPC14-DECC-2027):</w:t>
      </w:r>
      <w:r w:rsidRPr="003032B3">
        <w:rPr>
          <w:b/>
          <w:bCs/>
          <w:color w:val="000000" w:themeColor="text1"/>
          <w:sz w:val="24"/>
          <w:szCs w:val="24"/>
        </w:rPr>
        <w:t xml:space="preserve"> </w:t>
      </w:r>
      <w:r w:rsidRPr="003032B3">
        <w:rPr>
          <w:bCs/>
          <w:color w:val="000000" w:themeColor="text1"/>
          <w:sz w:val="24"/>
          <w:szCs w:val="24"/>
        </w:rPr>
        <w:t>This final stage IA is, in general</w:t>
      </w:r>
      <w:r>
        <w:rPr>
          <w:bCs/>
          <w:color w:val="000000" w:themeColor="text1"/>
          <w:sz w:val="24"/>
          <w:szCs w:val="24"/>
        </w:rPr>
        <w:t xml:space="preserve">, very detailed and </w:t>
      </w:r>
      <w:r w:rsidRPr="003032B3">
        <w:rPr>
          <w:bCs/>
          <w:color w:val="000000" w:themeColor="text1"/>
          <w:sz w:val="24"/>
          <w:szCs w:val="24"/>
        </w:rPr>
        <w:t>provides a lot of evidence</w:t>
      </w:r>
      <w:r>
        <w:rPr>
          <w:bCs/>
          <w:color w:val="000000" w:themeColor="text1"/>
          <w:sz w:val="24"/>
          <w:szCs w:val="24"/>
        </w:rPr>
        <w:t>. It</w:t>
      </w:r>
      <w:r w:rsidRPr="003032B3">
        <w:rPr>
          <w:bCs/>
          <w:color w:val="000000" w:themeColor="text1"/>
          <w:sz w:val="24"/>
          <w:szCs w:val="24"/>
        </w:rPr>
        <w:t xml:space="preserve"> assesses </w:t>
      </w:r>
      <w:r>
        <w:rPr>
          <w:bCs/>
          <w:color w:val="000000" w:themeColor="text1"/>
          <w:sz w:val="24"/>
          <w:szCs w:val="24"/>
        </w:rPr>
        <w:t xml:space="preserve">the </w:t>
      </w:r>
      <w:r w:rsidRPr="003032B3">
        <w:rPr>
          <w:bCs/>
          <w:color w:val="000000" w:themeColor="text1"/>
          <w:sz w:val="24"/>
          <w:szCs w:val="24"/>
        </w:rPr>
        <w:t>cost and benefits of the primary legislation enabling government to introduce a legal framework in which individuals in the community are guaranteed the opportunity to purchase a stake in a renewable electricity development.</w:t>
      </w:r>
    </w:p>
    <w:p w:rsidR="0050231F" w:rsidRPr="003032B3" w:rsidRDefault="0050231F" w:rsidP="0050231F">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rPr>
          <w:bCs/>
          <w:color w:val="000000" w:themeColor="text1"/>
          <w:sz w:val="24"/>
          <w:szCs w:val="24"/>
        </w:rPr>
      </w:pPr>
      <w:r w:rsidRPr="003032B3">
        <w:rPr>
          <w:bCs/>
          <w:color w:val="000000" w:themeColor="text1"/>
          <w:sz w:val="24"/>
          <w:szCs w:val="24"/>
        </w:rPr>
        <w:t>The Department explains how it has worked closely with industry to develop a voluntary framework to facilitate shared ownership. It explains that the government intends to stay with the voluntary approach, but wants to be ready to intervene if a review shows that progress under the voluntary scheme is insufficient. The IA assesses the incremental costs and benefits associated with taking up these powers against three scenarios for the voluntary uptake. While it could be argued that the threat of legislation undermines how “voluntary” the current approach is, the Department, by providing different scenarios</w:t>
      </w:r>
      <w:r>
        <w:rPr>
          <w:bCs/>
          <w:color w:val="000000" w:themeColor="text1"/>
          <w:sz w:val="24"/>
          <w:szCs w:val="24"/>
        </w:rPr>
        <w:t>,</w:t>
      </w:r>
      <w:r w:rsidR="00B253B2">
        <w:rPr>
          <w:bCs/>
          <w:color w:val="000000" w:themeColor="text1"/>
          <w:sz w:val="24"/>
          <w:szCs w:val="24"/>
        </w:rPr>
        <w:t xml:space="preserve"> made a case for </w:t>
      </w:r>
      <w:r w:rsidRPr="003032B3">
        <w:rPr>
          <w:bCs/>
          <w:color w:val="000000" w:themeColor="text1"/>
          <w:sz w:val="24"/>
          <w:szCs w:val="24"/>
        </w:rPr>
        <w:t>the overal</w:t>
      </w:r>
      <w:r w:rsidR="00B253B2">
        <w:rPr>
          <w:bCs/>
          <w:color w:val="000000" w:themeColor="text1"/>
          <w:sz w:val="24"/>
          <w:szCs w:val="24"/>
        </w:rPr>
        <w:t xml:space="preserve">l benefits of legislation </w:t>
      </w:r>
      <w:r w:rsidRPr="003032B3">
        <w:rPr>
          <w:bCs/>
          <w:color w:val="000000" w:themeColor="text1"/>
          <w:sz w:val="24"/>
          <w:szCs w:val="24"/>
        </w:rPr>
        <w:t>outweigh</w:t>
      </w:r>
      <w:r w:rsidR="00B253B2">
        <w:rPr>
          <w:bCs/>
          <w:color w:val="000000" w:themeColor="text1"/>
          <w:sz w:val="24"/>
          <w:szCs w:val="24"/>
        </w:rPr>
        <w:t>ing</w:t>
      </w:r>
      <w:r w:rsidRPr="003032B3">
        <w:rPr>
          <w:bCs/>
          <w:color w:val="000000" w:themeColor="text1"/>
          <w:sz w:val="24"/>
          <w:szCs w:val="24"/>
        </w:rPr>
        <w:t xml:space="preserve"> those derived under the voluntary framework. </w:t>
      </w:r>
      <w:r>
        <w:rPr>
          <w:bCs/>
          <w:color w:val="000000" w:themeColor="text1"/>
          <w:sz w:val="24"/>
          <w:szCs w:val="24"/>
        </w:rPr>
        <w:t>(</w:t>
      </w:r>
      <w:hyperlink r:id="rId28" w:history="1">
        <w:r w:rsidRPr="000D18F9">
          <w:rPr>
            <w:rStyle w:val="Hyperlink"/>
            <w:bCs/>
            <w:sz w:val="24"/>
            <w:szCs w:val="24"/>
          </w:rPr>
          <w:t>IA</w:t>
        </w:r>
      </w:hyperlink>
      <w:r>
        <w:rPr>
          <w:bCs/>
          <w:color w:val="000000" w:themeColor="text1"/>
          <w:sz w:val="24"/>
          <w:szCs w:val="24"/>
        </w:rPr>
        <w:t>)(</w:t>
      </w:r>
      <w:hyperlink r:id="rId29" w:history="1">
        <w:r>
          <w:rPr>
            <w:rStyle w:val="Hyperlink"/>
          </w:rPr>
          <w:t>O</w:t>
        </w:r>
        <w:r w:rsidRPr="000D18F9">
          <w:rPr>
            <w:rStyle w:val="Hyperlink"/>
          </w:rPr>
          <w:t>pinion</w:t>
        </w:r>
      </w:hyperlink>
      <w:r>
        <w:t>)</w:t>
      </w:r>
    </w:p>
    <w:p w:rsidR="0050231F" w:rsidRDefault="0050231F" w:rsidP="0050231F">
      <w:pPr>
        <w:rPr>
          <w:rFonts w:cstheme="minorHAnsi"/>
          <w:color w:val="000000" w:themeColor="text1"/>
        </w:rPr>
      </w:pPr>
    </w:p>
    <w:p w:rsidR="0050231F" w:rsidRPr="00663D24" w:rsidRDefault="0050231F" w:rsidP="0050231F">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rPr>
          <w:rFonts w:cstheme="minorHAnsi"/>
          <w:b/>
          <w:color w:val="000000" w:themeColor="text1"/>
          <w:sz w:val="24"/>
          <w:szCs w:val="24"/>
        </w:rPr>
      </w:pPr>
      <w:r w:rsidRPr="003032B3">
        <w:rPr>
          <w:rFonts w:cstheme="minorHAnsi"/>
          <w:b/>
          <w:color w:val="000000" w:themeColor="text1"/>
          <w:sz w:val="24"/>
          <w:szCs w:val="24"/>
        </w:rPr>
        <w:t>Tackling avoidance of the ban on exclusivity clauses in zero hours contracts</w:t>
      </w:r>
      <w:r>
        <w:rPr>
          <w:rFonts w:cstheme="minorHAnsi"/>
          <w:b/>
          <w:color w:val="000000" w:themeColor="text1"/>
          <w:sz w:val="24"/>
          <w:szCs w:val="24"/>
        </w:rPr>
        <w:t xml:space="preserve"> (RPC14-BIS-2236): </w:t>
      </w:r>
      <w:r w:rsidRPr="003032B3">
        <w:rPr>
          <w:color w:val="000000" w:themeColor="text1"/>
          <w:sz w:val="24"/>
          <w:szCs w:val="24"/>
        </w:rPr>
        <w:t>This consultation stage IA investigates possible responses to tackle the avoidance of the ban of the use of exclusivity clauses in employment contracts which guarantee no hours (zero hour contracts). The IA presents legislative options as well as the introduction of non-statutory codes of practice. The IA takes all options to consultation and does not state any preference at this stage.</w:t>
      </w:r>
    </w:p>
    <w:p w:rsidR="0050231F" w:rsidRPr="003032B3" w:rsidRDefault="0050231F" w:rsidP="0050231F">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rPr>
          <w:color w:val="000000" w:themeColor="text1"/>
          <w:sz w:val="24"/>
          <w:szCs w:val="24"/>
        </w:rPr>
      </w:pPr>
      <w:r w:rsidRPr="003032B3">
        <w:rPr>
          <w:color w:val="000000" w:themeColor="text1"/>
          <w:sz w:val="24"/>
          <w:szCs w:val="24"/>
        </w:rPr>
        <w:t>All options are considered in similar detail, although the Department explains that it has only been able to estimate familiarisation costs associated with the non-statutory code. It explains that it would assume that ongoing benefits to businesses taking up the voluntary code must outweigh ongoing costs.</w:t>
      </w:r>
    </w:p>
    <w:p w:rsidR="0050231F" w:rsidRPr="003032B3" w:rsidRDefault="0050231F" w:rsidP="0050231F">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rPr>
          <w:color w:val="000000" w:themeColor="text1"/>
          <w:sz w:val="24"/>
          <w:szCs w:val="24"/>
        </w:rPr>
      </w:pPr>
      <w:r w:rsidRPr="003032B3">
        <w:rPr>
          <w:color w:val="000000" w:themeColor="text1"/>
          <w:sz w:val="24"/>
          <w:szCs w:val="24"/>
        </w:rPr>
        <w:t>The Department expects the non-statutory code to deliver a smaller proportion of the benefits associated with the policy at a lower cost to business. The evidence presented makes clear that this assertion is appropriate in this case.</w:t>
      </w:r>
      <w:r>
        <w:rPr>
          <w:color w:val="000000" w:themeColor="text1"/>
          <w:sz w:val="24"/>
          <w:szCs w:val="24"/>
        </w:rPr>
        <w:t xml:space="preserve"> </w:t>
      </w:r>
      <w:r w:rsidRPr="00967791">
        <w:rPr>
          <w:color w:val="000000" w:themeColor="text1"/>
          <w:sz w:val="24"/>
          <w:szCs w:val="24"/>
        </w:rPr>
        <w:t>(</w:t>
      </w:r>
      <w:hyperlink r:id="rId30" w:history="1">
        <w:r w:rsidRPr="00967791">
          <w:rPr>
            <w:color w:val="0000FF" w:themeColor="hyperlink"/>
            <w:sz w:val="24"/>
            <w:szCs w:val="24"/>
            <w:u w:val="single"/>
          </w:rPr>
          <w:t>IA</w:t>
        </w:r>
      </w:hyperlink>
      <w:r w:rsidRPr="00967791">
        <w:rPr>
          <w:color w:val="000000" w:themeColor="text1"/>
          <w:sz w:val="24"/>
          <w:szCs w:val="24"/>
        </w:rPr>
        <w:t>)</w:t>
      </w:r>
      <w:r>
        <w:rPr>
          <w:color w:val="000000" w:themeColor="text1"/>
          <w:sz w:val="24"/>
          <w:szCs w:val="24"/>
        </w:rPr>
        <w:t xml:space="preserve"> </w:t>
      </w:r>
    </w:p>
    <w:p w:rsidR="0050231F" w:rsidRDefault="0050231F" w:rsidP="0050231F">
      <w:pPr>
        <w:rPr>
          <w:rFonts w:cstheme="minorHAnsi"/>
          <w:color w:val="000000" w:themeColor="text1"/>
        </w:rPr>
      </w:pPr>
    </w:p>
    <w:p w:rsidR="0050231F" w:rsidRPr="00663D24" w:rsidRDefault="0050231F" w:rsidP="0050231F">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before="120"/>
        <w:rPr>
          <w:b/>
          <w:color w:val="000000" w:themeColor="text1"/>
          <w:sz w:val="24"/>
          <w:szCs w:val="24"/>
        </w:rPr>
      </w:pPr>
      <w:r w:rsidRPr="003032B3">
        <w:rPr>
          <w:b/>
          <w:color w:val="000000" w:themeColor="text1"/>
          <w:sz w:val="24"/>
          <w:szCs w:val="24"/>
        </w:rPr>
        <w:t>Smoke alarms in private rented properties</w:t>
      </w:r>
      <w:r>
        <w:rPr>
          <w:b/>
          <w:color w:val="000000" w:themeColor="text1"/>
          <w:sz w:val="24"/>
          <w:szCs w:val="24"/>
        </w:rPr>
        <w:t xml:space="preserve"> (RPC14-CLG-2266): </w:t>
      </w:r>
      <w:r w:rsidRPr="003032B3">
        <w:rPr>
          <w:color w:val="000000" w:themeColor="text1"/>
          <w:sz w:val="24"/>
          <w:szCs w:val="24"/>
        </w:rPr>
        <w:t xml:space="preserve">The proposal makes the installation of smoke alarms on each floor of private rented properties mandatory. The final stage IA sets out the long history of non-regulatory approaches over the last decades. It shows that non-regulatory approaches have been successful in achieving close to 90% coverage. The Department provides evidence and argues, given the long history of non-regulatory approaches, that a small percentage of landlords will never respond to these approaches. It further explains that these landlords often own high-risk properties. </w:t>
      </w:r>
    </w:p>
    <w:p w:rsidR="0050231F" w:rsidRPr="003032B3" w:rsidRDefault="0050231F" w:rsidP="0050231F">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rPr>
          <w:color w:val="000000" w:themeColor="text1"/>
          <w:sz w:val="24"/>
          <w:szCs w:val="24"/>
        </w:rPr>
      </w:pPr>
      <w:r w:rsidRPr="003032B3">
        <w:rPr>
          <w:color w:val="000000" w:themeColor="text1"/>
          <w:sz w:val="24"/>
          <w:szCs w:val="24"/>
        </w:rPr>
        <w:lastRenderedPageBreak/>
        <w:t>The IA shows that increasing coverage to (almost) full coverage will result in overall benefits to society as the reduction of domestic fires comes with large benefits. In its assessment of the policy option, the Department assumes a reasonable growth in uptake in the counterfactual. By doing this, the Department shows awareness of the effects of existing non-regulatory approaches and their effect on the costs and benefits associated with the regulatory proposal. In effect, it provides a full cost-benefit analysis of the regulatory approach compared to the counterfactual of solely continuing with existing non-regulatory approaches.</w:t>
      </w:r>
      <w:r>
        <w:rPr>
          <w:color w:val="000000" w:themeColor="text1"/>
          <w:sz w:val="24"/>
          <w:szCs w:val="24"/>
        </w:rPr>
        <w:t xml:space="preserve"> </w:t>
      </w:r>
      <w:r w:rsidRPr="005A41F1">
        <w:t>(</w:t>
      </w:r>
      <w:hyperlink r:id="rId31" w:history="1">
        <w:r w:rsidRPr="005A41F1">
          <w:rPr>
            <w:color w:val="0000FF" w:themeColor="hyperlink"/>
            <w:sz w:val="24"/>
            <w:szCs w:val="24"/>
            <w:u w:val="single"/>
          </w:rPr>
          <w:t>IA</w:t>
        </w:r>
      </w:hyperlink>
      <w:r w:rsidRPr="005A41F1">
        <w:rPr>
          <w:color w:val="000000" w:themeColor="text1"/>
          <w:sz w:val="24"/>
          <w:szCs w:val="24"/>
        </w:rPr>
        <w:t>)</w:t>
      </w:r>
    </w:p>
    <w:p w:rsidR="0050231F" w:rsidRDefault="0050231F" w:rsidP="0050231F">
      <w:pPr>
        <w:spacing w:after="0"/>
        <w:ind w:left="709" w:hanging="709"/>
        <w:rPr>
          <w:rFonts w:eastAsia="Times New Roman" w:cstheme="minorHAnsi"/>
          <w:b/>
          <w:sz w:val="24"/>
          <w:szCs w:val="24"/>
          <w:lang w:eastAsia="en-GB"/>
        </w:rPr>
      </w:pPr>
    </w:p>
    <w:p w:rsidR="0050231F" w:rsidRPr="00606A0F" w:rsidRDefault="0050231F" w:rsidP="0050231F">
      <w:pPr>
        <w:spacing w:after="0"/>
        <w:ind w:left="709" w:hanging="709"/>
        <w:rPr>
          <w:rFonts w:eastAsia="Times New Roman" w:cstheme="minorHAnsi"/>
          <w:b/>
          <w:sz w:val="24"/>
          <w:szCs w:val="24"/>
          <w:lang w:eastAsia="en-GB"/>
        </w:rPr>
      </w:pPr>
      <w:r w:rsidRPr="00004281">
        <w:rPr>
          <w:rFonts w:eastAsia="Times New Roman" w:cstheme="minorHAnsi"/>
          <w:b/>
          <w:sz w:val="24"/>
          <w:szCs w:val="24"/>
          <w:lang w:eastAsia="en-GB"/>
        </w:rPr>
        <w:t xml:space="preserve">2.2.4  </w:t>
      </w:r>
      <w:r>
        <w:rPr>
          <w:rFonts w:eastAsia="Times New Roman" w:cstheme="minorHAnsi"/>
          <w:b/>
          <w:sz w:val="24"/>
          <w:szCs w:val="24"/>
          <w:lang w:eastAsia="en-GB"/>
        </w:rPr>
        <w:tab/>
      </w:r>
      <w:r w:rsidRPr="00004281">
        <w:rPr>
          <w:rFonts w:eastAsia="Times New Roman" w:cstheme="minorHAnsi"/>
          <w:b/>
          <w:sz w:val="24"/>
          <w:szCs w:val="24"/>
          <w:lang w:eastAsia="en-GB"/>
        </w:rPr>
        <w:t xml:space="preserve">Explaining </w:t>
      </w:r>
      <w:r w:rsidRPr="00606A0F">
        <w:rPr>
          <w:rFonts w:eastAsia="Times New Roman" w:cstheme="minorHAnsi"/>
          <w:b/>
          <w:sz w:val="24"/>
          <w:szCs w:val="24"/>
          <w:lang w:eastAsia="en-GB"/>
        </w:rPr>
        <w:t>why options are not being taken forward</w:t>
      </w:r>
    </w:p>
    <w:p w:rsidR="0050231F" w:rsidRPr="00606A0F" w:rsidRDefault="0050231F" w:rsidP="0050231F">
      <w:pPr>
        <w:spacing w:after="0"/>
        <w:rPr>
          <w:rFonts w:eastAsia="Times New Roman" w:cstheme="minorHAnsi"/>
          <w:b/>
          <w:sz w:val="24"/>
          <w:szCs w:val="24"/>
          <w:u w:val="single"/>
          <w:lang w:eastAsia="en-GB"/>
        </w:rPr>
      </w:pPr>
    </w:p>
    <w:p w:rsidR="0050231F" w:rsidRDefault="0050231F" w:rsidP="0050231F">
      <w:pPr>
        <w:spacing w:after="0"/>
        <w:rPr>
          <w:b/>
          <w:color w:val="E36C0A" w:themeColor="accent6" w:themeShade="BF"/>
          <w:sz w:val="32"/>
          <w:szCs w:val="32"/>
        </w:rPr>
      </w:pPr>
      <w:r w:rsidRPr="00606A0F">
        <w:rPr>
          <w:rFonts w:eastAsia="Times New Roman" w:cstheme="minorHAnsi"/>
          <w:sz w:val="24"/>
          <w:szCs w:val="24"/>
          <w:lang w:eastAsia="en-GB"/>
        </w:rPr>
        <w:t>When a decision has been made not to take forward an option, the</w:t>
      </w:r>
      <w:r>
        <w:rPr>
          <w:rFonts w:eastAsia="Times New Roman" w:cstheme="minorHAnsi"/>
          <w:sz w:val="24"/>
          <w:szCs w:val="24"/>
          <w:lang w:eastAsia="en-GB"/>
        </w:rPr>
        <w:t xml:space="preserve"> </w:t>
      </w:r>
      <w:r w:rsidRPr="00606A0F">
        <w:rPr>
          <w:rFonts w:eastAsia="Times New Roman" w:cstheme="minorHAnsi"/>
          <w:sz w:val="24"/>
          <w:szCs w:val="24"/>
          <w:lang w:eastAsia="en-GB"/>
        </w:rPr>
        <w:t>IA needs to explain why. This does not mean that full monetisation of costs and benefits should be undertaken for options when it becomes apparent early on in the process that they are not feasible, or will be significantly worse value for money than other options. An IA need</w:t>
      </w:r>
      <w:r>
        <w:rPr>
          <w:rFonts w:eastAsia="Times New Roman" w:cstheme="minorHAnsi"/>
          <w:sz w:val="24"/>
          <w:szCs w:val="24"/>
          <w:lang w:eastAsia="en-GB"/>
        </w:rPr>
        <w:t>s to</w:t>
      </w:r>
      <w:r w:rsidRPr="00606A0F">
        <w:rPr>
          <w:rFonts w:eastAsia="Times New Roman" w:cstheme="minorHAnsi"/>
          <w:sz w:val="24"/>
          <w:szCs w:val="24"/>
          <w:lang w:eastAsia="en-GB"/>
        </w:rPr>
        <w:t xml:space="preserve"> contain sufficient analysis of each option to explain why it is not being taken forward. In a consultation stage IA, if options are not being taken forward without sufficient justification this is likely to result in a red-rated opinion. At final stage it is expected that a single option will be recommended, although the </w:t>
      </w:r>
      <w:r>
        <w:rPr>
          <w:rFonts w:eastAsia="Times New Roman" w:cstheme="minorHAnsi"/>
          <w:sz w:val="24"/>
          <w:szCs w:val="24"/>
          <w:lang w:eastAsia="en-GB"/>
        </w:rPr>
        <w:t>RPC</w:t>
      </w:r>
      <w:r w:rsidRPr="00606A0F">
        <w:rPr>
          <w:rFonts w:eastAsia="Times New Roman" w:cstheme="minorHAnsi"/>
          <w:sz w:val="24"/>
          <w:szCs w:val="24"/>
          <w:lang w:eastAsia="en-GB"/>
        </w:rPr>
        <w:t xml:space="preserve"> may comment if it is not clear wh</w:t>
      </w:r>
      <w:r>
        <w:rPr>
          <w:rFonts w:eastAsia="Times New Roman" w:cstheme="minorHAnsi"/>
          <w:sz w:val="24"/>
          <w:szCs w:val="24"/>
          <w:lang w:eastAsia="en-GB"/>
        </w:rPr>
        <w:t>ether</w:t>
      </w:r>
      <w:r w:rsidRPr="00606A0F">
        <w:rPr>
          <w:rFonts w:eastAsia="Times New Roman" w:cstheme="minorHAnsi"/>
          <w:sz w:val="24"/>
          <w:szCs w:val="24"/>
          <w:lang w:eastAsia="en-GB"/>
        </w:rPr>
        <w:t xml:space="preserve"> other options were considered or why they were discarded.</w:t>
      </w:r>
    </w:p>
    <w:p w:rsidR="009423BE" w:rsidRDefault="009423BE" w:rsidP="009423BE">
      <w:pPr>
        <w:spacing w:after="0"/>
        <w:rPr>
          <w:b/>
        </w:rPr>
      </w:pPr>
    </w:p>
    <w:p w:rsidR="002D739E" w:rsidRDefault="002D739E" w:rsidP="00DF6441">
      <w:pPr>
        <w:rPr>
          <w:b/>
        </w:rPr>
      </w:pPr>
    </w:p>
    <w:p w:rsidR="00A85191" w:rsidRDefault="00A85191">
      <w:pPr>
        <w:rPr>
          <w:b/>
          <w:color w:val="E36C0A" w:themeColor="accent6" w:themeShade="BF"/>
          <w:sz w:val="32"/>
          <w:szCs w:val="32"/>
        </w:rPr>
      </w:pPr>
    </w:p>
    <w:p w:rsidR="00663D24" w:rsidRDefault="00663D24">
      <w:pPr>
        <w:rPr>
          <w:b/>
          <w:color w:val="E36C0A" w:themeColor="accent6" w:themeShade="BF"/>
          <w:sz w:val="32"/>
          <w:szCs w:val="32"/>
        </w:rPr>
      </w:pPr>
      <w:r>
        <w:rPr>
          <w:b/>
          <w:color w:val="E36C0A" w:themeColor="accent6" w:themeShade="BF"/>
          <w:sz w:val="32"/>
          <w:szCs w:val="32"/>
        </w:rPr>
        <w:br w:type="page"/>
      </w:r>
    </w:p>
    <w:p w:rsidR="00DF6441" w:rsidRPr="002D739E" w:rsidRDefault="00E86AC4" w:rsidP="00DF6441">
      <w:pPr>
        <w:rPr>
          <w:b/>
        </w:rPr>
      </w:pPr>
      <w:r>
        <w:rPr>
          <w:b/>
          <w:color w:val="E36C0A" w:themeColor="accent6" w:themeShade="BF"/>
          <w:sz w:val="32"/>
          <w:szCs w:val="32"/>
        </w:rPr>
        <w:lastRenderedPageBreak/>
        <w:t xml:space="preserve">Section </w:t>
      </w:r>
      <w:r w:rsidR="002D739E">
        <w:rPr>
          <w:b/>
          <w:color w:val="E36C0A" w:themeColor="accent6" w:themeShade="BF"/>
          <w:sz w:val="32"/>
          <w:szCs w:val="32"/>
        </w:rPr>
        <w:t>3</w:t>
      </w:r>
      <w:r>
        <w:rPr>
          <w:b/>
          <w:color w:val="E36C0A" w:themeColor="accent6" w:themeShade="BF"/>
          <w:sz w:val="32"/>
          <w:szCs w:val="32"/>
        </w:rPr>
        <w:t>:</w:t>
      </w:r>
      <w:r w:rsidR="006A4F96" w:rsidRPr="00FA7154">
        <w:rPr>
          <w:b/>
          <w:color w:val="E36C0A" w:themeColor="accent6" w:themeShade="BF"/>
          <w:sz w:val="32"/>
          <w:szCs w:val="32"/>
        </w:rPr>
        <w:t xml:space="preserve"> </w:t>
      </w:r>
      <w:r w:rsidR="00FA7154" w:rsidRPr="00FA7154">
        <w:rPr>
          <w:b/>
          <w:color w:val="E36C0A" w:themeColor="accent6" w:themeShade="BF"/>
          <w:sz w:val="32"/>
          <w:szCs w:val="32"/>
        </w:rPr>
        <w:t>Reliable estimates of costs and benefits</w:t>
      </w:r>
    </w:p>
    <w:p w:rsidR="009D0BBE" w:rsidRPr="00AC10F6" w:rsidRDefault="009D0BBE" w:rsidP="009D0BBE">
      <w:pPr>
        <w:spacing w:line="264" w:lineRule="auto"/>
        <w:rPr>
          <w:rFonts w:cstheme="minorHAnsi"/>
          <w:b/>
          <w:color w:val="984806" w:themeColor="accent6" w:themeShade="80"/>
          <w:sz w:val="28"/>
          <w:szCs w:val="28"/>
        </w:rPr>
      </w:pPr>
      <w:bookmarkStart w:id="0" w:name="Counterfactuals"/>
      <w:r>
        <w:rPr>
          <w:rFonts w:cstheme="minorHAnsi"/>
          <w:b/>
          <w:color w:val="984806" w:themeColor="accent6" w:themeShade="80"/>
          <w:sz w:val="28"/>
          <w:szCs w:val="28"/>
        </w:rPr>
        <w:t>3</w:t>
      </w:r>
      <w:r w:rsidRPr="00AC10F6">
        <w:rPr>
          <w:rFonts w:cstheme="minorHAnsi"/>
          <w:b/>
          <w:color w:val="984806" w:themeColor="accent6" w:themeShade="80"/>
          <w:sz w:val="28"/>
          <w:szCs w:val="28"/>
        </w:rPr>
        <w:t>.1 Counterfactuals</w:t>
      </w:r>
    </w:p>
    <w:bookmarkEnd w:id="0"/>
    <w:p w:rsidR="009D0BBE" w:rsidRPr="003032B3" w:rsidRDefault="009D0BBE" w:rsidP="009D0BBE">
      <w:pPr>
        <w:spacing w:line="264" w:lineRule="auto"/>
        <w:rPr>
          <w:rFonts w:cstheme="minorHAnsi"/>
          <w:sz w:val="24"/>
          <w:szCs w:val="24"/>
        </w:rPr>
      </w:pPr>
      <w:r w:rsidRPr="00D5534F">
        <w:rPr>
          <w:noProof/>
          <w:lang w:eastAsia="en-GB"/>
        </w:rPr>
        <mc:AlternateContent>
          <mc:Choice Requires="wps">
            <w:drawing>
              <wp:anchor distT="0" distB="0" distL="114300" distR="114300" simplePos="0" relativeHeight="251708416" behindDoc="0" locked="0" layoutInCell="1" allowOverlap="1" wp14:anchorId="619499D6" wp14:editId="1CDE96B0">
                <wp:simplePos x="0" y="0"/>
                <wp:positionH relativeFrom="column">
                  <wp:posOffset>5800725</wp:posOffset>
                </wp:positionH>
                <wp:positionV relativeFrom="paragraph">
                  <wp:posOffset>901065</wp:posOffset>
                </wp:positionV>
                <wp:extent cx="683895" cy="44831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683895" cy="448310"/>
                        </a:xfrm>
                        <a:prstGeom prst="rect">
                          <a:avLst/>
                        </a:prstGeom>
                        <a:noFill/>
                        <a:ln w="6350">
                          <a:noFill/>
                        </a:ln>
                        <a:effectLst/>
                      </wps:spPr>
                      <wps:txbx>
                        <w:txbxContent>
                          <w:p w:rsidR="00C90A59" w:rsidRPr="00F3504F" w:rsidRDefault="00C90A59" w:rsidP="009D0BBE">
                            <w:pPr>
                              <w:pBdr>
                                <w:top w:val="single" w:sz="4" w:space="1" w:color="FABF8F" w:themeColor="accent6" w:themeTint="99"/>
                                <w:bottom w:val="single" w:sz="4" w:space="1" w:color="FABF8F" w:themeColor="accent6" w:themeTint="99"/>
                              </w:pBdr>
                              <w:spacing w:after="0"/>
                              <w:jc w:val="center"/>
                              <w:rPr>
                                <w:rFonts w:cstheme="minorHAnsi"/>
                                <w:i/>
                                <w:color w:val="E36C0A" w:themeColor="accent6" w:themeShade="BF"/>
                                <w:sz w:val="16"/>
                                <w:szCs w:val="16"/>
                              </w:rPr>
                            </w:pPr>
                            <w:r w:rsidRPr="00F3504F">
                              <w:rPr>
                                <w:rFonts w:cstheme="minorHAnsi"/>
                                <w:b/>
                                <w:i/>
                                <w:color w:val="E36C0A" w:themeColor="accent6" w:themeShade="BF"/>
                                <w:sz w:val="16"/>
                                <w:szCs w:val="16"/>
                              </w:rPr>
                              <w:t>Potential red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456.75pt;margin-top:70.95pt;width:53.85pt;height:35.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G+NAIAAGcEAAAOAAAAZHJzL2Uyb0RvYy54bWysVMtu2zAQvBfoPxC81/IzcQzLgZvARYEg&#10;CWAXOdMUZQmQuCxJW3K/vkPKdoy0p6IXark73Nfsan7f1hU7KOtK0ikf9PqcKS0pK/Uu5T82qy9T&#10;zpwXOhMVaZXyo3L8fvH507wxMzWkgqpMWQYn2s0ak/LCezNLEicLVQvXI6M0jDnZWnhc7S7JrGjg&#10;va6SYb9/kzRkM2NJKuegfeyMfBH957mS/iXPnfKsSjly8/G08dyGM1nMxWxnhSlKeUpD/EMWtSg1&#10;gl5cPQov2N6Wf7iqS2nJUe57kuqE8ryUKtaAagb9D9WsC2FUrAXNcebSJvf/3Mrnw6tlZQbu0B4t&#10;anC0Ua1nX6llUKE/jXEzwNYGQN9CD+xZ76AMZbe5rcMXBTHY4ep46W7wJqG8mY6mdxPOJEzj8XTU&#10;eU/eHxvr/DdFNQtCyi3Iiz0VhyfnkQigZ0iIpWlVVlUksNKsQYDRpB8fXCx4UemAVXEUTm5CQV3i&#10;QfLtto0NuD0XtaXsiFotddPijFyVyOhJOP8qLMYD5WHk/QuOvCJEppPEWUH219/0AQ/WYOWswbil&#10;3P3cC6s4q75r8Hk3GI/DfMbLeHI7xMVeW7bXFr2vHwgTPcByGRnFgPfVWcwt1W/YjGWICpPQErFT&#10;7s/ig++WAJsl1XIZQZhII/yTXhsZXIe+hX5v2jdhzYkUDzaf6TyYYvaBmw7bsbPce8rLSFzoc9dV&#10;sBgumObI52nzwrpc3yPq/f+w+A0AAP//AwBQSwMEFAAGAAgAAAAhADdVG+viAAAADAEAAA8AAABk&#10;cnMvZG93bnJldi54bWxMj8FKw0AQhu+C77BMwZvdJBppYzalBIogemjtxdsku01Cs7Mxu22jT+/0&#10;pKdh+D/++SZfTbYXZzP6zpGCeB6BMFQ73VGjYP+xuV+A8AFJY+/IKPg2HlbF7U2OmXYX2przLjSC&#10;S8hnqKANYcik9HVrLPq5GwxxdnCjxcDr2Eg94oXLbS+TKHqSFjviCy0OpmxNfdydrILXcvOO2yqx&#10;i5++fHk7rIev/Weq1N1sWj+DCGYKfzBc9VkdCnaq3Im0F72CZfyQMsrBY7wEcSWiJE5AVAp4piCL&#10;XP5/ovgFAAD//wMAUEsBAi0AFAAGAAgAAAAhALaDOJL+AAAA4QEAABMAAAAAAAAAAAAAAAAAAAAA&#10;AFtDb250ZW50X1R5cGVzXS54bWxQSwECLQAUAAYACAAAACEAOP0h/9YAAACUAQAACwAAAAAAAAAA&#10;AAAAAAAvAQAAX3JlbHMvLnJlbHNQSwECLQAUAAYACAAAACEAf6ARvjQCAABnBAAADgAAAAAAAAAA&#10;AAAAAAAuAgAAZHJzL2Uyb0RvYy54bWxQSwECLQAUAAYACAAAACEAN1Ub6+IAAAAMAQAADwAAAAAA&#10;AAAAAAAAAACOBAAAZHJzL2Rvd25yZXYueG1sUEsFBgAAAAAEAAQA8wAAAJ0FAAAAAA==&#10;" filled="f" stroked="f" strokeweight=".5pt">
                <v:textbox>
                  <w:txbxContent>
                    <w:p w:rsidR="00C90A59" w:rsidRPr="00F3504F" w:rsidRDefault="00C90A59" w:rsidP="009D0BBE">
                      <w:pPr>
                        <w:pBdr>
                          <w:top w:val="single" w:sz="4" w:space="1" w:color="FABF8F" w:themeColor="accent6" w:themeTint="99"/>
                          <w:bottom w:val="single" w:sz="4" w:space="1" w:color="FABF8F" w:themeColor="accent6" w:themeTint="99"/>
                        </w:pBdr>
                        <w:spacing w:after="0"/>
                        <w:jc w:val="center"/>
                        <w:rPr>
                          <w:rFonts w:cstheme="minorHAnsi"/>
                          <w:i/>
                          <w:color w:val="E36C0A" w:themeColor="accent6" w:themeShade="BF"/>
                          <w:sz w:val="16"/>
                          <w:szCs w:val="16"/>
                        </w:rPr>
                      </w:pPr>
                      <w:r w:rsidRPr="00F3504F">
                        <w:rPr>
                          <w:rFonts w:cstheme="minorHAnsi"/>
                          <w:b/>
                          <w:i/>
                          <w:color w:val="E36C0A" w:themeColor="accent6" w:themeShade="BF"/>
                          <w:sz w:val="16"/>
                          <w:szCs w:val="16"/>
                        </w:rPr>
                        <w:t>Potential red point</w:t>
                      </w:r>
                    </w:p>
                  </w:txbxContent>
                </v:textbox>
                <w10:wrap type="square"/>
              </v:shape>
            </w:pict>
          </mc:Fallback>
        </mc:AlternateContent>
      </w:r>
      <w:r w:rsidRPr="003032B3">
        <w:rPr>
          <w:rFonts w:cstheme="minorHAnsi"/>
          <w:sz w:val="24"/>
          <w:szCs w:val="24"/>
        </w:rPr>
        <w:t xml:space="preserve">The BRFM states </w:t>
      </w:r>
      <w:r w:rsidRPr="00D870A6">
        <w:rPr>
          <w:rFonts w:cstheme="minorHAnsi"/>
          <w:color w:val="000000" w:themeColor="text1"/>
          <w:sz w:val="24"/>
          <w:szCs w:val="24"/>
        </w:rPr>
        <w:t>(</w:t>
      </w:r>
      <w:proofErr w:type="spellStart"/>
      <w:r w:rsidRPr="00D870A6">
        <w:rPr>
          <w:rFonts w:cstheme="minorHAnsi"/>
          <w:color w:val="000000" w:themeColor="text1"/>
          <w:sz w:val="24"/>
          <w:szCs w:val="24"/>
        </w:rPr>
        <w:t>para</w:t>
      </w:r>
      <w:proofErr w:type="spellEnd"/>
      <w:r w:rsidRPr="00D870A6">
        <w:rPr>
          <w:rFonts w:cstheme="minorHAnsi"/>
          <w:color w:val="000000" w:themeColor="text1"/>
          <w:sz w:val="24"/>
          <w:szCs w:val="24"/>
        </w:rPr>
        <w:t xml:space="preserve"> 2.3.</w:t>
      </w:r>
      <w:r w:rsidR="00362BFE">
        <w:rPr>
          <w:rFonts w:cstheme="minorHAnsi"/>
          <w:color w:val="000000" w:themeColor="text1"/>
          <w:sz w:val="24"/>
          <w:szCs w:val="24"/>
        </w:rPr>
        <w:t>3</w:t>
      </w:r>
      <w:r w:rsidRPr="00D870A6">
        <w:rPr>
          <w:rFonts w:cstheme="minorHAnsi"/>
          <w:color w:val="000000" w:themeColor="text1"/>
          <w:sz w:val="24"/>
          <w:szCs w:val="24"/>
        </w:rPr>
        <w:t>1): “</w:t>
      </w:r>
      <w:r w:rsidRPr="00D870A6">
        <w:rPr>
          <w:rFonts w:cstheme="minorHAnsi"/>
          <w:i/>
          <w:color w:val="000000" w:themeColor="text1"/>
          <w:sz w:val="24"/>
          <w:szCs w:val="24"/>
        </w:rPr>
        <w:t xml:space="preserve">you </w:t>
      </w:r>
      <w:r w:rsidRPr="003032B3">
        <w:rPr>
          <w:rFonts w:cstheme="minorHAnsi"/>
          <w:i/>
          <w:sz w:val="24"/>
          <w:szCs w:val="24"/>
        </w:rPr>
        <w:t>must present only the costs and benefits that are additional (i.e. incremental or marginal costs and benefits) to those that would have been incurred if no action were taken (i.e. versus the baseline, counterfactual or ‘do nothing’).”</w:t>
      </w:r>
      <w:r w:rsidRPr="003032B3">
        <w:rPr>
          <w:rFonts w:cstheme="minorHAnsi"/>
          <w:sz w:val="24"/>
          <w:szCs w:val="24"/>
        </w:rPr>
        <w:t xml:space="preserve"> This in turn follows the principles set out in the Treasury Green Book (pages 47 and 53).</w:t>
      </w:r>
    </w:p>
    <w:p w:rsidR="009D0BBE" w:rsidRDefault="009D0BBE" w:rsidP="009D0BBE">
      <w:pPr>
        <w:spacing w:line="264" w:lineRule="auto"/>
        <w:rPr>
          <w:rFonts w:eastAsia="Times New Roman" w:cstheme="minorHAnsi"/>
          <w:sz w:val="24"/>
          <w:szCs w:val="24"/>
          <w:lang w:eastAsia="en-GB"/>
        </w:rPr>
      </w:pPr>
      <w:r w:rsidRPr="003032B3">
        <w:rPr>
          <w:rFonts w:eastAsia="Times New Roman" w:cstheme="minorHAnsi"/>
          <w:sz w:val="24"/>
          <w:szCs w:val="24"/>
          <w:lang w:eastAsia="en-GB"/>
        </w:rPr>
        <w:t>Using the wrong counterfactual is likely to result in a Red opinion both at consultation and final stage.</w:t>
      </w:r>
    </w:p>
    <w:p w:rsidR="009D0BBE" w:rsidRPr="00E86AC4" w:rsidRDefault="009D0BBE" w:rsidP="00CE5B54">
      <w:pPr>
        <w:pStyle w:val="ListParagraph"/>
        <w:numPr>
          <w:ilvl w:val="2"/>
          <w:numId w:val="13"/>
        </w:numPr>
        <w:spacing w:line="264" w:lineRule="auto"/>
        <w:rPr>
          <w:rFonts w:cstheme="minorHAnsi"/>
          <w:b/>
          <w:color w:val="000000" w:themeColor="text1"/>
          <w:sz w:val="24"/>
          <w:szCs w:val="24"/>
        </w:rPr>
      </w:pPr>
      <w:r w:rsidRPr="00E86AC4">
        <w:rPr>
          <w:rFonts w:cstheme="minorHAnsi"/>
          <w:b/>
          <w:color w:val="000000" w:themeColor="text1"/>
          <w:sz w:val="24"/>
          <w:szCs w:val="24"/>
        </w:rPr>
        <w:t>Do nothing and the status quo</w:t>
      </w:r>
    </w:p>
    <w:p w:rsidR="009D0BBE" w:rsidRPr="003032B3" w:rsidRDefault="009D0BBE" w:rsidP="009D0BBE">
      <w:pPr>
        <w:spacing w:line="264" w:lineRule="auto"/>
        <w:rPr>
          <w:rFonts w:cstheme="minorHAnsi"/>
          <w:sz w:val="24"/>
          <w:szCs w:val="24"/>
        </w:rPr>
      </w:pPr>
      <w:r w:rsidRPr="003032B3">
        <w:rPr>
          <w:rFonts w:cstheme="minorHAnsi"/>
          <w:sz w:val="24"/>
          <w:szCs w:val="24"/>
        </w:rPr>
        <w:t>It is important to stress that the ‘do nothing’ is not necessarily the same as the status quo or ‘As Is’ position. The do nothing should be what would happen in the absence of the particular policy intervention being appraised. For example, if a proposal affects the number of businesses in a rapidly declining sector (e.g. mining or shipbuilding) then it would be appropriate for the appraisal to take this into account in the baseline.</w:t>
      </w:r>
    </w:p>
    <w:p w:rsidR="009D0BBE" w:rsidRPr="003032B3" w:rsidRDefault="009D0BBE" w:rsidP="009D0BBE">
      <w:pPr>
        <w:spacing w:line="264" w:lineRule="auto"/>
        <w:rPr>
          <w:rFonts w:cstheme="minorHAnsi"/>
          <w:sz w:val="24"/>
          <w:szCs w:val="24"/>
        </w:rPr>
      </w:pPr>
      <w:r w:rsidRPr="003032B3">
        <w:rPr>
          <w:rFonts w:cstheme="minorHAnsi"/>
          <w:sz w:val="24"/>
          <w:szCs w:val="24"/>
        </w:rPr>
        <w:t xml:space="preserve">Similarly, there may </w:t>
      </w:r>
      <w:r>
        <w:rPr>
          <w:rFonts w:cstheme="minorHAnsi"/>
          <w:sz w:val="24"/>
          <w:szCs w:val="24"/>
        </w:rPr>
        <w:t xml:space="preserve">be </w:t>
      </w:r>
      <w:r w:rsidRPr="003032B3">
        <w:rPr>
          <w:rFonts w:cstheme="minorHAnsi"/>
          <w:sz w:val="24"/>
          <w:szCs w:val="24"/>
        </w:rPr>
        <w:t>other policy interventions tha</w:t>
      </w:r>
      <w:r w:rsidR="00362BFE">
        <w:rPr>
          <w:rFonts w:cstheme="minorHAnsi"/>
          <w:sz w:val="24"/>
          <w:szCs w:val="24"/>
        </w:rPr>
        <w:t>t will happen regardless of the</w:t>
      </w:r>
      <w:r w:rsidRPr="003032B3">
        <w:rPr>
          <w:rFonts w:cstheme="minorHAnsi"/>
          <w:sz w:val="24"/>
          <w:szCs w:val="24"/>
        </w:rPr>
        <w:t xml:space="preserve"> proposal. For example, a domestic policy proposal coming in during 2016 would have to take account of any EU di</w:t>
      </w:r>
      <w:r w:rsidR="00362BFE">
        <w:rPr>
          <w:rFonts w:cstheme="minorHAnsi"/>
          <w:sz w:val="24"/>
          <w:szCs w:val="24"/>
        </w:rPr>
        <w:t>rective in the same policy area</w:t>
      </w:r>
      <w:r w:rsidRPr="003032B3">
        <w:rPr>
          <w:rFonts w:cstheme="minorHAnsi"/>
          <w:sz w:val="24"/>
          <w:szCs w:val="24"/>
        </w:rPr>
        <w:t xml:space="preserve"> that is already known to be coming in during 2018. </w:t>
      </w:r>
    </w:p>
    <w:p w:rsidR="009D0BBE" w:rsidRPr="003032B3" w:rsidRDefault="009D0BBE" w:rsidP="009D0BBE">
      <w:pPr>
        <w:spacing w:line="264" w:lineRule="auto"/>
        <w:rPr>
          <w:rFonts w:cstheme="minorHAnsi"/>
          <w:sz w:val="24"/>
          <w:szCs w:val="24"/>
        </w:rPr>
      </w:pPr>
      <w:r w:rsidRPr="003032B3">
        <w:rPr>
          <w:rFonts w:cstheme="minorHAnsi"/>
          <w:sz w:val="24"/>
          <w:szCs w:val="24"/>
        </w:rPr>
        <w:t>Departments should, however, take care in demonstrating the evidence for such adjustments to the baseline. In the case of declining or growing industrial sectors, this would involve setting out historical data on the number of businesses. In the case of other policies coming in, if there is any uncertainty over whether the policy will happen the Department will have to provide a full explanation for why it is appropriate to build it into the counterfactual. In these situations it will usually be good practice to undertake sensitivity analysis on the impact of the external policy on the option ranking and estimates.</w:t>
      </w:r>
    </w:p>
    <w:p w:rsidR="009D0BBE" w:rsidRPr="00E86AC4" w:rsidRDefault="009D0BBE" w:rsidP="00CE5B54">
      <w:pPr>
        <w:pStyle w:val="ListParagraph"/>
        <w:numPr>
          <w:ilvl w:val="2"/>
          <w:numId w:val="13"/>
        </w:numPr>
        <w:spacing w:line="264" w:lineRule="auto"/>
        <w:rPr>
          <w:rFonts w:cstheme="minorHAnsi"/>
          <w:b/>
          <w:color w:val="000000" w:themeColor="text1"/>
          <w:sz w:val="24"/>
          <w:szCs w:val="24"/>
        </w:rPr>
      </w:pPr>
      <w:r w:rsidRPr="00E86AC4">
        <w:rPr>
          <w:rFonts w:cstheme="minorHAnsi"/>
          <w:b/>
          <w:color w:val="000000" w:themeColor="text1"/>
          <w:sz w:val="24"/>
          <w:szCs w:val="24"/>
        </w:rPr>
        <w:t>Constructed counterfactuals</w:t>
      </w:r>
    </w:p>
    <w:p w:rsidR="009D0BBE" w:rsidRPr="003032B3" w:rsidRDefault="009D0BBE" w:rsidP="009D0BBE">
      <w:pPr>
        <w:spacing w:line="264" w:lineRule="auto"/>
        <w:rPr>
          <w:rFonts w:cstheme="minorHAnsi"/>
          <w:sz w:val="24"/>
          <w:szCs w:val="24"/>
        </w:rPr>
      </w:pPr>
      <w:r w:rsidRPr="003032B3">
        <w:rPr>
          <w:rFonts w:cstheme="minorHAnsi"/>
          <w:sz w:val="24"/>
          <w:szCs w:val="24"/>
        </w:rPr>
        <w:t>There are some situations where it is appropriate to use a constructed or artificial counterfactual, i.e. a counterfactual that is known to be different to what will happen in the absence of the proposal. Unless otherwise stated, this guidance only applies to the calculation of the EAN</w:t>
      </w:r>
      <w:r w:rsidR="00362BFE">
        <w:rPr>
          <w:rFonts w:cstheme="minorHAnsi"/>
          <w:sz w:val="24"/>
          <w:szCs w:val="24"/>
        </w:rPr>
        <w:t>D</w:t>
      </w:r>
      <w:r w:rsidRPr="003032B3">
        <w:rPr>
          <w:rFonts w:cstheme="minorHAnsi"/>
          <w:sz w:val="24"/>
          <w:szCs w:val="24"/>
        </w:rPr>
        <w:t>CB for business impact target (BIT) reporting purposes rather than the wider impact assessment.</w:t>
      </w:r>
    </w:p>
    <w:p w:rsidR="009D0BBE" w:rsidRPr="003032B3" w:rsidRDefault="009D0BBE" w:rsidP="009D0BBE">
      <w:pPr>
        <w:spacing w:line="264" w:lineRule="auto"/>
        <w:rPr>
          <w:rFonts w:cstheme="minorHAnsi"/>
          <w:color w:val="000000" w:themeColor="text1"/>
          <w:sz w:val="24"/>
          <w:szCs w:val="24"/>
          <w:u w:val="single"/>
        </w:rPr>
      </w:pPr>
      <w:r w:rsidRPr="003032B3">
        <w:rPr>
          <w:rFonts w:cstheme="minorHAnsi"/>
          <w:color w:val="000000" w:themeColor="text1"/>
          <w:sz w:val="24"/>
          <w:szCs w:val="24"/>
          <w:u w:val="single"/>
        </w:rPr>
        <w:t>EU measures</w:t>
      </w:r>
    </w:p>
    <w:p w:rsidR="009D0BBE" w:rsidRPr="003032B3" w:rsidRDefault="009D0BBE" w:rsidP="009D0BBE">
      <w:pPr>
        <w:spacing w:line="264" w:lineRule="auto"/>
        <w:rPr>
          <w:rFonts w:cstheme="minorHAnsi"/>
          <w:sz w:val="24"/>
          <w:szCs w:val="24"/>
        </w:rPr>
      </w:pPr>
      <w:r w:rsidRPr="003032B3">
        <w:rPr>
          <w:rFonts w:cstheme="minorHAnsi"/>
          <w:sz w:val="24"/>
          <w:szCs w:val="24"/>
        </w:rPr>
        <w:t>There are two types of EU measures where it is appropriate to use a constructed counterfactual.</w:t>
      </w:r>
    </w:p>
    <w:p w:rsidR="009D0BBE" w:rsidRPr="003032B3" w:rsidRDefault="009D0BBE" w:rsidP="009D0BBE">
      <w:pPr>
        <w:spacing w:line="264" w:lineRule="auto"/>
        <w:rPr>
          <w:rFonts w:cstheme="minorHAnsi"/>
          <w:sz w:val="24"/>
          <w:szCs w:val="24"/>
        </w:rPr>
      </w:pPr>
      <w:r w:rsidRPr="003032B3">
        <w:rPr>
          <w:rFonts w:cstheme="minorHAnsi"/>
          <w:b/>
          <w:sz w:val="24"/>
          <w:szCs w:val="24"/>
        </w:rPr>
        <w:lastRenderedPageBreak/>
        <w:t xml:space="preserve">Directives - </w:t>
      </w:r>
      <w:r w:rsidRPr="003032B3">
        <w:rPr>
          <w:rFonts w:cstheme="minorHAnsi"/>
          <w:color w:val="000000"/>
          <w:sz w:val="24"/>
          <w:szCs w:val="24"/>
        </w:rPr>
        <w:t>For the transposition of EU directives into UK law a counterfactual that the EU directive does not exist should be used. This is for two reasons:</w:t>
      </w:r>
    </w:p>
    <w:p w:rsidR="009D0BBE" w:rsidRPr="003032B3" w:rsidRDefault="009D0BBE" w:rsidP="009D0BBE">
      <w:pPr>
        <w:autoSpaceDE w:val="0"/>
        <w:autoSpaceDN w:val="0"/>
        <w:adjustRightInd w:val="0"/>
        <w:spacing w:after="30" w:line="264" w:lineRule="auto"/>
        <w:rPr>
          <w:rFonts w:cstheme="minorHAnsi"/>
          <w:color w:val="000000"/>
          <w:sz w:val="24"/>
          <w:szCs w:val="24"/>
        </w:rPr>
      </w:pPr>
    </w:p>
    <w:p w:rsidR="009D0BBE" w:rsidRPr="003032B3" w:rsidRDefault="009D0BBE" w:rsidP="009D0BBE">
      <w:pPr>
        <w:autoSpaceDE w:val="0"/>
        <w:autoSpaceDN w:val="0"/>
        <w:adjustRightInd w:val="0"/>
        <w:spacing w:after="30" w:line="264" w:lineRule="auto"/>
        <w:rPr>
          <w:rFonts w:cstheme="minorHAnsi"/>
          <w:color w:val="000000"/>
          <w:sz w:val="24"/>
          <w:szCs w:val="24"/>
        </w:rPr>
      </w:pPr>
      <w:r w:rsidRPr="003032B3">
        <w:rPr>
          <w:rFonts w:cstheme="minorHAnsi"/>
          <w:color w:val="000000"/>
          <w:sz w:val="24"/>
          <w:szCs w:val="24"/>
        </w:rPr>
        <w:t xml:space="preserve">First, a failure of the UK to transpose a directive would make the UK potentially subject to (very large) </w:t>
      </w:r>
      <w:r w:rsidRPr="003032B3">
        <w:rPr>
          <w:rFonts w:cstheme="minorHAnsi"/>
          <w:b/>
          <w:color w:val="000000"/>
          <w:sz w:val="24"/>
          <w:szCs w:val="24"/>
        </w:rPr>
        <w:t>infraction costs.</w:t>
      </w:r>
      <w:r w:rsidRPr="003032B3">
        <w:rPr>
          <w:rFonts w:cstheme="minorHAnsi"/>
          <w:color w:val="000000"/>
          <w:sz w:val="24"/>
          <w:szCs w:val="24"/>
        </w:rPr>
        <w:t xml:space="preserve"> Although this is a transfer payment, as it is payment from the UK to overseas it would count as a cost to the UK in an impact assessment. Factoring this into the cost of the ‘</w:t>
      </w:r>
      <w:proofErr w:type="gramStart"/>
      <w:r w:rsidRPr="003032B3">
        <w:rPr>
          <w:rFonts w:cstheme="minorHAnsi"/>
          <w:color w:val="000000"/>
          <w:sz w:val="24"/>
          <w:szCs w:val="24"/>
        </w:rPr>
        <w:t>do</w:t>
      </w:r>
      <w:proofErr w:type="gramEnd"/>
      <w:r w:rsidRPr="003032B3">
        <w:rPr>
          <w:rFonts w:cstheme="minorHAnsi"/>
          <w:color w:val="000000"/>
          <w:sz w:val="24"/>
          <w:szCs w:val="24"/>
        </w:rPr>
        <w:t xml:space="preserve"> nothing’ option is likely to make compliance with the EU requirements the best value for money option for the UK in all IAs. However, whilst this may be strictly correct, it masks whether the underlying EU proposal represents a net benefit to the UK. </w:t>
      </w:r>
      <w:r>
        <w:rPr>
          <w:rFonts w:cstheme="minorHAnsi"/>
          <w:color w:val="000000"/>
          <w:sz w:val="24"/>
          <w:szCs w:val="24"/>
        </w:rPr>
        <w:t>Of course, the wider IA should make clear the risk of infraction proceedings, and the associated expected cost, to help inform decision-makers.</w:t>
      </w:r>
    </w:p>
    <w:p w:rsidR="009D0BBE" w:rsidRPr="003032B3" w:rsidRDefault="009D0BBE" w:rsidP="009D0BBE">
      <w:pPr>
        <w:autoSpaceDE w:val="0"/>
        <w:autoSpaceDN w:val="0"/>
        <w:adjustRightInd w:val="0"/>
        <w:spacing w:after="30" w:line="264" w:lineRule="auto"/>
        <w:rPr>
          <w:rFonts w:cstheme="minorHAnsi"/>
          <w:color w:val="000000"/>
          <w:sz w:val="24"/>
          <w:szCs w:val="24"/>
        </w:rPr>
      </w:pPr>
    </w:p>
    <w:p w:rsidR="009D0BBE" w:rsidRPr="003032B3" w:rsidRDefault="009D0BBE" w:rsidP="009D0BBE">
      <w:pPr>
        <w:autoSpaceDE w:val="0"/>
        <w:autoSpaceDN w:val="0"/>
        <w:adjustRightInd w:val="0"/>
        <w:spacing w:after="30" w:line="264" w:lineRule="auto"/>
        <w:rPr>
          <w:rFonts w:cstheme="minorHAnsi"/>
          <w:color w:val="000000"/>
          <w:sz w:val="24"/>
          <w:szCs w:val="24"/>
        </w:rPr>
      </w:pPr>
      <w:r w:rsidRPr="003032B3">
        <w:rPr>
          <w:rFonts w:cstheme="minorHAnsi"/>
          <w:color w:val="000000"/>
          <w:sz w:val="24"/>
          <w:szCs w:val="24"/>
        </w:rPr>
        <w:t>Second, it also avoids any other costs</w:t>
      </w:r>
      <w:r>
        <w:rPr>
          <w:rFonts w:cstheme="minorHAnsi"/>
          <w:b/>
          <w:color w:val="000000"/>
          <w:sz w:val="24"/>
          <w:szCs w:val="24"/>
        </w:rPr>
        <w:t xml:space="preserve"> if the UK </w:t>
      </w:r>
      <w:r w:rsidRPr="003032B3">
        <w:rPr>
          <w:rFonts w:cstheme="minorHAnsi"/>
          <w:b/>
          <w:color w:val="000000"/>
          <w:sz w:val="24"/>
          <w:szCs w:val="24"/>
        </w:rPr>
        <w:t>were the only country not to implement the EU directive</w:t>
      </w:r>
      <w:r w:rsidRPr="003032B3">
        <w:rPr>
          <w:rFonts w:cstheme="minorHAnsi"/>
          <w:color w:val="000000"/>
          <w:sz w:val="24"/>
          <w:szCs w:val="24"/>
        </w:rPr>
        <w:t xml:space="preserve">. </w:t>
      </w:r>
    </w:p>
    <w:p w:rsidR="009D0BBE" w:rsidRPr="003032B3" w:rsidRDefault="009D0BBE" w:rsidP="009D0BBE">
      <w:pPr>
        <w:autoSpaceDE w:val="0"/>
        <w:autoSpaceDN w:val="0"/>
        <w:adjustRightInd w:val="0"/>
        <w:spacing w:after="0" w:line="264" w:lineRule="auto"/>
        <w:rPr>
          <w:rFonts w:cstheme="minorHAnsi"/>
          <w:color w:val="000000"/>
          <w:sz w:val="24"/>
          <w:szCs w:val="24"/>
        </w:rPr>
      </w:pPr>
      <w:r w:rsidRPr="003032B3">
        <w:rPr>
          <w:rFonts w:cstheme="minorHAnsi"/>
          <w:color w:val="000000"/>
          <w:sz w:val="24"/>
          <w:szCs w:val="24"/>
        </w:rPr>
        <w:t xml:space="preserve"> </w:t>
      </w:r>
    </w:p>
    <w:p w:rsidR="009D0BBE" w:rsidRPr="003032B3" w:rsidRDefault="009D0BBE" w:rsidP="009D0BBE">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rPr>
          <w:rFonts w:cstheme="minorHAnsi"/>
          <w:sz w:val="24"/>
          <w:szCs w:val="24"/>
        </w:rPr>
      </w:pPr>
      <w:r w:rsidRPr="003032B3">
        <w:rPr>
          <w:rFonts w:cstheme="minorHAnsi"/>
          <w:sz w:val="24"/>
          <w:szCs w:val="24"/>
        </w:rPr>
        <w:t xml:space="preserve">In 2012 the DfT submitted a Civil Aviation Authority IA </w:t>
      </w:r>
      <w:r w:rsidRPr="003032B3">
        <w:rPr>
          <w:rFonts w:cstheme="minorHAnsi"/>
          <w:b/>
          <w:sz w:val="24"/>
          <w:szCs w:val="24"/>
        </w:rPr>
        <w:t>‘</w:t>
      </w:r>
      <w:r w:rsidRPr="003032B3">
        <w:rPr>
          <w:rFonts w:cstheme="minorHAnsi"/>
          <w:b/>
          <w:i/>
          <w:sz w:val="24"/>
          <w:szCs w:val="24"/>
        </w:rPr>
        <w:t xml:space="preserve">Air Navigation Order (ANO) 2009 Changes as </w:t>
      </w:r>
      <w:proofErr w:type="gramStart"/>
      <w:r w:rsidRPr="003032B3">
        <w:rPr>
          <w:rFonts w:cstheme="minorHAnsi"/>
          <w:b/>
          <w:i/>
          <w:sz w:val="24"/>
          <w:szCs w:val="24"/>
        </w:rPr>
        <w:t>a</w:t>
      </w:r>
      <w:proofErr w:type="gramEnd"/>
      <w:r w:rsidRPr="003032B3">
        <w:rPr>
          <w:rFonts w:cstheme="minorHAnsi"/>
          <w:b/>
          <w:i/>
          <w:sz w:val="24"/>
          <w:szCs w:val="24"/>
        </w:rPr>
        <w:t xml:space="preserve"> EASA Air Operations Regulations</w:t>
      </w:r>
      <w:r w:rsidRPr="003032B3">
        <w:rPr>
          <w:rFonts w:cstheme="minorHAnsi"/>
          <w:b/>
          <w:sz w:val="24"/>
          <w:szCs w:val="24"/>
        </w:rPr>
        <w:t xml:space="preserve">’ </w:t>
      </w:r>
      <w:r w:rsidRPr="003032B3">
        <w:rPr>
          <w:rFonts w:cstheme="minorHAnsi"/>
          <w:sz w:val="24"/>
          <w:szCs w:val="24"/>
        </w:rPr>
        <w:t>with an (out of scope) EANCB of -£9bn. This was the estimated benefit to the UK of avoiding aircraft being effectively grounded because of a failure to comply with the EU Regulation. This resulted from a counterfactual of every other country in the EU implementing the Regulation. In December 2014 the Department re-submitted the IA with the appropriate counterfactual of the EU Regulation not existing.</w:t>
      </w:r>
    </w:p>
    <w:p w:rsidR="009D0BBE" w:rsidRPr="003032B3" w:rsidRDefault="009D0BBE" w:rsidP="009D0BBE">
      <w:pPr>
        <w:autoSpaceDE w:val="0"/>
        <w:autoSpaceDN w:val="0"/>
        <w:adjustRightInd w:val="0"/>
        <w:spacing w:after="0" w:line="264" w:lineRule="auto"/>
        <w:rPr>
          <w:rFonts w:cstheme="minorHAnsi"/>
          <w:color w:val="000000"/>
          <w:sz w:val="24"/>
          <w:szCs w:val="24"/>
        </w:rPr>
      </w:pPr>
    </w:p>
    <w:p w:rsidR="009D0BBE" w:rsidRPr="003032B3" w:rsidRDefault="009D0BBE" w:rsidP="009D0BBE">
      <w:pPr>
        <w:spacing w:line="264" w:lineRule="auto"/>
        <w:rPr>
          <w:rFonts w:eastAsia="Times New Roman" w:cstheme="minorHAnsi"/>
          <w:sz w:val="24"/>
          <w:szCs w:val="24"/>
          <w:lang w:eastAsia="en-GB"/>
        </w:rPr>
      </w:pPr>
      <w:r w:rsidRPr="003032B3">
        <w:rPr>
          <w:rFonts w:cstheme="minorHAnsi"/>
          <w:b/>
          <w:sz w:val="24"/>
          <w:szCs w:val="24"/>
        </w:rPr>
        <w:t>Take-up of beneficial derogations</w:t>
      </w:r>
      <w:r w:rsidRPr="003032B3">
        <w:rPr>
          <w:rFonts w:cstheme="minorHAnsi"/>
          <w:sz w:val="24"/>
          <w:szCs w:val="24"/>
        </w:rPr>
        <w:t xml:space="preserve"> - The UK Transposition Guidance states that implementation should take full advantage of any </w:t>
      </w:r>
      <w:proofErr w:type="gramStart"/>
      <w:r w:rsidRPr="003032B3">
        <w:rPr>
          <w:rFonts w:cstheme="minorHAnsi"/>
          <w:sz w:val="24"/>
          <w:szCs w:val="24"/>
        </w:rPr>
        <w:t>derogations</w:t>
      </w:r>
      <w:proofErr w:type="gramEnd"/>
      <w:r w:rsidRPr="003032B3">
        <w:rPr>
          <w:rFonts w:cstheme="minorHAnsi"/>
          <w:sz w:val="24"/>
          <w:szCs w:val="24"/>
        </w:rPr>
        <w:t xml:space="preserve"> which keep requirements to a minimum. There is, therefore, an expectation that government departments will exercise net beneficial derogations, such as an option to delay the implementation of a net costly EU regulation. A counterfactual based upon minimum implementation should, therefore, assume that all net beneficial derogations are taken up. This is different to a pure ‘do nothing’, as taking up a derogation involves an action.</w:t>
      </w:r>
      <w:r w:rsidRPr="003032B3">
        <w:rPr>
          <w:rFonts w:cstheme="minorHAnsi"/>
          <w:sz w:val="24"/>
          <w:szCs w:val="24"/>
          <w:vertAlign w:val="superscript"/>
        </w:rPr>
        <w:footnoteReference w:id="4"/>
      </w:r>
      <w:r w:rsidRPr="003032B3">
        <w:rPr>
          <w:rFonts w:eastAsia="Times New Roman" w:cstheme="minorHAnsi"/>
          <w:sz w:val="24"/>
          <w:szCs w:val="24"/>
          <w:lang w:eastAsia="en-GB"/>
        </w:rPr>
        <w:t xml:space="preserve"> </w:t>
      </w:r>
    </w:p>
    <w:p w:rsidR="009D0BBE" w:rsidRPr="003032B3" w:rsidRDefault="009D0BBE" w:rsidP="009D0BBE">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rPr>
          <w:rFonts w:eastAsia="Times New Roman" w:cstheme="minorHAnsi"/>
          <w:sz w:val="24"/>
          <w:szCs w:val="24"/>
          <w:lang w:eastAsia="en-GB"/>
        </w:rPr>
      </w:pPr>
      <w:r w:rsidRPr="003032B3">
        <w:rPr>
          <w:rFonts w:cstheme="minorHAnsi"/>
          <w:sz w:val="24"/>
          <w:szCs w:val="24"/>
        </w:rPr>
        <w:t xml:space="preserve">In December 2012 DfT submitted an IA for an out of scope EU measure </w:t>
      </w:r>
      <w:r w:rsidRPr="003032B3">
        <w:rPr>
          <w:rFonts w:cstheme="minorHAnsi"/>
          <w:b/>
          <w:i/>
          <w:sz w:val="24"/>
          <w:szCs w:val="24"/>
        </w:rPr>
        <w:t>Merchant Shipping (Carriage of Passengers by Sea) Regulations 2012</w:t>
      </w:r>
      <w:r w:rsidRPr="003032B3">
        <w:rPr>
          <w:rFonts w:cstheme="minorHAnsi"/>
          <w:sz w:val="24"/>
          <w:szCs w:val="24"/>
        </w:rPr>
        <w:t xml:space="preserve">. The IA included a negative EANCB, with savings resulting from taking up a beneficial derogation. Since the taking up of a beneficial derogation should have been in the counterfactual, the EANCB was incorrect and the </w:t>
      </w:r>
      <w:r>
        <w:rPr>
          <w:rFonts w:cstheme="minorHAnsi"/>
          <w:sz w:val="24"/>
          <w:szCs w:val="24"/>
        </w:rPr>
        <w:t>RPC</w:t>
      </w:r>
      <w:r w:rsidRPr="003032B3">
        <w:rPr>
          <w:rFonts w:cstheme="minorHAnsi"/>
          <w:sz w:val="24"/>
          <w:szCs w:val="24"/>
        </w:rPr>
        <w:t xml:space="preserve"> issued a Red validation statement in January 2013</w:t>
      </w:r>
      <w:r w:rsidRPr="003032B3">
        <w:rPr>
          <w:rFonts w:eastAsia="Times New Roman" w:cstheme="minorHAnsi"/>
          <w:sz w:val="24"/>
          <w:szCs w:val="24"/>
          <w:lang w:eastAsia="en-GB"/>
        </w:rPr>
        <w:t xml:space="preserve">. </w:t>
      </w:r>
    </w:p>
    <w:p w:rsidR="009D0BBE" w:rsidRDefault="009D0BBE" w:rsidP="009D0BBE">
      <w:pPr>
        <w:spacing w:line="240" w:lineRule="auto"/>
        <w:rPr>
          <w:rFonts w:cstheme="minorHAnsi"/>
          <w:color w:val="000000" w:themeColor="text1"/>
          <w:sz w:val="24"/>
          <w:szCs w:val="24"/>
          <w:u w:val="single"/>
        </w:rPr>
      </w:pPr>
    </w:p>
    <w:p w:rsidR="009D0BBE" w:rsidRPr="003032B3" w:rsidRDefault="009D0BBE" w:rsidP="009D0BBE">
      <w:pPr>
        <w:spacing w:line="240" w:lineRule="auto"/>
        <w:rPr>
          <w:rFonts w:cstheme="minorHAnsi"/>
          <w:color w:val="000000" w:themeColor="text1"/>
          <w:sz w:val="24"/>
          <w:szCs w:val="24"/>
          <w:u w:val="single"/>
        </w:rPr>
      </w:pPr>
      <w:r w:rsidRPr="003032B3">
        <w:rPr>
          <w:rFonts w:cstheme="minorHAnsi"/>
          <w:color w:val="000000" w:themeColor="text1"/>
          <w:sz w:val="24"/>
          <w:szCs w:val="24"/>
          <w:u w:val="single"/>
        </w:rPr>
        <w:lastRenderedPageBreak/>
        <w:t>Time-limited measures</w:t>
      </w:r>
    </w:p>
    <w:p w:rsidR="009D0BBE" w:rsidRDefault="009D0BBE" w:rsidP="009D0BBE">
      <w:pPr>
        <w:rPr>
          <w:rFonts w:eastAsia="Times New Roman" w:cstheme="minorHAnsi"/>
          <w:color w:val="000000" w:themeColor="text1"/>
          <w:sz w:val="24"/>
          <w:szCs w:val="24"/>
          <w:lang w:eastAsia="en-GB"/>
        </w:rPr>
      </w:pPr>
      <w:r w:rsidRPr="00FA78DE">
        <w:rPr>
          <w:rFonts w:eastAsia="Times New Roman" w:cstheme="minorHAnsi"/>
          <w:sz w:val="24"/>
          <w:szCs w:val="24"/>
          <w:lang w:eastAsia="en-GB"/>
        </w:rPr>
        <w:t>This section only considers temporary measures lasting longer than 12 months. Measures lasting less than 12 months are out of scope of the B</w:t>
      </w:r>
      <w:r>
        <w:rPr>
          <w:rFonts w:eastAsia="Times New Roman" w:cstheme="minorHAnsi"/>
          <w:sz w:val="24"/>
          <w:szCs w:val="24"/>
          <w:lang w:eastAsia="en-GB"/>
        </w:rPr>
        <w:t>IT</w:t>
      </w:r>
      <w:r w:rsidRPr="00FA78DE">
        <w:rPr>
          <w:rFonts w:eastAsia="Times New Roman" w:cstheme="minorHAnsi"/>
          <w:color w:val="000000" w:themeColor="text1"/>
          <w:sz w:val="24"/>
          <w:szCs w:val="24"/>
          <w:lang w:eastAsia="en-GB"/>
        </w:rPr>
        <w:t>.</w:t>
      </w:r>
    </w:p>
    <w:p w:rsidR="009D0BBE" w:rsidRPr="00FA78DE" w:rsidRDefault="009D0BBE" w:rsidP="009D0BBE">
      <w:pPr>
        <w:rPr>
          <w:rFonts w:eastAsia="Times New Roman" w:cstheme="minorHAnsi"/>
          <w:b/>
          <w:lang w:eastAsia="en-GB"/>
        </w:rPr>
      </w:pPr>
      <w:r w:rsidRPr="00FA78DE">
        <w:rPr>
          <w:rFonts w:eastAsia="Times New Roman" w:cstheme="minorHAnsi"/>
          <w:b/>
          <w:color w:val="000000" w:themeColor="text1"/>
          <w:lang w:eastAsia="en-GB"/>
        </w:rPr>
        <w:t>Please note that</w:t>
      </w:r>
      <w:r w:rsidRPr="00FA78DE">
        <w:rPr>
          <w:rFonts w:cstheme="minorHAnsi"/>
          <w:b/>
        </w:rPr>
        <w:t xml:space="preserve"> </w:t>
      </w:r>
      <w:r>
        <w:rPr>
          <w:rFonts w:cstheme="minorHAnsi"/>
          <w:b/>
        </w:rPr>
        <w:t>guidance on the assessment and scoring of time-limited measures under the BIT is currently being finalised. What follows relates only to OIOO/OITO. P</w:t>
      </w:r>
      <w:r w:rsidR="00C90A59">
        <w:rPr>
          <w:rFonts w:cstheme="minorHAnsi"/>
          <w:b/>
        </w:rPr>
        <w:t>aragraph 1.2 27</w:t>
      </w:r>
      <w:r w:rsidRPr="00FA78DE">
        <w:rPr>
          <w:rFonts w:cstheme="minorHAnsi"/>
          <w:b/>
        </w:rPr>
        <w:t xml:space="preserve"> of the new BRFM</w:t>
      </w:r>
      <w:r w:rsidR="00624A7F">
        <w:rPr>
          <w:rFonts w:cstheme="minorHAnsi"/>
          <w:b/>
        </w:rPr>
        <w:t xml:space="preserve"> presently</w:t>
      </w:r>
      <w:r w:rsidRPr="00FA78DE">
        <w:rPr>
          <w:rFonts w:cstheme="minorHAnsi"/>
          <w:b/>
        </w:rPr>
        <w:t xml:space="preserve"> states: “</w:t>
      </w:r>
      <w:r w:rsidRPr="00FA78DE">
        <w:rPr>
          <w:rFonts w:cstheme="minorHAnsi"/>
          <w:b/>
          <w:i/>
        </w:rPr>
        <w:t>Treatment of time-limited measures will depend on the specific circumstances of both the measure and whether it is expiring, being revoked or extended.  Please speak directly to BRE for further details if you are unsure how to score your measure</w:t>
      </w:r>
      <w:r>
        <w:rPr>
          <w:rFonts w:cstheme="minorHAnsi"/>
          <w:b/>
        </w:rPr>
        <w:t>”</w:t>
      </w:r>
      <w:r w:rsidR="00624A7F">
        <w:rPr>
          <w:rFonts w:cstheme="minorHAnsi"/>
          <w:b/>
        </w:rPr>
        <w:t>. This section will be updated once the BRFM wording has been finalised. We will also add examples under the BIT.</w:t>
      </w:r>
      <w:r>
        <w:rPr>
          <w:rFonts w:cstheme="minorHAnsi"/>
          <w:b/>
        </w:rPr>
        <w:t xml:space="preserve"> </w:t>
      </w:r>
    </w:p>
    <w:p w:rsidR="009D0BBE" w:rsidRPr="003032B3" w:rsidRDefault="009D0BBE" w:rsidP="009D0BBE">
      <w:pPr>
        <w:outlineLvl w:val="3"/>
        <w:rPr>
          <w:rFonts w:cstheme="minorHAnsi"/>
          <w:sz w:val="24"/>
          <w:szCs w:val="24"/>
        </w:rPr>
      </w:pPr>
      <w:r w:rsidRPr="003032B3">
        <w:rPr>
          <w:rFonts w:eastAsia="Times New Roman" w:cstheme="minorHAnsi"/>
          <w:sz w:val="24"/>
          <w:szCs w:val="24"/>
        </w:rPr>
        <w:t xml:space="preserve">The </w:t>
      </w:r>
      <w:r>
        <w:rPr>
          <w:rFonts w:eastAsia="Times New Roman" w:cstheme="minorHAnsi"/>
          <w:sz w:val="24"/>
          <w:szCs w:val="24"/>
        </w:rPr>
        <w:t>OIOO/OITO framework said that</w:t>
      </w:r>
      <w:r w:rsidRPr="003032B3">
        <w:rPr>
          <w:rFonts w:eastAsia="Times New Roman" w:cstheme="minorHAnsi"/>
          <w:sz w:val="24"/>
          <w:szCs w:val="24"/>
        </w:rPr>
        <w:t>: “</w:t>
      </w:r>
      <w:r w:rsidRPr="003032B3">
        <w:rPr>
          <w:rFonts w:eastAsia="Times New Roman" w:cstheme="minorHAnsi"/>
          <w:i/>
          <w:sz w:val="24"/>
          <w:szCs w:val="24"/>
          <w:lang w:val="x-none"/>
        </w:rPr>
        <w:t>The expiry of a time</w:t>
      </w:r>
      <w:r w:rsidRPr="003032B3">
        <w:rPr>
          <w:rFonts w:eastAsia="Times New Roman" w:cstheme="minorHAnsi"/>
          <w:i/>
          <w:sz w:val="24"/>
          <w:szCs w:val="24"/>
        </w:rPr>
        <w:t>-</w:t>
      </w:r>
      <w:r w:rsidRPr="003032B3">
        <w:rPr>
          <w:rFonts w:eastAsia="Times New Roman" w:cstheme="minorHAnsi"/>
          <w:i/>
          <w:sz w:val="24"/>
          <w:szCs w:val="24"/>
          <w:lang w:val="x-none"/>
        </w:rPr>
        <w:t xml:space="preserve">limited measure that has been costly to business is treated as an </w:t>
      </w:r>
      <w:proofErr w:type="gramStart"/>
      <w:r w:rsidRPr="003032B3">
        <w:rPr>
          <w:rFonts w:eastAsia="Times New Roman" w:cstheme="minorHAnsi"/>
          <w:i/>
          <w:sz w:val="24"/>
          <w:szCs w:val="24"/>
          <w:lang w:val="x-none"/>
        </w:rPr>
        <w:t>OUT,</w:t>
      </w:r>
      <w:proofErr w:type="gramEnd"/>
      <w:r w:rsidRPr="003032B3">
        <w:rPr>
          <w:rFonts w:eastAsia="Times New Roman" w:cstheme="minorHAnsi"/>
          <w:i/>
          <w:sz w:val="24"/>
          <w:szCs w:val="24"/>
          <w:lang w:val="x-none"/>
        </w:rPr>
        <w:t xml:space="preserve"> and the expiry of a measure that benefits business as an IN</w:t>
      </w:r>
      <w:r w:rsidRPr="003032B3">
        <w:rPr>
          <w:rFonts w:eastAsia="Times New Roman" w:cstheme="minorHAnsi"/>
          <w:i/>
          <w:sz w:val="24"/>
          <w:szCs w:val="24"/>
        </w:rPr>
        <w:t>,</w:t>
      </w:r>
      <w:r w:rsidRPr="003032B3">
        <w:rPr>
          <w:rFonts w:eastAsia="Times New Roman" w:cstheme="minorHAnsi"/>
          <w:i/>
          <w:sz w:val="24"/>
          <w:szCs w:val="24"/>
          <w:lang w:val="x-none"/>
        </w:rPr>
        <w:t xml:space="preserve"> under the OITO methodology</w:t>
      </w:r>
      <w:r w:rsidRPr="003032B3">
        <w:rPr>
          <w:rFonts w:eastAsia="Times New Roman" w:cstheme="minorHAnsi"/>
          <w:sz w:val="24"/>
          <w:szCs w:val="24"/>
        </w:rPr>
        <w:t>”</w:t>
      </w:r>
      <w:r w:rsidRPr="003032B3">
        <w:rPr>
          <w:rFonts w:eastAsia="Times New Roman" w:cstheme="minorHAnsi"/>
          <w:sz w:val="24"/>
          <w:szCs w:val="24"/>
          <w:lang w:val="x-none"/>
        </w:rPr>
        <w:t xml:space="preserve">. </w:t>
      </w:r>
      <w:r w:rsidRPr="003032B3">
        <w:rPr>
          <w:rFonts w:cstheme="minorHAnsi"/>
          <w:sz w:val="24"/>
          <w:szCs w:val="24"/>
        </w:rPr>
        <w:t>This outcome is consistent with a counterfactual where the measure does not expire. Under the usual ‘</w:t>
      </w:r>
      <w:proofErr w:type="gramStart"/>
      <w:r w:rsidRPr="003032B3">
        <w:rPr>
          <w:rFonts w:cstheme="minorHAnsi"/>
          <w:sz w:val="24"/>
          <w:szCs w:val="24"/>
        </w:rPr>
        <w:t>do</w:t>
      </w:r>
      <w:proofErr w:type="gramEnd"/>
      <w:r w:rsidRPr="003032B3">
        <w:rPr>
          <w:rFonts w:cstheme="minorHAnsi"/>
          <w:sz w:val="24"/>
          <w:szCs w:val="24"/>
        </w:rPr>
        <w:t xml:space="preserve"> nothing’ counterfactual, the expiry itself would be in the baseline because it involves no action by government. There would, therefore, be no IN or OUT scored on expiry. </w:t>
      </w:r>
    </w:p>
    <w:p w:rsidR="009D0BBE" w:rsidRPr="003032B3" w:rsidRDefault="009D0BBE" w:rsidP="009D0BBE">
      <w:pPr>
        <w:spacing w:after="0"/>
        <w:rPr>
          <w:rFonts w:eastAsia="Times New Roman" w:cstheme="minorHAnsi"/>
          <w:sz w:val="24"/>
          <w:szCs w:val="24"/>
          <w:lang w:eastAsia="en-GB"/>
        </w:rPr>
      </w:pPr>
      <w:r w:rsidRPr="003032B3">
        <w:rPr>
          <w:rFonts w:eastAsia="Times New Roman" w:cstheme="minorHAnsi"/>
          <w:sz w:val="24"/>
          <w:szCs w:val="24"/>
          <w:lang w:eastAsia="en-GB"/>
        </w:rPr>
        <w:t>If a time limited measure is renewed or extended then only differences between the new and old measures should be scored. If the new measure is identical to the old one then</w:t>
      </w:r>
      <w:r>
        <w:rPr>
          <w:rFonts w:eastAsia="Times New Roman" w:cstheme="minorHAnsi"/>
          <w:sz w:val="24"/>
          <w:szCs w:val="24"/>
          <w:lang w:eastAsia="en-GB"/>
        </w:rPr>
        <w:t>, during the last parliament, the RPC would validate it as</w:t>
      </w:r>
      <w:r w:rsidRPr="003032B3">
        <w:rPr>
          <w:rFonts w:eastAsia="Times New Roman" w:cstheme="minorHAnsi"/>
          <w:sz w:val="24"/>
          <w:szCs w:val="24"/>
          <w:lang w:eastAsia="en-GB"/>
        </w:rPr>
        <w:t xml:space="preserve"> ‘zero net cost’. </w:t>
      </w:r>
    </w:p>
    <w:p w:rsidR="009D0BBE" w:rsidRPr="003032B3" w:rsidRDefault="009D0BBE" w:rsidP="009D0BBE">
      <w:pPr>
        <w:spacing w:after="0"/>
        <w:jc w:val="both"/>
        <w:rPr>
          <w:rFonts w:eastAsia="Times New Roman" w:cstheme="minorHAnsi"/>
          <w:sz w:val="24"/>
          <w:szCs w:val="24"/>
          <w:lang w:eastAsia="en-GB"/>
        </w:rPr>
      </w:pPr>
    </w:p>
    <w:p w:rsidR="009D0BBE" w:rsidRPr="003032B3" w:rsidRDefault="009D0BBE" w:rsidP="009D0BBE">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rPr>
          <w:rFonts w:cstheme="minorHAnsi"/>
          <w:sz w:val="24"/>
          <w:szCs w:val="24"/>
        </w:rPr>
      </w:pPr>
      <w:r w:rsidRPr="003032B3">
        <w:rPr>
          <w:rFonts w:cstheme="minorHAnsi"/>
          <w:b/>
          <w:sz w:val="24"/>
          <w:szCs w:val="24"/>
        </w:rPr>
        <w:t>Night Flying Restrictions (RPC13-DFT-1859(2))</w:t>
      </w:r>
      <w:r>
        <w:rPr>
          <w:rFonts w:cstheme="minorHAnsi"/>
          <w:b/>
          <w:sz w:val="24"/>
          <w:szCs w:val="24"/>
        </w:rPr>
        <w:t>:</w:t>
      </w:r>
      <w:r w:rsidRPr="003032B3">
        <w:rPr>
          <w:rFonts w:cstheme="minorHAnsi"/>
          <w:sz w:val="24"/>
          <w:szCs w:val="24"/>
        </w:rPr>
        <w:t xml:space="preserve"> The existing regulatory restrictions on night flying at Heathrow, Gatwick and Stansted were due to expire in October 2014. The department’s proposal was for a three year interim measure </w:t>
      </w:r>
      <w:r w:rsidRPr="003032B3">
        <w:rPr>
          <w:rFonts w:cstheme="minorHAnsi"/>
          <w:iCs/>
          <w:sz w:val="24"/>
          <w:szCs w:val="24"/>
        </w:rPr>
        <w:t>to allow full consideration of the independent Airport Commission’s recommendations on airport capacity for the design of the next full regulatory regime. The three year</w:t>
      </w:r>
      <w:r w:rsidRPr="003032B3">
        <w:rPr>
          <w:rFonts w:cstheme="minorHAnsi"/>
          <w:i/>
          <w:iCs/>
          <w:sz w:val="24"/>
          <w:szCs w:val="24"/>
        </w:rPr>
        <w:t xml:space="preserve"> </w:t>
      </w:r>
      <w:r w:rsidRPr="003032B3">
        <w:rPr>
          <w:rFonts w:cstheme="minorHAnsi"/>
          <w:iCs/>
          <w:sz w:val="24"/>
          <w:szCs w:val="24"/>
        </w:rPr>
        <w:t xml:space="preserve">measure was effectively a rolling forward of the existing restrictions. It was, therefore, accepted that </w:t>
      </w:r>
      <w:r w:rsidRPr="003032B3">
        <w:rPr>
          <w:rFonts w:cstheme="minorHAnsi"/>
          <w:sz w:val="24"/>
          <w:szCs w:val="24"/>
        </w:rPr>
        <w:t xml:space="preserve"> the automatic lapsing of the current regime should be classified as an ‘OUT’, which will be immediately offset by an ”IN” of the same size resulting from the new regime. The measure was, therefore, classified as zero net cost overall.</w:t>
      </w:r>
    </w:p>
    <w:p w:rsidR="009D0BBE" w:rsidRPr="003032B3" w:rsidRDefault="009D0BBE" w:rsidP="009D0BBE">
      <w:pPr>
        <w:spacing w:after="0"/>
        <w:jc w:val="both"/>
        <w:rPr>
          <w:rFonts w:eastAsia="Times New Roman" w:cstheme="minorHAnsi"/>
          <w:sz w:val="24"/>
          <w:szCs w:val="24"/>
          <w:lang w:eastAsia="en-GB"/>
        </w:rPr>
      </w:pPr>
    </w:p>
    <w:p w:rsidR="009D0BBE" w:rsidRPr="003032B3" w:rsidRDefault="009D0BBE" w:rsidP="009D0BBE">
      <w:pPr>
        <w:rPr>
          <w:rFonts w:cstheme="minorHAnsi"/>
          <w:sz w:val="24"/>
          <w:szCs w:val="24"/>
        </w:rPr>
      </w:pPr>
      <w:r w:rsidRPr="003032B3">
        <w:rPr>
          <w:rFonts w:cstheme="minorHAnsi"/>
          <w:sz w:val="24"/>
          <w:szCs w:val="24"/>
        </w:rPr>
        <w:t>It should be noted that the Department will need to demonstrate that the OUT and IN exactly offset. The Department should also consider whether there are transition or time-varying impacts (or end-period costs/benefits) that might make the above approach, which effectively assumes constant recurring costs and benefits, less appropriate.</w:t>
      </w:r>
    </w:p>
    <w:p w:rsidR="009D0BBE" w:rsidRPr="003032B3" w:rsidRDefault="009D0BBE" w:rsidP="009D0BBE">
      <w:pPr>
        <w:spacing w:after="0"/>
        <w:rPr>
          <w:rFonts w:eastAsia="Times New Roman" w:cstheme="minorHAnsi"/>
          <w:sz w:val="24"/>
          <w:szCs w:val="24"/>
          <w:lang w:eastAsia="en-GB"/>
        </w:rPr>
      </w:pPr>
      <w:r w:rsidRPr="003032B3">
        <w:rPr>
          <w:rFonts w:eastAsia="Times New Roman" w:cstheme="minorHAnsi"/>
          <w:sz w:val="24"/>
          <w:szCs w:val="24"/>
          <w:lang w:eastAsia="en-GB"/>
        </w:rPr>
        <w:t>There may be other cases where the follow-on measure is to a different regulatory or deregulatory standard than the expired measure. For example, if the follow-on measure is less regulatory</w:t>
      </w:r>
      <w:r>
        <w:rPr>
          <w:rFonts w:eastAsia="Times New Roman" w:cstheme="minorHAnsi"/>
          <w:sz w:val="24"/>
          <w:szCs w:val="24"/>
          <w:lang w:eastAsia="en-GB"/>
        </w:rPr>
        <w:t>,</w:t>
      </w:r>
      <w:r w:rsidRPr="003032B3">
        <w:rPr>
          <w:rFonts w:eastAsia="Times New Roman" w:cstheme="minorHAnsi"/>
          <w:sz w:val="24"/>
          <w:szCs w:val="24"/>
          <w:lang w:eastAsia="en-GB"/>
        </w:rPr>
        <w:t xml:space="preserve"> the IN from this measure would be lower than the OUT from the expired regulatory measure, leaving a net OUT.</w:t>
      </w:r>
    </w:p>
    <w:p w:rsidR="009D0BBE" w:rsidRPr="003032B3" w:rsidRDefault="009D0BBE" w:rsidP="009D0BBE">
      <w:pPr>
        <w:spacing w:after="0"/>
        <w:jc w:val="both"/>
        <w:rPr>
          <w:rFonts w:eastAsia="Times New Roman" w:cstheme="minorHAnsi"/>
          <w:sz w:val="24"/>
          <w:szCs w:val="24"/>
          <w:lang w:eastAsia="en-GB"/>
        </w:rPr>
      </w:pPr>
    </w:p>
    <w:p w:rsidR="009D0BBE" w:rsidRPr="003032B3" w:rsidRDefault="009D0BBE" w:rsidP="009D0BBE">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color w:val="000000"/>
          <w:sz w:val="24"/>
          <w:szCs w:val="24"/>
          <w:lang w:eastAsia="en-GB"/>
        </w:rPr>
      </w:pPr>
      <w:r w:rsidRPr="003032B3">
        <w:rPr>
          <w:rFonts w:eastAsia="Times New Roman" w:cstheme="minorHAnsi"/>
          <w:b/>
          <w:bCs/>
          <w:sz w:val="24"/>
          <w:szCs w:val="24"/>
          <w:lang w:eastAsia="en-GB"/>
        </w:rPr>
        <w:t>The Future of the Energy Company Obligation (ECO) (RPC14-DECC-2105)</w:t>
      </w:r>
      <w:r>
        <w:rPr>
          <w:rFonts w:eastAsia="Times New Roman" w:cstheme="minorHAnsi"/>
          <w:b/>
          <w:bCs/>
          <w:sz w:val="24"/>
          <w:szCs w:val="24"/>
          <w:lang w:eastAsia="en-GB"/>
        </w:rPr>
        <w:t>:</w:t>
      </w:r>
      <w:r w:rsidRPr="003032B3">
        <w:rPr>
          <w:rFonts w:eastAsia="Times New Roman" w:cstheme="minorHAnsi"/>
          <w:b/>
          <w:bCs/>
          <w:sz w:val="24"/>
          <w:szCs w:val="24"/>
          <w:lang w:eastAsia="en-GB"/>
        </w:rPr>
        <w:t xml:space="preserve"> </w:t>
      </w:r>
      <w:r w:rsidRPr="003032B3">
        <w:rPr>
          <w:rFonts w:eastAsia="Times New Roman" w:cstheme="minorHAnsi"/>
          <w:sz w:val="24"/>
          <w:szCs w:val="24"/>
          <w:lang w:eastAsia="en-GB"/>
        </w:rPr>
        <w:t xml:space="preserve">The original </w:t>
      </w:r>
      <w:r w:rsidRPr="003032B3">
        <w:rPr>
          <w:rFonts w:eastAsia="Times New Roman" w:cstheme="minorHAnsi"/>
          <w:color w:val="000000"/>
          <w:sz w:val="24"/>
          <w:szCs w:val="24"/>
          <w:lang w:eastAsia="en-GB"/>
        </w:rPr>
        <w:t xml:space="preserve">ECO came in on 1 January 2013. ECO required energy companies to deliver carbon savings by achieving targets relating to the installation of energy efficiency measures.  It was due to run until 31 March 2015.  In April 2014 ECO was replaced by a policy (hereafter referred to as ECO2) which has lower carbon saving targets but runs for an additional two years, to 31 March 2017. </w:t>
      </w:r>
    </w:p>
    <w:p w:rsidR="009D0BBE" w:rsidRPr="003032B3" w:rsidRDefault="009D0BBE" w:rsidP="009D0BBE">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Calibri" w:cstheme="minorHAnsi"/>
          <w:sz w:val="24"/>
          <w:szCs w:val="24"/>
        </w:rPr>
      </w:pPr>
      <w:r w:rsidRPr="003032B3">
        <w:rPr>
          <w:rFonts w:eastAsia="Calibri" w:cstheme="minorHAnsi"/>
          <w:sz w:val="24"/>
          <w:szCs w:val="24"/>
        </w:rPr>
        <w:t>The expiry of ECO resulted in an OUT. The introduction of ECO2 resulted in an IN.</w:t>
      </w:r>
      <w:r w:rsidRPr="003032B3">
        <w:rPr>
          <w:rFonts w:eastAsia="Times New Roman" w:cstheme="minorHAnsi"/>
          <w:color w:val="000000"/>
          <w:sz w:val="24"/>
          <w:szCs w:val="24"/>
          <w:lang w:eastAsia="en-GB"/>
        </w:rPr>
        <w:t xml:space="preserve"> </w:t>
      </w:r>
      <w:r w:rsidRPr="003032B3">
        <w:rPr>
          <w:rFonts w:eastAsia="Calibri" w:cstheme="minorHAnsi"/>
          <w:sz w:val="24"/>
          <w:szCs w:val="24"/>
        </w:rPr>
        <w:t>The difference between the two was the net impact on the OITO account. In this case, the IN for ECO2 was lower than the OUT for ECO, making this a “net OUT” in terms of its impact on the OITO account.</w:t>
      </w:r>
    </w:p>
    <w:p w:rsidR="009D0BBE" w:rsidRPr="003032B3" w:rsidRDefault="009D0BBE" w:rsidP="009D0BBE">
      <w:pPr>
        <w:spacing w:after="0"/>
        <w:jc w:val="both"/>
        <w:rPr>
          <w:rFonts w:eastAsia="Times New Roman" w:cstheme="minorHAnsi"/>
          <w:sz w:val="24"/>
          <w:szCs w:val="24"/>
          <w:lang w:eastAsia="en-GB"/>
        </w:rPr>
      </w:pPr>
    </w:p>
    <w:p w:rsidR="009D0BBE" w:rsidRPr="003032B3" w:rsidRDefault="009D0BBE" w:rsidP="009D0BBE">
      <w:pPr>
        <w:spacing w:after="0"/>
        <w:rPr>
          <w:rFonts w:eastAsia="Calibri" w:cstheme="minorHAnsi"/>
          <w:sz w:val="24"/>
          <w:szCs w:val="24"/>
        </w:rPr>
      </w:pPr>
      <w:r w:rsidRPr="003032B3">
        <w:rPr>
          <w:rFonts w:eastAsia="Calibri" w:cstheme="minorHAnsi"/>
          <w:sz w:val="24"/>
          <w:szCs w:val="24"/>
        </w:rPr>
        <w:t xml:space="preserve">As noted above, these constructed counterfactuals are only required for the assessment of the EANCB for BIT reporting purposes. The RPC does not mandate a particular counterfactual for the wider IA; the counterfactual should be appropriate to identify the impacts that would best inform the decision to be made. In the case of night flying restrictions, DfT did not provide a detailed assessment against the counterfactual that night flying restrictions expired without replacement, even though this was the “true” counterfactual. An assessment against such a counterfactual would have been complex and resource intensive. Moreover, it was inconceivable that there would be a scenario where there were no night flying restrictions. The decision to be informed was, therefore, a choice of possible future night flying restrictions compared to the current regime rather than </w:t>
      </w:r>
      <w:r w:rsidRPr="003032B3">
        <w:rPr>
          <w:rFonts w:eastAsia="Calibri" w:cstheme="minorHAnsi"/>
          <w:i/>
          <w:sz w:val="24"/>
          <w:szCs w:val="24"/>
        </w:rPr>
        <w:t>whether</w:t>
      </w:r>
      <w:r w:rsidRPr="003032B3">
        <w:rPr>
          <w:rFonts w:eastAsia="Calibri" w:cstheme="minorHAnsi"/>
          <w:sz w:val="24"/>
          <w:szCs w:val="24"/>
        </w:rPr>
        <w:t xml:space="preserve"> to have night flying restrictions. The counterfactual was, therefore, more of a ‘do minimum’ (i.e. run on the existing arrangements) than a do nothing. </w:t>
      </w:r>
    </w:p>
    <w:p w:rsidR="009D0BBE" w:rsidRPr="003032B3" w:rsidRDefault="009D0BBE" w:rsidP="009D0BBE">
      <w:pPr>
        <w:spacing w:after="0"/>
        <w:jc w:val="both"/>
        <w:rPr>
          <w:rFonts w:eastAsia="Calibri" w:cstheme="minorHAnsi"/>
          <w:sz w:val="24"/>
          <w:szCs w:val="24"/>
        </w:rPr>
      </w:pPr>
    </w:p>
    <w:p w:rsidR="009D0BBE" w:rsidRPr="00E86AC4" w:rsidRDefault="009D0BBE" w:rsidP="00CE5B54">
      <w:pPr>
        <w:pStyle w:val="ListParagraph"/>
        <w:numPr>
          <w:ilvl w:val="2"/>
          <w:numId w:val="13"/>
        </w:numPr>
        <w:spacing w:after="0"/>
        <w:jc w:val="both"/>
        <w:rPr>
          <w:rFonts w:eastAsia="Times New Roman" w:cstheme="minorHAnsi"/>
          <w:b/>
          <w:color w:val="000000" w:themeColor="text1"/>
          <w:sz w:val="24"/>
          <w:szCs w:val="24"/>
          <w:lang w:eastAsia="en-GB"/>
        </w:rPr>
      </w:pPr>
      <w:r w:rsidRPr="00E86AC4">
        <w:rPr>
          <w:rFonts w:eastAsia="Times New Roman" w:cstheme="minorHAnsi"/>
          <w:b/>
          <w:color w:val="000000" w:themeColor="text1"/>
          <w:sz w:val="24"/>
          <w:szCs w:val="24"/>
          <w:lang w:eastAsia="en-GB"/>
        </w:rPr>
        <w:t>Use of standard counterfactuals – clarification of guidance in specific cases</w:t>
      </w:r>
    </w:p>
    <w:p w:rsidR="009D0BBE" w:rsidRPr="003032B3" w:rsidRDefault="009D0BBE" w:rsidP="009D0BBE">
      <w:pPr>
        <w:spacing w:after="0"/>
        <w:jc w:val="both"/>
        <w:rPr>
          <w:rFonts w:eastAsia="Times New Roman" w:cstheme="minorHAnsi"/>
          <w:sz w:val="24"/>
          <w:szCs w:val="24"/>
          <w:lang w:eastAsia="en-GB"/>
        </w:rPr>
      </w:pPr>
    </w:p>
    <w:p w:rsidR="009D0BBE" w:rsidRPr="003032B3" w:rsidRDefault="009D0BBE" w:rsidP="009D0BBE">
      <w:pPr>
        <w:spacing w:after="0"/>
        <w:jc w:val="both"/>
        <w:rPr>
          <w:rFonts w:eastAsia="Times New Roman" w:cstheme="minorHAnsi"/>
          <w:sz w:val="24"/>
          <w:szCs w:val="24"/>
          <w:u w:val="single"/>
          <w:lang w:eastAsia="en-GB"/>
        </w:rPr>
      </w:pPr>
      <w:r w:rsidRPr="003032B3">
        <w:rPr>
          <w:rFonts w:eastAsia="Times New Roman" w:cstheme="minorHAnsi"/>
          <w:sz w:val="24"/>
          <w:szCs w:val="24"/>
          <w:u w:val="single"/>
          <w:lang w:eastAsia="en-GB"/>
        </w:rPr>
        <w:t xml:space="preserve">Using existing practice by business  </w:t>
      </w:r>
    </w:p>
    <w:p w:rsidR="009D0BBE" w:rsidRPr="003032B3" w:rsidRDefault="009D0BBE" w:rsidP="009D0BBE">
      <w:pPr>
        <w:spacing w:after="0"/>
        <w:jc w:val="both"/>
        <w:rPr>
          <w:rFonts w:eastAsia="Times New Roman" w:cstheme="minorHAnsi"/>
          <w:sz w:val="24"/>
          <w:szCs w:val="24"/>
          <w:lang w:eastAsia="en-GB"/>
        </w:rPr>
      </w:pPr>
    </w:p>
    <w:p w:rsidR="009D0BBE" w:rsidRPr="003032B3" w:rsidRDefault="00624A7F" w:rsidP="009D0BBE">
      <w:pPr>
        <w:tabs>
          <w:tab w:val="left" w:pos="1134"/>
        </w:tabs>
        <w:spacing w:after="240"/>
        <w:ind w:right="11"/>
        <w:rPr>
          <w:rFonts w:eastAsia="Times New Roman" w:cstheme="minorHAnsi"/>
          <w:sz w:val="24"/>
          <w:szCs w:val="24"/>
        </w:rPr>
      </w:pPr>
      <w:r>
        <w:rPr>
          <w:rFonts w:eastAsia="Times New Roman" w:cstheme="minorHAnsi"/>
          <w:sz w:val="24"/>
          <w:szCs w:val="24"/>
        </w:rPr>
        <w:t>The BRFM (2.3.45</w:t>
      </w:r>
      <w:r w:rsidR="009D0BBE" w:rsidRPr="003032B3">
        <w:rPr>
          <w:rFonts w:eastAsia="Times New Roman" w:cstheme="minorHAnsi"/>
          <w:sz w:val="24"/>
          <w:szCs w:val="24"/>
        </w:rPr>
        <w:t>) states:”</w:t>
      </w:r>
      <w:r w:rsidR="009D0BBE" w:rsidRPr="003032B3">
        <w:rPr>
          <w:rFonts w:eastAsia="Times New Roman" w:cstheme="minorHAnsi"/>
          <w:i/>
          <w:sz w:val="24"/>
          <w:szCs w:val="24"/>
          <w:lang w:val="x-none"/>
        </w:rPr>
        <w:t>When planning to introduce a regulatory measure, costs and benefits should assume 100% compliance, unless there is evidence of the contrary. However, differing levels of compliance should also be investigated through sensitivity analysis.</w:t>
      </w:r>
      <w:r w:rsidR="009D0BBE" w:rsidRPr="003032B3">
        <w:rPr>
          <w:rFonts w:eastAsia="Times New Roman" w:cstheme="minorHAnsi"/>
          <w:sz w:val="24"/>
          <w:szCs w:val="24"/>
        </w:rPr>
        <w:t>”</w:t>
      </w:r>
    </w:p>
    <w:p w:rsidR="009D0BBE" w:rsidRDefault="009D0BBE" w:rsidP="009D0BBE">
      <w:pPr>
        <w:tabs>
          <w:tab w:val="left" w:pos="1134"/>
        </w:tabs>
        <w:spacing w:after="240"/>
        <w:ind w:right="11"/>
        <w:rPr>
          <w:rFonts w:eastAsia="Times New Roman" w:cstheme="minorHAnsi"/>
          <w:sz w:val="24"/>
          <w:szCs w:val="24"/>
        </w:rPr>
      </w:pPr>
      <w:r w:rsidRPr="003032B3">
        <w:rPr>
          <w:rFonts w:eastAsia="Times New Roman" w:cstheme="minorHAnsi"/>
          <w:sz w:val="24"/>
          <w:szCs w:val="24"/>
        </w:rPr>
        <w:t>The counterfactual should be based upon what businesses currently do, rather than assuming they are all meeting existing regulatory requirements and going no further. In other words, where there is good evidence that compliance with existing requirements is less than 100%</w:t>
      </w:r>
      <w:r>
        <w:rPr>
          <w:rFonts w:eastAsia="Times New Roman" w:cstheme="minorHAnsi"/>
          <w:sz w:val="24"/>
          <w:szCs w:val="24"/>
        </w:rPr>
        <w:t>,</w:t>
      </w:r>
      <w:r w:rsidRPr="003032B3">
        <w:rPr>
          <w:rFonts w:eastAsia="Times New Roman" w:cstheme="minorHAnsi"/>
          <w:sz w:val="24"/>
          <w:szCs w:val="24"/>
        </w:rPr>
        <w:t xml:space="preserve"> or where businesses are already voluntarily going beyond existing requirements, this should be factored into the assessment of a proposal and the EANCB.</w:t>
      </w:r>
    </w:p>
    <w:p w:rsidR="007630CA" w:rsidRPr="003032B3" w:rsidRDefault="007630CA" w:rsidP="009D0BBE">
      <w:pPr>
        <w:tabs>
          <w:tab w:val="left" w:pos="1134"/>
        </w:tabs>
        <w:spacing w:after="240"/>
        <w:ind w:right="11"/>
        <w:rPr>
          <w:rFonts w:eastAsia="Times New Roman" w:cstheme="minorHAnsi"/>
          <w:sz w:val="24"/>
          <w:szCs w:val="24"/>
        </w:rPr>
      </w:pPr>
    </w:p>
    <w:p w:rsidR="009D0BBE" w:rsidRPr="003032B3" w:rsidRDefault="009D0BBE" w:rsidP="009D0BBE">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sz w:val="24"/>
          <w:szCs w:val="24"/>
          <w:lang w:eastAsia="en-GB"/>
        </w:rPr>
      </w:pPr>
      <w:r w:rsidRPr="003032B3">
        <w:rPr>
          <w:rFonts w:eastAsia="Times New Roman" w:cstheme="minorHAnsi"/>
          <w:b/>
          <w:sz w:val="24"/>
          <w:szCs w:val="24"/>
          <w:lang w:eastAsia="en-GB"/>
        </w:rPr>
        <w:lastRenderedPageBreak/>
        <w:t>Collective redundancy consultation: government response (RPC12-BIS-1353)</w:t>
      </w:r>
      <w:r>
        <w:rPr>
          <w:rFonts w:eastAsia="Times New Roman" w:cstheme="minorHAnsi"/>
          <w:b/>
          <w:sz w:val="24"/>
          <w:szCs w:val="24"/>
          <w:lang w:eastAsia="en-GB"/>
        </w:rPr>
        <w:t>:</w:t>
      </w:r>
      <w:r>
        <w:rPr>
          <w:rFonts w:eastAsia="Times New Roman" w:cstheme="minorHAnsi"/>
          <w:i/>
          <w:sz w:val="24"/>
          <w:szCs w:val="24"/>
          <w:lang w:eastAsia="en-GB"/>
        </w:rPr>
        <w:t xml:space="preserve"> </w:t>
      </w:r>
      <w:r w:rsidRPr="003032B3">
        <w:rPr>
          <w:rFonts w:eastAsia="Times New Roman" w:cstheme="minorHAnsi"/>
          <w:sz w:val="24"/>
          <w:szCs w:val="24"/>
          <w:lang w:eastAsia="en-GB"/>
        </w:rPr>
        <w:t xml:space="preserve">This IA provided an estimate </w:t>
      </w:r>
      <w:r>
        <w:rPr>
          <w:rFonts w:eastAsia="Times New Roman" w:cstheme="minorHAnsi"/>
          <w:sz w:val="24"/>
          <w:szCs w:val="24"/>
          <w:lang w:eastAsia="en-GB"/>
        </w:rPr>
        <w:t>of</w:t>
      </w:r>
      <w:r w:rsidRPr="003032B3">
        <w:rPr>
          <w:rFonts w:eastAsia="Times New Roman" w:cstheme="minorHAnsi"/>
          <w:sz w:val="24"/>
          <w:szCs w:val="24"/>
          <w:lang w:eastAsia="en-GB"/>
        </w:rPr>
        <w:t xml:space="preserve"> the savings to business from a reduced minimum period of consultation when making collective redundancies. The benefits to business were significantly over stated as the counterfactual had not been assessed accurately. The IA assumed that the current minimum period required was ‘biting’ in all cases, when in fact many businesses would have been doing them for that length of time, or longer, anyway. The IA was later resubmitted with significant changes to the analysis of the counterfactual, and a large reduction in the estimated benefits. The resubmitted IA received a Green rating.</w:t>
      </w:r>
    </w:p>
    <w:p w:rsidR="009D0BBE" w:rsidRPr="003032B3" w:rsidRDefault="009D0BBE" w:rsidP="009D0BBE">
      <w:pPr>
        <w:tabs>
          <w:tab w:val="left" w:pos="1134"/>
        </w:tabs>
        <w:spacing w:after="240"/>
        <w:ind w:right="11"/>
        <w:rPr>
          <w:rFonts w:eastAsia="Times New Roman" w:cstheme="minorHAnsi"/>
          <w:i/>
          <w:sz w:val="24"/>
          <w:szCs w:val="24"/>
          <w:lang w:eastAsia="en-GB"/>
        </w:rPr>
      </w:pPr>
    </w:p>
    <w:p w:rsidR="009D0BBE" w:rsidRPr="003032B3" w:rsidRDefault="009D0BBE" w:rsidP="009D0BBE">
      <w:pPr>
        <w:spacing w:after="0"/>
        <w:jc w:val="both"/>
        <w:rPr>
          <w:rFonts w:eastAsia="Times New Roman" w:cstheme="minorHAnsi"/>
          <w:sz w:val="24"/>
          <w:szCs w:val="24"/>
          <w:u w:val="single"/>
          <w:lang w:eastAsia="en-GB"/>
        </w:rPr>
      </w:pPr>
      <w:bookmarkStart w:id="1" w:name="counterfacttribunal"/>
      <w:r w:rsidRPr="003032B3">
        <w:rPr>
          <w:rFonts w:eastAsia="Times New Roman" w:cstheme="minorHAnsi"/>
          <w:color w:val="000000" w:themeColor="text1"/>
          <w:sz w:val="24"/>
          <w:szCs w:val="24"/>
          <w:u w:val="single"/>
          <w:lang w:eastAsia="en-GB"/>
        </w:rPr>
        <w:t>Court and tribunal judgements</w:t>
      </w:r>
    </w:p>
    <w:p w:rsidR="009D0BBE" w:rsidRPr="003032B3" w:rsidRDefault="009D0BBE" w:rsidP="009D0BBE">
      <w:pPr>
        <w:spacing w:after="0"/>
        <w:jc w:val="both"/>
        <w:rPr>
          <w:rFonts w:eastAsia="Times New Roman" w:cstheme="minorHAnsi"/>
          <w:b/>
          <w:sz w:val="24"/>
          <w:szCs w:val="24"/>
          <w:u w:val="single"/>
          <w:lang w:eastAsia="en-GB"/>
        </w:rPr>
      </w:pPr>
    </w:p>
    <w:bookmarkEnd w:id="1"/>
    <w:p w:rsidR="009D0BBE" w:rsidRPr="003032B3" w:rsidRDefault="009D0BBE" w:rsidP="009D0BBE">
      <w:pPr>
        <w:spacing w:after="0"/>
        <w:rPr>
          <w:rFonts w:eastAsia="Times New Roman" w:cstheme="minorHAnsi"/>
          <w:sz w:val="24"/>
          <w:szCs w:val="24"/>
          <w:lang w:eastAsia="en-GB"/>
        </w:rPr>
      </w:pPr>
      <w:r>
        <w:rPr>
          <w:rFonts w:eastAsia="Times New Roman" w:cstheme="minorHAnsi"/>
          <w:sz w:val="24"/>
          <w:szCs w:val="24"/>
          <w:lang w:eastAsia="en-GB"/>
        </w:rPr>
        <w:t>W</w:t>
      </w:r>
      <w:r w:rsidRPr="003032B3">
        <w:rPr>
          <w:rFonts w:eastAsia="Times New Roman" w:cstheme="minorHAnsi"/>
          <w:sz w:val="24"/>
          <w:szCs w:val="24"/>
          <w:lang w:eastAsia="en-GB"/>
        </w:rPr>
        <w:t xml:space="preserve">hile court or tribunal judgements are outside the scope of the BIT, their impacts should be included in the counterfactual. </w:t>
      </w:r>
    </w:p>
    <w:p w:rsidR="009D0BBE" w:rsidRPr="003032B3" w:rsidRDefault="009D0BBE" w:rsidP="009D0BBE">
      <w:pPr>
        <w:spacing w:after="0"/>
        <w:rPr>
          <w:rFonts w:eastAsia="Times New Roman" w:cstheme="minorHAnsi"/>
          <w:sz w:val="24"/>
          <w:szCs w:val="24"/>
          <w:lang w:eastAsia="en-GB"/>
        </w:rPr>
      </w:pPr>
    </w:p>
    <w:p w:rsidR="009D0BBE" w:rsidRPr="003032B3" w:rsidRDefault="009D0BBE" w:rsidP="009D0BBE">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sz w:val="24"/>
          <w:szCs w:val="24"/>
          <w:lang w:eastAsia="en-GB"/>
        </w:rPr>
      </w:pPr>
      <w:r w:rsidRPr="003032B3">
        <w:rPr>
          <w:rFonts w:eastAsia="Times New Roman" w:cstheme="minorHAnsi"/>
          <w:b/>
          <w:sz w:val="24"/>
          <w:szCs w:val="24"/>
          <w:lang w:eastAsia="en-GB"/>
        </w:rPr>
        <w:t>Working Time Directive (Holiday Pay) (RPC14-BIS-2275)</w:t>
      </w:r>
      <w:r>
        <w:rPr>
          <w:rFonts w:eastAsia="Times New Roman" w:cstheme="minorHAnsi"/>
          <w:b/>
          <w:sz w:val="24"/>
          <w:szCs w:val="24"/>
          <w:lang w:eastAsia="en-GB"/>
        </w:rPr>
        <w:t>:</w:t>
      </w:r>
      <w:r w:rsidRPr="003032B3">
        <w:rPr>
          <w:rFonts w:eastAsia="Times New Roman" w:cstheme="minorHAnsi"/>
          <w:b/>
          <w:sz w:val="24"/>
          <w:szCs w:val="24"/>
          <w:lang w:eastAsia="en-GB"/>
        </w:rPr>
        <w:t xml:space="preserve"> </w:t>
      </w:r>
      <w:r w:rsidRPr="003032B3">
        <w:rPr>
          <w:rFonts w:eastAsia="Times New Roman" w:cstheme="minorHAnsi"/>
          <w:iCs/>
          <w:color w:val="000000"/>
          <w:sz w:val="24"/>
          <w:szCs w:val="24"/>
          <w:lang w:eastAsia="en-GB"/>
        </w:rPr>
        <w:t xml:space="preserve">The Employment Appeals Tribunal (EAT) ruled that employers must include certain types of overtime in the holiday pay of their employees. The ruling also potentially opened up claims going as far back as 1998. In response, the Department proposed to limit the backdating of claims to two years. The appropriate counterfactual would include the EAT ruling and its associated costs. The Department’s proposal reduced the scope of existing regulation (the Employment Rights Act) on business, as now interpreted by the EAT. </w:t>
      </w:r>
    </w:p>
    <w:p w:rsidR="009D0BBE" w:rsidRPr="003032B3" w:rsidRDefault="009D0BBE" w:rsidP="009D0BBE">
      <w:pPr>
        <w:spacing w:after="0"/>
        <w:rPr>
          <w:rFonts w:eastAsia="Times New Roman" w:cstheme="minorHAnsi"/>
          <w:sz w:val="24"/>
          <w:szCs w:val="24"/>
          <w:lang w:eastAsia="en-GB"/>
        </w:rPr>
      </w:pPr>
    </w:p>
    <w:p w:rsidR="009D0BBE" w:rsidRDefault="009D0BBE" w:rsidP="009D0BBE">
      <w:pPr>
        <w:rPr>
          <w:b/>
          <w:color w:val="E36C0A" w:themeColor="accent6" w:themeShade="BF"/>
          <w:sz w:val="32"/>
          <w:szCs w:val="32"/>
        </w:rPr>
      </w:pPr>
      <w:r>
        <w:rPr>
          <w:b/>
          <w:color w:val="E36C0A" w:themeColor="accent6" w:themeShade="BF"/>
          <w:sz w:val="32"/>
          <w:szCs w:val="32"/>
        </w:rPr>
        <w:br w:type="page"/>
      </w:r>
    </w:p>
    <w:p w:rsidR="009D0BBE" w:rsidRPr="0077290C" w:rsidRDefault="00287E31" w:rsidP="009D0BBE">
      <w:pPr>
        <w:rPr>
          <w:rFonts w:eastAsiaTheme="majorEastAsia" w:cstheme="minorHAnsi"/>
          <w:b/>
          <w:bCs/>
          <w:color w:val="984806" w:themeColor="accent6" w:themeShade="80"/>
          <w:sz w:val="28"/>
          <w:szCs w:val="28"/>
        </w:rPr>
      </w:pPr>
      <w:r>
        <w:rPr>
          <w:rFonts w:eastAsiaTheme="majorEastAsia" w:cstheme="minorHAnsi"/>
          <w:b/>
          <w:bCs/>
          <w:color w:val="984806" w:themeColor="accent6" w:themeShade="80"/>
          <w:sz w:val="28"/>
          <w:szCs w:val="28"/>
        </w:rPr>
        <w:lastRenderedPageBreak/>
        <w:t>3.2</w:t>
      </w:r>
      <w:r w:rsidR="009D0BBE">
        <w:rPr>
          <w:rFonts w:eastAsiaTheme="majorEastAsia" w:cstheme="minorHAnsi"/>
          <w:b/>
          <w:bCs/>
          <w:color w:val="984806" w:themeColor="accent6" w:themeShade="80"/>
          <w:sz w:val="28"/>
          <w:szCs w:val="28"/>
        </w:rPr>
        <w:t xml:space="preserve"> </w:t>
      </w:r>
      <w:r w:rsidR="009D0BBE" w:rsidRPr="0077290C">
        <w:rPr>
          <w:rFonts w:eastAsiaTheme="majorEastAsia" w:cstheme="minorHAnsi"/>
          <w:b/>
          <w:bCs/>
          <w:color w:val="984806" w:themeColor="accent6" w:themeShade="80"/>
          <w:sz w:val="28"/>
          <w:szCs w:val="28"/>
        </w:rPr>
        <w:t>Use of assumptions and evidence</w:t>
      </w:r>
    </w:p>
    <w:p w:rsidR="009D0BBE" w:rsidRPr="00BB0884" w:rsidRDefault="009D0BBE" w:rsidP="009D0BBE">
      <w:pPr>
        <w:spacing w:after="0"/>
        <w:rPr>
          <w:rFonts w:cstheme="minorHAnsi"/>
          <w:sz w:val="24"/>
          <w:szCs w:val="24"/>
        </w:rPr>
      </w:pPr>
      <w:r w:rsidRPr="00BB0884">
        <w:rPr>
          <w:rFonts w:cstheme="minorHAnsi"/>
          <w:sz w:val="24"/>
          <w:szCs w:val="24"/>
        </w:rPr>
        <w:t>Departments should seek to provide a robust argument for their use of assumptions</w:t>
      </w:r>
      <w:r>
        <w:rPr>
          <w:rFonts w:cstheme="minorHAnsi"/>
          <w:sz w:val="24"/>
          <w:szCs w:val="24"/>
        </w:rPr>
        <w:t>.</w:t>
      </w:r>
      <w:r w:rsidRPr="00BB0884">
        <w:rPr>
          <w:rFonts w:cstheme="minorHAnsi"/>
          <w:sz w:val="24"/>
          <w:szCs w:val="24"/>
        </w:rPr>
        <w:t xml:space="preserve"> </w:t>
      </w:r>
      <w:r>
        <w:rPr>
          <w:rFonts w:cstheme="minorHAnsi"/>
          <w:sz w:val="24"/>
          <w:szCs w:val="24"/>
        </w:rPr>
        <w:t>S</w:t>
      </w:r>
      <w:r w:rsidRPr="00BB0884">
        <w:rPr>
          <w:rFonts w:cstheme="minorHAnsi"/>
          <w:sz w:val="24"/>
          <w:szCs w:val="24"/>
        </w:rPr>
        <w:t xml:space="preserve">ome guidance on how these arguments may look is provided below. </w:t>
      </w:r>
    </w:p>
    <w:p w:rsidR="009D0BBE" w:rsidRPr="00BB0884" w:rsidRDefault="009D0BBE" w:rsidP="009D0BBE">
      <w:pPr>
        <w:spacing w:after="0"/>
        <w:rPr>
          <w:rFonts w:cstheme="minorHAnsi"/>
          <w:sz w:val="24"/>
          <w:szCs w:val="24"/>
        </w:rPr>
      </w:pPr>
    </w:p>
    <w:p w:rsidR="009D0BBE" w:rsidRDefault="009D0BBE" w:rsidP="009D0BBE">
      <w:pPr>
        <w:spacing w:after="0"/>
        <w:rPr>
          <w:rFonts w:cstheme="minorHAnsi"/>
          <w:sz w:val="24"/>
          <w:szCs w:val="24"/>
        </w:rPr>
      </w:pPr>
      <w:r w:rsidRPr="00BB0884">
        <w:rPr>
          <w:rFonts w:cstheme="minorHAnsi"/>
          <w:sz w:val="24"/>
          <w:szCs w:val="24"/>
        </w:rPr>
        <w:t xml:space="preserve">Where possible, assumptions made in an IA should be supported by evidence. The extent of this evidence will depend on the size and nature of </w:t>
      </w:r>
      <w:r>
        <w:rPr>
          <w:rFonts w:cstheme="minorHAnsi"/>
          <w:sz w:val="24"/>
          <w:szCs w:val="24"/>
        </w:rPr>
        <w:t xml:space="preserve">the </w:t>
      </w:r>
      <w:r w:rsidRPr="00BB0884">
        <w:rPr>
          <w:rFonts w:cstheme="minorHAnsi"/>
          <w:sz w:val="24"/>
          <w:szCs w:val="24"/>
        </w:rPr>
        <w:t>policy proposal and the importance of the assumption. Where departments wish to argue that obtaining robust evidence to support an assumption would not be proportionate they must set out what efforts have been made, or would have to be made, and why the return to that effort is likely to be low. The return</w:t>
      </w:r>
      <w:r>
        <w:rPr>
          <w:rFonts w:cstheme="minorHAnsi"/>
          <w:sz w:val="24"/>
          <w:szCs w:val="24"/>
        </w:rPr>
        <w:t xml:space="preserve">, for example, </w:t>
      </w:r>
      <w:r w:rsidRPr="00BB0884">
        <w:rPr>
          <w:rFonts w:cstheme="minorHAnsi"/>
          <w:sz w:val="24"/>
          <w:szCs w:val="24"/>
        </w:rPr>
        <w:t xml:space="preserve">could represent the possible increase in the accuracy of estimates </w:t>
      </w:r>
      <w:r>
        <w:rPr>
          <w:rFonts w:cstheme="minorHAnsi"/>
          <w:sz w:val="24"/>
          <w:szCs w:val="24"/>
        </w:rPr>
        <w:t>and initial assumptions.</w:t>
      </w:r>
    </w:p>
    <w:p w:rsidR="009D0BBE" w:rsidRPr="00BB0884" w:rsidRDefault="009D0BBE" w:rsidP="009D0BBE">
      <w:pPr>
        <w:spacing w:after="0"/>
        <w:rPr>
          <w:rFonts w:cstheme="minorHAnsi"/>
          <w:sz w:val="24"/>
          <w:szCs w:val="24"/>
        </w:rPr>
      </w:pPr>
      <w:r>
        <w:rPr>
          <w:rFonts w:cstheme="minorHAnsi"/>
          <w:sz w:val="24"/>
          <w:szCs w:val="24"/>
        </w:rPr>
        <w:t xml:space="preserve"> </w:t>
      </w:r>
    </w:p>
    <w:p w:rsidR="009D0BBE" w:rsidRPr="00BB0884" w:rsidRDefault="009D0BBE" w:rsidP="009D0BBE">
      <w:pPr>
        <w:spacing w:after="0"/>
        <w:rPr>
          <w:rFonts w:cstheme="minorHAnsi"/>
          <w:sz w:val="24"/>
          <w:szCs w:val="24"/>
        </w:rPr>
      </w:pPr>
      <w:r w:rsidRPr="00BB0884">
        <w:rPr>
          <w:rFonts w:cstheme="minorHAnsi"/>
          <w:sz w:val="24"/>
          <w:szCs w:val="24"/>
        </w:rPr>
        <w:t>Highlighting the particular uncertainties or lack of data that made the use of an assu</w:t>
      </w:r>
      <w:r>
        <w:rPr>
          <w:rFonts w:cstheme="minorHAnsi"/>
          <w:sz w:val="24"/>
          <w:szCs w:val="24"/>
        </w:rPr>
        <w:t>mption necessary will help the RPC</w:t>
      </w:r>
      <w:r w:rsidRPr="00BB0884">
        <w:rPr>
          <w:rFonts w:cstheme="minorHAnsi"/>
          <w:sz w:val="24"/>
          <w:szCs w:val="24"/>
        </w:rPr>
        <w:t xml:space="preserve"> understand whether or not the assumption is </w:t>
      </w:r>
      <w:r>
        <w:rPr>
          <w:rFonts w:cstheme="minorHAnsi"/>
          <w:sz w:val="24"/>
          <w:szCs w:val="24"/>
        </w:rPr>
        <w:t xml:space="preserve">reasonable and </w:t>
      </w:r>
      <w:r w:rsidRPr="00BB0884">
        <w:rPr>
          <w:rFonts w:cstheme="minorHAnsi"/>
          <w:sz w:val="24"/>
          <w:szCs w:val="24"/>
        </w:rPr>
        <w:t>proportionate. In addition</w:t>
      </w:r>
      <w:r>
        <w:rPr>
          <w:rFonts w:cstheme="minorHAnsi"/>
          <w:sz w:val="24"/>
          <w:szCs w:val="24"/>
        </w:rPr>
        <w:t>,</w:t>
      </w:r>
      <w:r w:rsidRPr="00BB0884">
        <w:rPr>
          <w:rFonts w:cstheme="minorHAnsi"/>
          <w:sz w:val="24"/>
          <w:szCs w:val="24"/>
        </w:rPr>
        <w:t xml:space="preserve"> simple sensitivity testing or, where the assumption is particularly important to the appraisal outcome, a break</w:t>
      </w:r>
      <w:r>
        <w:rPr>
          <w:rFonts w:cstheme="minorHAnsi"/>
          <w:sz w:val="24"/>
          <w:szCs w:val="24"/>
        </w:rPr>
        <w:t>-</w:t>
      </w:r>
      <w:r w:rsidRPr="00BB0884">
        <w:rPr>
          <w:rFonts w:cstheme="minorHAnsi"/>
          <w:sz w:val="24"/>
          <w:szCs w:val="24"/>
        </w:rPr>
        <w:t>even analysis can also be useful in demonstrating the likely return from seeking more robust evidence.</w:t>
      </w:r>
    </w:p>
    <w:p w:rsidR="009D0BBE" w:rsidRPr="00BB0884" w:rsidRDefault="009D0BBE" w:rsidP="009D0BBE">
      <w:pPr>
        <w:spacing w:after="0"/>
        <w:rPr>
          <w:rFonts w:cstheme="minorHAnsi"/>
          <w:sz w:val="24"/>
          <w:szCs w:val="24"/>
        </w:rPr>
      </w:pPr>
    </w:p>
    <w:p w:rsidR="009D0BBE" w:rsidRPr="00BB0884" w:rsidRDefault="009D0BBE" w:rsidP="009D0BBE">
      <w:pPr>
        <w:spacing w:after="0"/>
        <w:rPr>
          <w:rFonts w:cstheme="minorHAnsi"/>
          <w:sz w:val="24"/>
          <w:szCs w:val="24"/>
        </w:rPr>
      </w:pPr>
      <w:r w:rsidRPr="00D5534F">
        <w:rPr>
          <w:noProof/>
          <w:lang w:eastAsia="en-GB"/>
        </w:rPr>
        <mc:AlternateContent>
          <mc:Choice Requires="wps">
            <w:drawing>
              <wp:anchor distT="0" distB="0" distL="114300" distR="114300" simplePos="0" relativeHeight="251711488" behindDoc="0" locked="0" layoutInCell="1" allowOverlap="1" wp14:anchorId="7EB99253" wp14:editId="302F6933">
                <wp:simplePos x="0" y="0"/>
                <wp:positionH relativeFrom="column">
                  <wp:posOffset>5851525</wp:posOffset>
                </wp:positionH>
                <wp:positionV relativeFrom="paragraph">
                  <wp:posOffset>492125</wp:posOffset>
                </wp:positionV>
                <wp:extent cx="683895" cy="44831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683895" cy="448310"/>
                        </a:xfrm>
                        <a:prstGeom prst="rect">
                          <a:avLst/>
                        </a:prstGeom>
                        <a:noFill/>
                        <a:ln w="6350">
                          <a:noFill/>
                        </a:ln>
                        <a:effectLst/>
                      </wps:spPr>
                      <wps:txbx>
                        <w:txbxContent>
                          <w:p w:rsidR="00C90A59" w:rsidRPr="00F3504F" w:rsidRDefault="00C90A59" w:rsidP="009D0BBE">
                            <w:pPr>
                              <w:pBdr>
                                <w:top w:val="single" w:sz="4" w:space="1" w:color="FABF8F" w:themeColor="accent6" w:themeTint="99"/>
                                <w:bottom w:val="single" w:sz="4" w:space="1" w:color="FABF8F" w:themeColor="accent6" w:themeTint="99"/>
                              </w:pBdr>
                              <w:spacing w:after="0"/>
                              <w:jc w:val="center"/>
                              <w:rPr>
                                <w:rFonts w:cstheme="minorHAnsi"/>
                                <w:i/>
                                <w:color w:val="E36C0A" w:themeColor="accent6" w:themeShade="BF"/>
                                <w:sz w:val="16"/>
                                <w:szCs w:val="16"/>
                              </w:rPr>
                            </w:pPr>
                            <w:r w:rsidRPr="00F3504F">
                              <w:rPr>
                                <w:rFonts w:cstheme="minorHAnsi"/>
                                <w:b/>
                                <w:i/>
                                <w:color w:val="E36C0A" w:themeColor="accent6" w:themeShade="BF"/>
                                <w:sz w:val="16"/>
                                <w:szCs w:val="16"/>
                              </w:rPr>
                              <w:t>Potential red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margin-left:460.75pt;margin-top:38.75pt;width:53.85pt;height:35.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Bb8NgIAAGcEAAAOAAAAZHJzL2Uyb0RvYy54bWysVE1v2zAMvQ/YfxB0X5zPLg3iFFmLDAOK&#10;tkBS9KzIcmzAFjVJiZ39+j3JSRp0Ow27yBRJ8eM90vO7tq7YQVlXkk75oNfnTGlJWal3KX/drL5M&#10;OXNe6ExUpFXKj8rxu8XnT/PGzNSQCqoyZRmCaDdrTMoL780sSZwsVC1cj4zSMOZka+Fxtbsks6JB&#10;9LpKhv3+TdKQzYwlqZyD9qEz8kWMn+dK+uc8d8qzKuWozcfTxnMbzmQxF7OdFaYo5akM8Q9V1KLU&#10;SHoJ9SC8YHtb/hGqLqUlR7nvSaoTyvNSqtgDuhn0P3SzLoRRsReA48wFJvf/wsqnw4tlZQbuhpxp&#10;UYOjjWo9+0Ytgwr4NMbN4LY2cPQt9PA96x2Uoe02t3X4oiEGO5A+XtAN0SSUN9PR9HbCmYRpPJ6O&#10;BhH95P2xsc5/V1SzIKTcgryIqTg8Oo9C4Hp2Cbk0rcqqigRWmjVIMJr044OLBS8qHXxVHIVTmNBQ&#10;V3iQfLttIwDTc1Nbyo7o1VI3Lc7IVYmKHoXzL8JiPNAeRt4/48grQmY6SZwVZH/9TR/8wRqsnDUY&#10;t5S7n3thFWfVDw0+bwfjcZjPeBlPvg5xsdeW7bVF7+t7wkQPsFxGRjH4++os5pbqN2zGMmSFSWiJ&#10;3Cn3Z/Hed0uAzZJquYxOmEgj/KNeGxlCB9wC3pv2TVhzIsWDzSc6D6aYfeCm8+3YWe495WUkLuDc&#10;oQoWwwXTHPk8bV5Yl+t79Hr/Pyx+AwAA//8DAFBLAwQUAAYACAAAACEAduxKMuIAAAALAQAADwAA&#10;AGRycy9kb3ducmV2LnhtbEyPwU7DMAyG70i8Q2QkbixtxFhXmk5TpQkJwWFjF25uk7UViVOabCs8&#10;PdlpnGzLn35/LlaTNeykR987kpDOEmCaGqd6aiXsPzYPGTAfkBQaR1rCj/awKm9vCsyVO9NWn3ah&#10;ZTGEfI4SuhCGnHPfdNqin7lBU9wd3GgxxHFsuRrxHMOt4SJJnrjFnuKFDgdddbr52h2thNdq847b&#10;Wtjs11Qvb4f18L3/nEt5fzetn4EFPYUrDBf9qA5ldKrdkZRnRsJSpPOISlgsYr0AiVgKYHXsHrMU&#10;eFnw/z+UfwAAAP//AwBQSwECLQAUAAYACAAAACEAtoM4kv4AAADhAQAAEwAAAAAAAAAAAAAAAAAA&#10;AAAAW0NvbnRlbnRfVHlwZXNdLnhtbFBLAQItABQABgAIAAAAIQA4/SH/1gAAAJQBAAALAAAAAAAA&#10;AAAAAAAAAC8BAABfcmVscy8ucmVsc1BLAQItABQABgAIAAAAIQABgBb8NgIAAGcEAAAOAAAAAAAA&#10;AAAAAAAAAC4CAABkcnMvZTJvRG9jLnhtbFBLAQItABQABgAIAAAAIQB27Eoy4gAAAAsBAAAPAAAA&#10;AAAAAAAAAAAAAJAEAABkcnMvZG93bnJldi54bWxQSwUGAAAAAAQABADzAAAAnwUAAAAA&#10;" filled="f" stroked="f" strokeweight=".5pt">
                <v:textbox>
                  <w:txbxContent>
                    <w:p w:rsidR="00C90A59" w:rsidRPr="00F3504F" w:rsidRDefault="00C90A59" w:rsidP="009D0BBE">
                      <w:pPr>
                        <w:pBdr>
                          <w:top w:val="single" w:sz="4" w:space="1" w:color="FABF8F" w:themeColor="accent6" w:themeTint="99"/>
                          <w:bottom w:val="single" w:sz="4" w:space="1" w:color="FABF8F" w:themeColor="accent6" w:themeTint="99"/>
                        </w:pBdr>
                        <w:spacing w:after="0"/>
                        <w:jc w:val="center"/>
                        <w:rPr>
                          <w:rFonts w:cstheme="minorHAnsi"/>
                          <w:i/>
                          <w:color w:val="E36C0A" w:themeColor="accent6" w:themeShade="BF"/>
                          <w:sz w:val="16"/>
                          <w:szCs w:val="16"/>
                        </w:rPr>
                      </w:pPr>
                      <w:r w:rsidRPr="00F3504F">
                        <w:rPr>
                          <w:rFonts w:cstheme="minorHAnsi"/>
                          <w:b/>
                          <w:i/>
                          <w:color w:val="E36C0A" w:themeColor="accent6" w:themeShade="BF"/>
                          <w:sz w:val="16"/>
                          <w:szCs w:val="16"/>
                        </w:rPr>
                        <w:t>Potential red point</w:t>
                      </w:r>
                    </w:p>
                  </w:txbxContent>
                </v:textbox>
                <w10:wrap type="square"/>
              </v:shape>
            </w:pict>
          </mc:Fallback>
        </mc:AlternateContent>
      </w:r>
      <w:r w:rsidRPr="00BB0884">
        <w:rPr>
          <w:rFonts w:cstheme="minorHAnsi"/>
          <w:sz w:val="24"/>
          <w:szCs w:val="24"/>
        </w:rPr>
        <w:t xml:space="preserve">At consultation stage, it is accepted that only limited information will </w:t>
      </w:r>
      <w:r>
        <w:rPr>
          <w:rFonts w:cstheme="minorHAnsi"/>
          <w:sz w:val="24"/>
          <w:szCs w:val="24"/>
        </w:rPr>
        <w:t xml:space="preserve">normally </w:t>
      </w:r>
      <w:r w:rsidRPr="00BB0884">
        <w:rPr>
          <w:rFonts w:cstheme="minorHAnsi"/>
          <w:sz w:val="24"/>
          <w:szCs w:val="24"/>
        </w:rPr>
        <w:t>be available and the IA should focus on the key variables and how evidence will be collected. Lack of evidence will not normally result in a Red opinion at consultation stage. At final stage</w:t>
      </w:r>
      <w:r>
        <w:rPr>
          <w:rFonts w:cstheme="minorHAnsi"/>
          <w:sz w:val="24"/>
          <w:szCs w:val="24"/>
        </w:rPr>
        <w:t>,</w:t>
      </w:r>
      <w:r w:rsidRPr="00BB0884">
        <w:rPr>
          <w:rFonts w:cstheme="minorHAnsi"/>
          <w:sz w:val="24"/>
          <w:szCs w:val="24"/>
        </w:rPr>
        <w:t xml:space="preserve"> lack of evidence without sufficient justification is likely to result in a Red opinion if it relates to direct costs to business.</w:t>
      </w:r>
    </w:p>
    <w:p w:rsidR="009D0BBE" w:rsidRDefault="009D0BBE" w:rsidP="009D0BBE">
      <w:pPr>
        <w:spacing w:after="0"/>
        <w:rPr>
          <w:rFonts w:cstheme="minorHAnsi"/>
          <w:sz w:val="24"/>
          <w:szCs w:val="24"/>
        </w:rPr>
      </w:pPr>
    </w:p>
    <w:p w:rsidR="009D0BBE" w:rsidRPr="005F464C" w:rsidRDefault="009D0BBE" w:rsidP="009D0BBE">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cstheme="minorHAnsi"/>
          <w:b/>
          <w:sz w:val="24"/>
          <w:szCs w:val="24"/>
        </w:rPr>
      </w:pPr>
      <w:r w:rsidRPr="00B004F0">
        <w:rPr>
          <w:rFonts w:cstheme="minorHAnsi"/>
          <w:b/>
          <w:sz w:val="24"/>
          <w:szCs w:val="24"/>
        </w:rPr>
        <w:t>Community right to buy into renewable electricity developments (Consultation stage, Green)</w:t>
      </w:r>
      <w:r w:rsidRPr="00C9148E">
        <w:rPr>
          <w:rFonts w:cstheme="minorHAnsi"/>
          <w:b/>
          <w:sz w:val="24"/>
          <w:szCs w:val="24"/>
        </w:rPr>
        <w:t xml:space="preserve"> </w:t>
      </w:r>
      <w:r>
        <w:rPr>
          <w:rFonts w:cstheme="minorHAnsi"/>
          <w:b/>
          <w:sz w:val="24"/>
          <w:szCs w:val="24"/>
        </w:rPr>
        <w:t>(</w:t>
      </w:r>
      <w:r w:rsidRPr="00B004F0">
        <w:rPr>
          <w:rFonts w:cstheme="minorHAnsi"/>
          <w:b/>
          <w:sz w:val="24"/>
          <w:szCs w:val="24"/>
        </w:rPr>
        <w:t>RPC14-DECC-2027</w:t>
      </w:r>
      <w:r>
        <w:rPr>
          <w:rFonts w:cstheme="minorHAnsi"/>
          <w:b/>
          <w:sz w:val="24"/>
          <w:szCs w:val="24"/>
        </w:rPr>
        <w:t xml:space="preserve">): </w:t>
      </w:r>
      <w:r w:rsidRPr="00BB0884">
        <w:rPr>
          <w:rFonts w:cstheme="minorHAnsi"/>
          <w:sz w:val="24"/>
          <w:szCs w:val="24"/>
        </w:rPr>
        <w:t xml:space="preserve">This policy aimed to help encourage more support for renewable electricity developments by giving local community groups a right to buy into projects. The intention was that this would be done with industry on a voluntary basis with primary powers being taken as a backstop if agreement was not reached. The IA was very well evidenced, with a combination of academic papers, survey data and information provided by stakeholders. As this was a consultation stage IA, the focus was less on detailed evidence underpinning costs and benefits, and more around supporting the rationale for the proposed intervention and demonstrating how it would deliver the expected benefits. The IA received a Green opinion including positive comments on the evidence base. </w:t>
      </w:r>
    </w:p>
    <w:p w:rsidR="009D0BBE" w:rsidRDefault="009D0BBE" w:rsidP="009D0BBE"/>
    <w:p w:rsidR="009D0BBE" w:rsidRPr="006B0EFE" w:rsidRDefault="009D0BBE" w:rsidP="009D0BBE">
      <w:pPr>
        <w:spacing w:after="0"/>
        <w:rPr>
          <w:rFonts w:cstheme="minorHAnsi"/>
          <w:sz w:val="24"/>
          <w:szCs w:val="24"/>
          <w:u w:val="single"/>
        </w:rPr>
      </w:pPr>
      <w:r w:rsidRPr="006B0EFE">
        <w:rPr>
          <w:rFonts w:cstheme="minorHAnsi"/>
          <w:sz w:val="24"/>
          <w:szCs w:val="24"/>
          <w:u w:val="single"/>
        </w:rPr>
        <w:t>Familiarisation costs</w:t>
      </w:r>
    </w:p>
    <w:p w:rsidR="009D0BBE" w:rsidRDefault="009D0BBE" w:rsidP="009D0BBE">
      <w:pPr>
        <w:spacing w:after="0"/>
        <w:rPr>
          <w:rFonts w:cstheme="minorHAnsi"/>
          <w:i/>
          <w:sz w:val="24"/>
          <w:szCs w:val="24"/>
          <w:u w:val="single"/>
        </w:rPr>
      </w:pPr>
    </w:p>
    <w:p w:rsidR="009D0BBE" w:rsidRDefault="009D0BBE" w:rsidP="009D0BBE">
      <w:pPr>
        <w:spacing w:after="0"/>
        <w:rPr>
          <w:rFonts w:cstheme="minorHAnsi"/>
          <w:sz w:val="24"/>
          <w:szCs w:val="24"/>
        </w:rPr>
      </w:pPr>
      <w:r w:rsidRPr="00BB0884">
        <w:rPr>
          <w:rFonts w:cstheme="minorHAnsi"/>
          <w:sz w:val="24"/>
          <w:szCs w:val="24"/>
        </w:rPr>
        <w:t xml:space="preserve">Assumptions are </w:t>
      </w:r>
      <w:r>
        <w:rPr>
          <w:rFonts w:cstheme="minorHAnsi"/>
          <w:sz w:val="24"/>
          <w:szCs w:val="24"/>
        </w:rPr>
        <w:t xml:space="preserve">often </w:t>
      </w:r>
      <w:r w:rsidRPr="00BB0884">
        <w:rPr>
          <w:rFonts w:cstheme="minorHAnsi"/>
          <w:sz w:val="24"/>
          <w:szCs w:val="24"/>
        </w:rPr>
        <w:t xml:space="preserve">made about the length of time it takes for businesses to familiarise themselves with changes to, or introductions of, regulations. In some circumstances </w:t>
      </w:r>
      <w:r w:rsidRPr="00BB0884">
        <w:rPr>
          <w:rFonts w:cstheme="minorHAnsi"/>
          <w:sz w:val="24"/>
          <w:szCs w:val="24"/>
        </w:rPr>
        <w:lastRenderedPageBreak/>
        <w:t>familiarisation costs can be significant, both in terms of the p</w:t>
      </w:r>
      <w:r>
        <w:rPr>
          <w:rFonts w:cstheme="minorHAnsi"/>
          <w:sz w:val="24"/>
          <w:szCs w:val="24"/>
        </w:rPr>
        <w:t>roportion</w:t>
      </w:r>
      <w:r w:rsidRPr="00BB0884">
        <w:rPr>
          <w:rFonts w:cstheme="minorHAnsi"/>
          <w:sz w:val="24"/>
          <w:szCs w:val="24"/>
        </w:rPr>
        <w:t xml:space="preserve"> of the total costs they account for and in absolute terms. In other cases</w:t>
      </w:r>
      <w:r>
        <w:rPr>
          <w:rFonts w:cstheme="minorHAnsi"/>
          <w:sz w:val="24"/>
          <w:szCs w:val="24"/>
        </w:rPr>
        <w:t>,</w:t>
      </w:r>
      <w:r w:rsidRPr="00BB0884">
        <w:rPr>
          <w:rFonts w:cstheme="minorHAnsi"/>
          <w:sz w:val="24"/>
          <w:szCs w:val="24"/>
        </w:rPr>
        <w:t xml:space="preserve"> familiarisation costs will be trivial. The level of scrutiny the RPC will apply to any “time taken” assumption will clearly be different in these two scenarios. In the former scenario the RPC would expect to see the explicit thinking, or even consultation responses, that lead to the “time taken” assumption. In the latter scenario if the figure sounds reasonable, and perhaps errs on the side of caution, it would be unlikely to become the central focus of RPC scrutiny. </w:t>
      </w:r>
    </w:p>
    <w:p w:rsidR="009D0BBE" w:rsidRDefault="009D0BBE" w:rsidP="009D0BBE">
      <w:pPr>
        <w:spacing w:after="0"/>
        <w:rPr>
          <w:rFonts w:cstheme="minorHAnsi"/>
          <w:sz w:val="24"/>
          <w:szCs w:val="24"/>
        </w:rPr>
      </w:pPr>
    </w:p>
    <w:p w:rsidR="00B04E4D" w:rsidRPr="00B04E4D" w:rsidRDefault="00B04E4D" w:rsidP="000C6115">
      <w:pPr>
        <w:rPr>
          <w:rFonts w:cstheme="minorHAnsi"/>
          <w:b/>
          <w:color w:val="984806" w:themeColor="accent6" w:themeShade="80"/>
          <w:sz w:val="8"/>
          <w:szCs w:val="8"/>
        </w:rPr>
      </w:pPr>
    </w:p>
    <w:p w:rsidR="00627EB7" w:rsidRPr="00FC5D60" w:rsidRDefault="00330EF0" w:rsidP="00627EB7">
      <w:pPr>
        <w:rPr>
          <w:sz w:val="32"/>
          <w:szCs w:val="32"/>
        </w:rPr>
      </w:pPr>
      <w:r>
        <w:rPr>
          <w:b/>
          <w:color w:val="E36C0A" w:themeColor="accent6" w:themeShade="BF"/>
          <w:sz w:val="32"/>
          <w:szCs w:val="32"/>
        </w:rPr>
        <w:t xml:space="preserve">Section </w:t>
      </w:r>
      <w:r w:rsidR="00FC5D60" w:rsidRPr="00FC5D60">
        <w:rPr>
          <w:b/>
          <w:color w:val="E36C0A" w:themeColor="accent6" w:themeShade="BF"/>
          <w:sz w:val="32"/>
          <w:szCs w:val="32"/>
        </w:rPr>
        <w:t>4</w:t>
      </w:r>
      <w:r>
        <w:rPr>
          <w:b/>
          <w:color w:val="E36C0A" w:themeColor="accent6" w:themeShade="BF"/>
          <w:sz w:val="32"/>
          <w:szCs w:val="32"/>
        </w:rPr>
        <w:t>:</w:t>
      </w:r>
      <w:r w:rsidR="00627EB7" w:rsidRPr="00FC5D60">
        <w:rPr>
          <w:b/>
          <w:color w:val="E36C0A" w:themeColor="accent6" w:themeShade="BF"/>
          <w:sz w:val="32"/>
          <w:szCs w:val="32"/>
        </w:rPr>
        <w:t xml:space="preserve"> Business Impact Target (BIT)</w:t>
      </w:r>
      <w:r w:rsidR="00FC5D60" w:rsidRPr="00FC5D60">
        <w:rPr>
          <w:b/>
          <w:color w:val="E36C0A" w:themeColor="accent6" w:themeShade="BF"/>
          <w:sz w:val="32"/>
          <w:szCs w:val="32"/>
        </w:rPr>
        <w:t xml:space="preserve"> methodology</w:t>
      </w:r>
    </w:p>
    <w:p w:rsidR="00EB7B0D" w:rsidRPr="00D870A6" w:rsidRDefault="00624A7F" w:rsidP="00EB7B0D">
      <w:pPr>
        <w:pStyle w:val="ListParagraph"/>
        <w:spacing w:after="120"/>
        <w:ind w:left="0"/>
        <w:rPr>
          <w:rFonts w:eastAsia="Times New Roman" w:cstheme="minorHAnsi"/>
          <w:sz w:val="24"/>
          <w:szCs w:val="24"/>
        </w:rPr>
      </w:pPr>
      <w:r>
        <w:rPr>
          <w:rFonts w:eastAsia="Times New Roman" w:cstheme="minorHAnsi"/>
          <w:sz w:val="24"/>
          <w:szCs w:val="24"/>
        </w:rPr>
        <w:t>As with OITO, the Business Impact Target (</w:t>
      </w:r>
      <w:r w:rsidR="00EB7B0D" w:rsidRPr="000D1295">
        <w:rPr>
          <w:rFonts w:eastAsia="Times New Roman" w:cstheme="minorHAnsi"/>
          <w:sz w:val="24"/>
          <w:szCs w:val="24"/>
        </w:rPr>
        <w:t>BIT</w:t>
      </w:r>
      <w:r>
        <w:rPr>
          <w:rFonts w:eastAsia="Times New Roman" w:cstheme="minorHAnsi"/>
          <w:sz w:val="24"/>
          <w:szCs w:val="24"/>
        </w:rPr>
        <w:t>)</w:t>
      </w:r>
      <w:r w:rsidR="00EB7B0D" w:rsidRPr="000D1295">
        <w:rPr>
          <w:rFonts w:eastAsia="Times New Roman" w:cstheme="minorHAnsi"/>
          <w:sz w:val="24"/>
          <w:szCs w:val="24"/>
        </w:rPr>
        <w:t xml:space="preserve"> will use the Equivalent Annual Net </w:t>
      </w:r>
      <w:r>
        <w:rPr>
          <w:rFonts w:eastAsia="Times New Roman" w:cstheme="minorHAnsi"/>
          <w:sz w:val="24"/>
          <w:szCs w:val="24"/>
        </w:rPr>
        <w:t xml:space="preserve">Direct </w:t>
      </w:r>
      <w:r w:rsidR="00EB7B0D" w:rsidRPr="000D1295">
        <w:rPr>
          <w:rFonts w:eastAsia="Times New Roman" w:cstheme="minorHAnsi"/>
          <w:sz w:val="24"/>
          <w:szCs w:val="24"/>
        </w:rPr>
        <w:t>Cost to Business (EAN</w:t>
      </w:r>
      <w:r>
        <w:rPr>
          <w:rFonts w:eastAsia="Times New Roman" w:cstheme="minorHAnsi"/>
          <w:sz w:val="24"/>
          <w:szCs w:val="24"/>
        </w:rPr>
        <w:t>D</w:t>
      </w:r>
      <w:r w:rsidR="00EB7B0D" w:rsidRPr="000D1295">
        <w:rPr>
          <w:rFonts w:eastAsia="Times New Roman" w:cstheme="minorHAnsi"/>
          <w:sz w:val="24"/>
          <w:szCs w:val="24"/>
        </w:rPr>
        <w:t>CB) as its metric.</w:t>
      </w:r>
      <w:r w:rsidR="00EB7B0D" w:rsidRPr="00165D14">
        <w:rPr>
          <w:rFonts w:eastAsia="Times New Roman" w:cstheme="minorHAnsi"/>
          <w:sz w:val="24"/>
          <w:szCs w:val="24"/>
        </w:rPr>
        <w:t xml:space="preserve">  The EAN</w:t>
      </w:r>
      <w:r>
        <w:rPr>
          <w:rFonts w:eastAsia="Times New Roman" w:cstheme="minorHAnsi"/>
          <w:sz w:val="24"/>
          <w:szCs w:val="24"/>
        </w:rPr>
        <w:t xml:space="preserve">DCB </w:t>
      </w:r>
      <w:r w:rsidR="00EB7B0D" w:rsidRPr="00165D14">
        <w:rPr>
          <w:rFonts w:eastAsia="Times New Roman" w:cstheme="minorHAnsi"/>
          <w:sz w:val="24"/>
          <w:szCs w:val="24"/>
        </w:rPr>
        <w:t xml:space="preserve">measures </w:t>
      </w:r>
      <w:r>
        <w:rPr>
          <w:rFonts w:eastAsia="Times New Roman" w:cstheme="minorHAnsi"/>
          <w:sz w:val="24"/>
          <w:szCs w:val="24"/>
        </w:rPr>
        <w:t xml:space="preserve">only </w:t>
      </w:r>
      <w:r w:rsidR="00EB7B0D" w:rsidRPr="00165D14">
        <w:rPr>
          <w:rFonts w:eastAsia="Times New Roman" w:cstheme="minorHAnsi"/>
          <w:sz w:val="24"/>
          <w:szCs w:val="24"/>
        </w:rPr>
        <w:t>the direct costs and benefits to business</w:t>
      </w:r>
      <w:r w:rsidR="00962C22">
        <w:rPr>
          <w:rFonts w:eastAsia="Times New Roman" w:cstheme="minorHAnsi"/>
          <w:sz w:val="24"/>
          <w:szCs w:val="24"/>
        </w:rPr>
        <w:t xml:space="preserve"> or </w:t>
      </w:r>
      <w:r>
        <w:rPr>
          <w:rFonts w:eastAsia="Times New Roman" w:cstheme="minorHAnsi"/>
          <w:sz w:val="24"/>
          <w:szCs w:val="24"/>
        </w:rPr>
        <w:t>voluntary/community bodies</w:t>
      </w:r>
      <w:r w:rsidR="00EB7B0D" w:rsidRPr="00165D14">
        <w:rPr>
          <w:rFonts w:eastAsia="Times New Roman" w:cstheme="minorHAnsi"/>
          <w:sz w:val="24"/>
          <w:szCs w:val="24"/>
        </w:rPr>
        <w:t xml:space="preserve">.  It focusses on those </w:t>
      </w:r>
      <w:r w:rsidR="00EB7B0D">
        <w:rPr>
          <w:rFonts w:eastAsia="Times New Roman" w:cstheme="minorHAnsi"/>
          <w:sz w:val="24"/>
          <w:szCs w:val="24"/>
        </w:rPr>
        <w:t xml:space="preserve">impacts </w:t>
      </w:r>
      <w:r w:rsidR="00EB7B0D" w:rsidRPr="00165D14">
        <w:rPr>
          <w:rFonts w:eastAsia="Times New Roman" w:cstheme="minorHAnsi"/>
          <w:sz w:val="24"/>
          <w:szCs w:val="24"/>
        </w:rPr>
        <w:t xml:space="preserve">immediately felt by those businesses directly impacted by the regulatory change.  </w:t>
      </w:r>
      <w:r w:rsidR="00EB7B0D">
        <w:rPr>
          <w:rFonts w:eastAsia="Times New Roman" w:cstheme="minorHAnsi"/>
          <w:sz w:val="24"/>
          <w:szCs w:val="24"/>
        </w:rPr>
        <w:t xml:space="preserve">The aim of this section is to highlight some of the key methodological issues that </w:t>
      </w:r>
      <w:r w:rsidR="00962C22">
        <w:rPr>
          <w:rFonts w:eastAsia="Times New Roman" w:cstheme="minorHAnsi"/>
          <w:sz w:val="24"/>
          <w:szCs w:val="24"/>
        </w:rPr>
        <w:t xml:space="preserve">could </w:t>
      </w:r>
      <w:r w:rsidR="00EB7B0D">
        <w:rPr>
          <w:rFonts w:eastAsia="Times New Roman" w:cstheme="minorHAnsi"/>
          <w:sz w:val="24"/>
          <w:szCs w:val="24"/>
        </w:rPr>
        <w:t>affect calculation of the EAN</w:t>
      </w:r>
      <w:r w:rsidR="00AC676A">
        <w:rPr>
          <w:rFonts w:eastAsia="Times New Roman" w:cstheme="minorHAnsi"/>
          <w:sz w:val="24"/>
          <w:szCs w:val="24"/>
        </w:rPr>
        <w:t>D</w:t>
      </w:r>
      <w:r w:rsidR="00EB7B0D">
        <w:rPr>
          <w:rFonts w:eastAsia="Times New Roman" w:cstheme="minorHAnsi"/>
          <w:sz w:val="24"/>
          <w:szCs w:val="24"/>
        </w:rPr>
        <w:t>CB and hence the BIT.</w:t>
      </w:r>
    </w:p>
    <w:p w:rsidR="00FC5D60" w:rsidRPr="00FC5D60" w:rsidRDefault="00FC5D60" w:rsidP="00E96C4C">
      <w:pPr>
        <w:spacing w:after="300" w:line="240" w:lineRule="auto"/>
        <w:contextualSpacing/>
        <w:rPr>
          <w:rFonts w:eastAsiaTheme="majorEastAsia" w:cstheme="minorHAnsi"/>
          <w:color w:val="984806" w:themeColor="accent6" w:themeShade="80"/>
          <w:spacing w:val="5"/>
          <w:kern w:val="28"/>
          <w:sz w:val="24"/>
          <w:szCs w:val="24"/>
        </w:rPr>
      </w:pPr>
    </w:p>
    <w:p w:rsidR="009D0BBE" w:rsidRDefault="009D0BBE" w:rsidP="009D0BBE">
      <w:pPr>
        <w:spacing w:after="300" w:line="240" w:lineRule="auto"/>
        <w:contextualSpacing/>
        <w:rPr>
          <w:rFonts w:eastAsiaTheme="majorEastAsia" w:cstheme="minorHAnsi"/>
          <w:b/>
          <w:color w:val="984806" w:themeColor="accent6" w:themeShade="80"/>
          <w:spacing w:val="5"/>
          <w:kern w:val="28"/>
          <w:sz w:val="28"/>
          <w:szCs w:val="28"/>
        </w:rPr>
      </w:pPr>
      <w:bookmarkStart w:id="2" w:name="Voluntary"/>
      <w:bookmarkEnd w:id="2"/>
      <w:r>
        <w:rPr>
          <w:rFonts w:eastAsiaTheme="majorEastAsia" w:cstheme="minorHAnsi"/>
          <w:b/>
          <w:color w:val="984806" w:themeColor="accent6" w:themeShade="80"/>
          <w:spacing w:val="5"/>
          <w:kern w:val="28"/>
          <w:sz w:val="28"/>
          <w:szCs w:val="28"/>
        </w:rPr>
        <w:t>4.1</w:t>
      </w:r>
      <w:r w:rsidRPr="00FC5D60">
        <w:rPr>
          <w:rFonts w:eastAsiaTheme="majorEastAsia" w:cstheme="minorHAnsi"/>
          <w:b/>
          <w:color w:val="984806" w:themeColor="accent6" w:themeShade="80"/>
          <w:spacing w:val="5"/>
          <w:kern w:val="28"/>
          <w:sz w:val="28"/>
          <w:szCs w:val="28"/>
        </w:rPr>
        <w:t xml:space="preserve"> Guidance on direct </w:t>
      </w:r>
      <w:r>
        <w:rPr>
          <w:rFonts w:eastAsiaTheme="majorEastAsia" w:cstheme="minorHAnsi"/>
          <w:b/>
          <w:color w:val="984806" w:themeColor="accent6" w:themeShade="80"/>
          <w:spacing w:val="5"/>
          <w:kern w:val="28"/>
          <w:sz w:val="28"/>
          <w:szCs w:val="28"/>
        </w:rPr>
        <w:t xml:space="preserve">versus </w:t>
      </w:r>
      <w:r w:rsidRPr="00FC5D60">
        <w:rPr>
          <w:rFonts w:eastAsiaTheme="majorEastAsia" w:cstheme="minorHAnsi"/>
          <w:b/>
          <w:color w:val="984806" w:themeColor="accent6" w:themeShade="80"/>
          <w:spacing w:val="5"/>
          <w:kern w:val="28"/>
          <w:sz w:val="28"/>
          <w:szCs w:val="28"/>
        </w:rPr>
        <w:t xml:space="preserve">indirect impacts </w:t>
      </w:r>
    </w:p>
    <w:p w:rsidR="00AC676A" w:rsidRPr="00FC5D60" w:rsidRDefault="00AC676A" w:rsidP="009D0BBE">
      <w:pPr>
        <w:spacing w:after="300" w:line="240" w:lineRule="auto"/>
        <w:contextualSpacing/>
        <w:rPr>
          <w:rFonts w:eastAsiaTheme="majorEastAsia" w:cstheme="minorHAnsi"/>
          <w:b/>
          <w:color w:val="984806" w:themeColor="accent6" w:themeShade="80"/>
          <w:spacing w:val="5"/>
          <w:kern w:val="28"/>
          <w:sz w:val="28"/>
          <w:szCs w:val="28"/>
        </w:rPr>
      </w:pPr>
    </w:p>
    <w:p w:rsidR="009D0BBE" w:rsidRDefault="009D0BBE" w:rsidP="00AC676A">
      <w:pPr>
        <w:spacing w:after="0"/>
        <w:rPr>
          <w:rFonts w:eastAsia="Times New Roman" w:cstheme="minorHAnsi"/>
          <w:sz w:val="24"/>
          <w:szCs w:val="24"/>
        </w:rPr>
      </w:pPr>
      <w:r>
        <w:rPr>
          <w:rFonts w:eastAsia="Times New Roman" w:cstheme="minorHAnsi"/>
          <w:sz w:val="24"/>
          <w:szCs w:val="24"/>
        </w:rPr>
        <w:t>The need to distinguish between direct impacts and other (indirect) impacts can prove challenging. This section provides further information to help guide this.</w:t>
      </w:r>
    </w:p>
    <w:p w:rsidR="009D0BBE" w:rsidRDefault="009D0BBE" w:rsidP="009D0BBE">
      <w:pPr>
        <w:spacing w:after="288"/>
        <w:rPr>
          <w:rFonts w:eastAsia="Times New Roman" w:cstheme="minorHAnsi"/>
          <w:sz w:val="24"/>
          <w:szCs w:val="24"/>
        </w:rPr>
      </w:pPr>
      <w:r w:rsidRPr="00DB0DD3">
        <w:rPr>
          <w:rFonts w:eastAsia="Times New Roman" w:cstheme="minorHAnsi"/>
          <w:sz w:val="24"/>
          <w:szCs w:val="24"/>
        </w:rPr>
        <w:t xml:space="preserve">In early 2015, the Department for Business, Innovation and Skills (BIS) and the </w:t>
      </w:r>
      <w:r>
        <w:rPr>
          <w:rFonts w:eastAsia="Times New Roman" w:cstheme="minorHAnsi"/>
          <w:sz w:val="24"/>
          <w:szCs w:val="24"/>
        </w:rPr>
        <w:t>RPC commissioned an independent</w:t>
      </w:r>
      <w:r w:rsidRPr="00DB0DD3">
        <w:rPr>
          <w:rFonts w:eastAsia="Times New Roman" w:cstheme="minorHAnsi"/>
          <w:sz w:val="24"/>
          <w:szCs w:val="24"/>
        </w:rPr>
        <w:t xml:space="preserve"> research project</w:t>
      </w:r>
      <w:r>
        <w:rPr>
          <w:rFonts w:eastAsia="Times New Roman" w:cstheme="minorHAnsi"/>
          <w:sz w:val="24"/>
          <w:szCs w:val="24"/>
        </w:rPr>
        <w:t xml:space="preserve">, which aimed </w:t>
      </w:r>
      <w:r w:rsidRPr="00DB0DD3">
        <w:rPr>
          <w:rFonts w:eastAsia="Times New Roman" w:cstheme="minorHAnsi"/>
          <w:sz w:val="24"/>
          <w:szCs w:val="24"/>
        </w:rPr>
        <w:t>to</w:t>
      </w:r>
      <w:r>
        <w:rPr>
          <w:rFonts w:eastAsia="Times New Roman" w:cstheme="minorHAnsi"/>
          <w:sz w:val="24"/>
          <w:szCs w:val="24"/>
        </w:rPr>
        <w:t>:</w:t>
      </w:r>
      <w:r w:rsidRPr="00DB0DD3">
        <w:rPr>
          <w:rFonts w:eastAsia="Times New Roman" w:cstheme="minorHAnsi"/>
          <w:sz w:val="24"/>
          <w:szCs w:val="24"/>
        </w:rPr>
        <w:t xml:space="preserve"> </w:t>
      </w:r>
    </w:p>
    <w:p w:rsidR="009D0BBE" w:rsidRDefault="009D0BBE" w:rsidP="00CE5B54">
      <w:pPr>
        <w:pStyle w:val="ListParagraph"/>
        <w:numPr>
          <w:ilvl w:val="0"/>
          <w:numId w:val="35"/>
        </w:numPr>
        <w:spacing w:after="288"/>
        <w:rPr>
          <w:rFonts w:eastAsia="Times New Roman" w:cstheme="minorHAnsi"/>
          <w:sz w:val="24"/>
          <w:szCs w:val="24"/>
        </w:rPr>
      </w:pPr>
      <w:r w:rsidRPr="00DE1C8B">
        <w:rPr>
          <w:rFonts w:eastAsia="Times New Roman" w:cstheme="minorHAnsi"/>
          <w:sz w:val="24"/>
          <w:szCs w:val="24"/>
        </w:rPr>
        <w:t>set out the different definitions of direct and indirect impacts in the literature</w:t>
      </w:r>
      <w:r>
        <w:rPr>
          <w:rFonts w:eastAsia="Times New Roman" w:cstheme="minorHAnsi"/>
          <w:sz w:val="24"/>
          <w:szCs w:val="24"/>
        </w:rPr>
        <w:t>;</w:t>
      </w:r>
    </w:p>
    <w:p w:rsidR="009D0BBE" w:rsidRDefault="009D0BBE" w:rsidP="00CE5B54">
      <w:pPr>
        <w:pStyle w:val="ListParagraph"/>
        <w:numPr>
          <w:ilvl w:val="0"/>
          <w:numId w:val="35"/>
        </w:numPr>
        <w:spacing w:after="288"/>
        <w:rPr>
          <w:rFonts w:eastAsia="Times New Roman" w:cstheme="minorHAnsi"/>
          <w:sz w:val="24"/>
          <w:szCs w:val="24"/>
        </w:rPr>
      </w:pPr>
      <w:r w:rsidRPr="00DE1C8B">
        <w:rPr>
          <w:rFonts w:eastAsia="Times New Roman" w:cstheme="minorHAnsi"/>
          <w:sz w:val="24"/>
          <w:szCs w:val="24"/>
        </w:rPr>
        <w:t>present a microeconomic framework for thinking about the treatment of direct impacts within the OIOO/OITO system</w:t>
      </w:r>
      <w:r>
        <w:rPr>
          <w:rFonts w:eastAsia="Times New Roman" w:cstheme="minorHAnsi"/>
          <w:sz w:val="24"/>
          <w:szCs w:val="24"/>
        </w:rPr>
        <w:t>;</w:t>
      </w:r>
      <w:r w:rsidRPr="00DE1C8B">
        <w:rPr>
          <w:rFonts w:eastAsia="Times New Roman" w:cstheme="minorHAnsi"/>
          <w:sz w:val="24"/>
          <w:szCs w:val="24"/>
        </w:rPr>
        <w:t xml:space="preserve"> and </w:t>
      </w:r>
    </w:p>
    <w:p w:rsidR="009D0BBE" w:rsidRDefault="009D0BBE" w:rsidP="00CE5B54">
      <w:pPr>
        <w:pStyle w:val="ListParagraph"/>
        <w:numPr>
          <w:ilvl w:val="0"/>
          <w:numId w:val="35"/>
        </w:numPr>
        <w:spacing w:after="288"/>
        <w:rPr>
          <w:rFonts w:eastAsia="Times New Roman" w:cstheme="minorHAnsi"/>
          <w:sz w:val="24"/>
          <w:szCs w:val="24"/>
        </w:rPr>
      </w:pPr>
      <w:proofErr w:type="gramStart"/>
      <w:r w:rsidRPr="00DE1C8B">
        <w:rPr>
          <w:rFonts w:eastAsia="Times New Roman" w:cstheme="minorHAnsi"/>
          <w:sz w:val="24"/>
          <w:szCs w:val="24"/>
        </w:rPr>
        <w:t>develop</w:t>
      </w:r>
      <w:proofErr w:type="gramEnd"/>
      <w:r w:rsidRPr="00DE1C8B">
        <w:rPr>
          <w:rFonts w:eastAsia="Times New Roman" w:cstheme="minorHAnsi"/>
          <w:sz w:val="24"/>
          <w:szCs w:val="24"/>
        </w:rPr>
        <w:t xml:space="preserve"> some criteria that could be used to help officials classify direct and indirect impacts. </w:t>
      </w:r>
    </w:p>
    <w:p w:rsidR="009D0BBE" w:rsidRPr="00DE1C8B" w:rsidRDefault="009D0BBE" w:rsidP="009D0BBE">
      <w:pPr>
        <w:spacing w:after="288"/>
        <w:rPr>
          <w:rFonts w:eastAsia="Times New Roman" w:cstheme="minorHAnsi"/>
          <w:sz w:val="24"/>
          <w:szCs w:val="24"/>
        </w:rPr>
      </w:pPr>
      <w:r w:rsidRPr="00DE1C8B">
        <w:rPr>
          <w:rFonts w:eastAsia="Times New Roman" w:cstheme="minorHAnsi"/>
          <w:sz w:val="24"/>
          <w:szCs w:val="24"/>
        </w:rPr>
        <w:t>The research</w:t>
      </w:r>
      <w:r>
        <w:rPr>
          <w:rFonts w:eastAsia="Times New Roman" w:cstheme="minorHAnsi"/>
          <w:sz w:val="24"/>
          <w:szCs w:val="24"/>
        </w:rPr>
        <w:t>, which was</w:t>
      </w:r>
      <w:r w:rsidRPr="00DE1C8B">
        <w:rPr>
          <w:rFonts w:eastAsia="Times New Roman" w:cstheme="minorHAnsi"/>
          <w:sz w:val="24"/>
          <w:szCs w:val="24"/>
        </w:rPr>
        <w:t xml:space="preserve"> </w:t>
      </w:r>
      <w:r>
        <w:rPr>
          <w:rFonts w:eastAsia="Times New Roman" w:cstheme="minorHAnsi"/>
          <w:sz w:val="24"/>
          <w:szCs w:val="24"/>
        </w:rPr>
        <w:t xml:space="preserve">undertaken by </w:t>
      </w:r>
      <w:r w:rsidRPr="00DE1C8B">
        <w:rPr>
          <w:rFonts w:eastAsia="Times New Roman" w:cstheme="minorHAnsi"/>
          <w:sz w:val="24"/>
          <w:szCs w:val="24"/>
        </w:rPr>
        <w:t xml:space="preserve">Brian </w:t>
      </w:r>
      <w:proofErr w:type="spellStart"/>
      <w:r w:rsidRPr="00DE1C8B">
        <w:rPr>
          <w:rFonts w:eastAsia="Times New Roman" w:cstheme="minorHAnsi"/>
          <w:sz w:val="24"/>
          <w:szCs w:val="24"/>
        </w:rPr>
        <w:t>Titley</w:t>
      </w:r>
      <w:proofErr w:type="spellEnd"/>
      <w:r w:rsidRPr="00DE1C8B">
        <w:rPr>
          <w:rFonts w:eastAsia="Times New Roman" w:cstheme="minorHAnsi"/>
          <w:sz w:val="24"/>
          <w:szCs w:val="24"/>
        </w:rPr>
        <w:t xml:space="preserve"> Consulting Ltd</w:t>
      </w:r>
      <w:r>
        <w:rPr>
          <w:rFonts w:eastAsia="Times New Roman" w:cstheme="minorHAnsi"/>
          <w:sz w:val="24"/>
          <w:szCs w:val="24"/>
        </w:rPr>
        <w:t xml:space="preserve">, </w:t>
      </w:r>
      <w:r w:rsidRPr="00DE1C8B">
        <w:rPr>
          <w:rFonts w:eastAsia="Times New Roman" w:cstheme="minorHAnsi"/>
          <w:sz w:val="24"/>
          <w:szCs w:val="24"/>
        </w:rPr>
        <w:t>was commissioned in the context of the OIOO/OITO rules that operated within the last Parliament but is also relevant to the methodolog</w:t>
      </w:r>
      <w:r w:rsidR="00BA6D02">
        <w:rPr>
          <w:rFonts w:eastAsia="Times New Roman" w:cstheme="minorHAnsi"/>
          <w:sz w:val="24"/>
          <w:szCs w:val="24"/>
        </w:rPr>
        <w:t>y for the BIT</w:t>
      </w:r>
      <w:r w:rsidRPr="00DE1C8B">
        <w:rPr>
          <w:rFonts w:eastAsia="Times New Roman" w:cstheme="minorHAnsi"/>
          <w:sz w:val="24"/>
          <w:szCs w:val="24"/>
        </w:rPr>
        <w:t xml:space="preserve">. </w:t>
      </w:r>
    </w:p>
    <w:p w:rsidR="009D0BBE" w:rsidRPr="0085039B" w:rsidRDefault="009D0BBE" w:rsidP="009D0BBE">
      <w:pPr>
        <w:spacing w:after="288"/>
        <w:rPr>
          <w:rFonts w:eastAsia="Times New Roman" w:cstheme="minorHAnsi"/>
          <w:sz w:val="24"/>
          <w:szCs w:val="24"/>
        </w:rPr>
      </w:pPr>
      <w:r>
        <w:rPr>
          <w:rFonts w:eastAsia="Times New Roman" w:cstheme="minorHAnsi"/>
          <w:sz w:val="24"/>
          <w:szCs w:val="24"/>
        </w:rPr>
        <w:t>This guidance builds on the findings of this research project.  A summary of practical steps and criteria to distinguish between direct and indirect impacts of regulation on business is presented below.</w:t>
      </w:r>
    </w:p>
    <w:p w:rsidR="009D0BBE" w:rsidRPr="00FC09EC" w:rsidRDefault="009D0BBE" w:rsidP="009D0BBE">
      <w:pPr>
        <w:autoSpaceDE w:val="0"/>
        <w:autoSpaceDN w:val="0"/>
        <w:adjustRightInd w:val="0"/>
        <w:spacing w:after="166" w:line="240" w:lineRule="auto"/>
        <w:rPr>
          <w:rFonts w:eastAsiaTheme="majorEastAsia" w:cstheme="minorHAnsi"/>
          <w:b/>
          <w:bCs/>
          <w:color w:val="000000" w:themeColor="text1"/>
          <w:sz w:val="24"/>
          <w:szCs w:val="24"/>
        </w:rPr>
      </w:pPr>
      <w:r>
        <w:rPr>
          <w:rFonts w:eastAsiaTheme="majorEastAsia" w:cstheme="minorHAnsi"/>
          <w:b/>
          <w:bCs/>
          <w:color w:val="000000" w:themeColor="text1"/>
          <w:sz w:val="24"/>
          <w:szCs w:val="24"/>
        </w:rPr>
        <w:t>4.1</w:t>
      </w:r>
      <w:r w:rsidRPr="00FC09EC">
        <w:rPr>
          <w:rFonts w:eastAsiaTheme="majorEastAsia" w:cstheme="minorHAnsi"/>
          <w:b/>
          <w:bCs/>
          <w:color w:val="000000" w:themeColor="text1"/>
          <w:sz w:val="24"/>
          <w:szCs w:val="24"/>
        </w:rPr>
        <w:t>.1 Definition, criteria and practical steps to distinguish between direct /indirect impacts</w:t>
      </w:r>
    </w:p>
    <w:p w:rsidR="009D0BBE" w:rsidRPr="00E96C4C" w:rsidRDefault="009D0BBE" w:rsidP="009D0BBE">
      <w:pPr>
        <w:autoSpaceDE w:val="0"/>
        <w:autoSpaceDN w:val="0"/>
        <w:adjustRightInd w:val="0"/>
        <w:spacing w:after="166" w:line="240" w:lineRule="auto"/>
        <w:rPr>
          <w:rFonts w:eastAsia="Times New Roman" w:cstheme="minorHAnsi"/>
          <w:color w:val="000000"/>
          <w:sz w:val="24"/>
          <w:szCs w:val="24"/>
          <w:lang w:eastAsia="en-GB"/>
        </w:rPr>
      </w:pPr>
      <w:r w:rsidRPr="00E96C4C">
        <w:rPr>
          <w:rFonts w:eastAsia="Times New Roman" w:cstheme="minorHAnsi"/>
          <w:color w:val="000000"/>
          <w:sz w:val="24"/>
          <w:szCs w:val="24"/>
          <w:lang w:eastAsia="en-GB"/>
        </w:rPr>
        <w:t>Only direct impacts on business should be scored for inclusion in the B</w:t>
      </w:r>
      <w:r>
        <w:rPr>
          <w:rFonts w:eastAsia="Times New Roman" w:cstheme="minorHAnsi"/>
          <w:color w:val="000000"/>
          <w:sz w:val="24"/>
          <w:szCs w:val="24"/>
          <w:lang w:eastAsia="en-GB"/>
        </w:rPr>
        <w:t>IT</w:t>
      </w:r>
      <w:r w:rsidRPr="00E96C4C">
        <w:rPr>
          <w:rFonts w:eastAsia="Times New Roman" w:cstheme="minorHAnsi"/>
          <w:color w:val="000000"/>
          <w:sz w:val="24"/>
          <w:szCs w:val="24"/>
          <w:lang w:eastAsia="en-GB"/>
        </w:rPr>
        <w:t xml:space="preserve">. </w:t>
      </w:r>
    </w:p>
    <w:p w:rsidR="009D0BBE" w:rsidRPr="00E96C4C" w:rsidRDefault="009D0BBE" w:rsidP="009D0BBE">
      <w:pPr>
        <w:autoSpaceDE w:val="0"/>
        <w:autoSpaceDN w:val="0"/>
        <w:adjustRightInd w:val="0"/>
        <w:spacing w:after="166" w:line="240" w:lineRule="auto"/>
        <w:rPr>
          <w:rFonts w:eastAsia="Times New Roman" w:cstheme="minorHAnsi"/>
          <w:color w:val="000000"/>
          <w:sz w:val="24"/>
          <w:szCs w:val="24"/>
          <w:lang w:eastAsia="en-GB"/>
        </w:rPr>
      </w:pPr>
      <w:r w:rsidRPr="00E96C4C">
        <w:rPr>
          <w:rFonts w:eastAsia="Times New Roman" w:cstheme="minorHAnsi"/>
          <w:color w:val="000000"/>
          <w:sz w:val="24"/>
          <w:szCs w:val="24"/>
          <w:lang w:eastAsia="en-GB"/>
        </w:rPr>
        <w:lastRenderedPageBreak/>
        <w:t xml:space="preserve">A direct impact on business is defined as: </w:t>
      </w:r>
    </w:p>
    <w:p w:rsidR="009D0BBE" w:rsidRPr="00E96C4C" w:rsidRDefault="009D0BBE" w:rsidP="009D0BBE">
      <w:pPr>
        <w:autoSpaceDE w:val="0"/>
        <w:autoSpaceDN w:val="0"/>
        <w:adjustRightInd w:val="0"/>
        <w:spacing w:after="240" w:line="240" w:lineRule="auto"/>
        <w:ind w:left="360"/>
        <w:jc w:val="both"/>
        <w:rPr>
          <w:rFonts w:eastAsia="Calibri" w:cstheme="minorHAnsi"/>
          <w:i/>
          <w:iCs/>
          <w:color w:val="000000"/>
          <w:sz w:val="24"/>
          <w:szCs w:val="24"/>
        </w:rPr>
      </w:pPr>
      <w:r w:rsidRPr="00E96C4C">
        <w:rPr>
          <w:rFonts w:eastAsia="Calibri" w:cstheme="minorHAnsi"/>
          <w:i/>
          <w:iCs/>
          <w:color w:val="000000"/>
          <w:sz w:val="24"/>
          <w:szCs w:val="24"/>
        </w:rPr>
        <w:t>“</w:t>
      </w:r>
      <w:proofErr w:type="gramStart"/>
      <w:r w:rsidRPr="00E96C4C">
        <w:rPr>
          <w:rFonts w:eastAsia="Calibri" w:cstheme="minorHAnsi"/>
          <w:i/>
          <w:iCs/>
          <w:color w:val="000000"/>
          <w:sz w:val="24"/>
          <w:szCs w:val="24"/>
        </w:rPr>
        <w:t>an</w:t>
      </w:r>
      <w:proofErr w:type="gramEnd"/>
      <w:r w:rsidRPr="00E96C4C">
        <w:rPr>
          <w:rFonts w:eastAsia="Calibri" w:cstheme="minorHAnsi"/>
          <w:i/>
          <w:iCs/>
          <w:color w:val="000000"/>
          <w:sz w:val="24"/>
          <w:szCs w:val="24"/>
        </w:rPr>
        <w:t xml:space="preserve"> impact that can be identified as resulting directly from the implementation or removal/simplification of the measure”</w:t>
      </w:r>
      <w:r>
        <w:rPr>
          <w:rFonts w:eastAsia="Calibri" w:cstheme="minorHAnsi"/>
          <w:i/>
          <w:iCs/>
          <w:color w:val="000000"/>
          <w:sz w:val="24"/>
          <w:szCs w:val="24"/>
        </w:rPr>
        <w:t>.</w:t>
      </w:r>
      <w:r w:rsidRPr="00E96C4C">
        <w:rPr>
          <w:rFonts w:eastAsia="Calibri" w:cstheme="minorHAnsi"/>
          <w:i/>
          <w:iCs/>
          <w:color w:val="000000"/>
          <w:sz w:val="24"/>
          <w:szCs w:val="24"/>
          <w:vertAlign w:val="superscript"/>
        </w:rPr>
        <w:footnoteReference w:id="5"/>
      </w:r>
    </w:p>
    <w:p w:rsidR="009D0BBE" w:rsidRPr="00A97AFE" w:rsidRDefault="009D0BBE" w:rsidP="009D0BBE">
      <w:pPr>
        <w:autoSpaceDE w:val="0"/>
        <w:autoSpaceDN w:val="0"/>
        <w:adjustRightInd w:val="0"/>
        <w:spacing w:after="0"/>
        <w:rPr>
          <w:rFonts w:eastAsia="Times New Roman" w:cstheme="minorHAnsi"/>
          <w:color w:val="000000"/>
          <w:sz w:val="24"/>
          <w:szCs w:val="24"/>
          <w:lang w:eastAsia="en-GB"/>
        </w:rPr>
      </w:pPr>
      <w:r w:rsidRPr="00A97AFE">
        <w:rPr>
          <w:rFonts w:eastAsia="Times New Roman" w:cstheme="minorHAnsi"/>
          <w:color w:val="000000"/>
          <w:sz w:val="24"/>
          <w:szCs w:val="24"/>
          <w:lang w:eastAsia="en-GB"/>
        </w:rPr>
        <w:t xml:space="preserve">Subsequent effects that occur as a result of the direct impacts are indirect. These are not scored in the </w:t>
      </w:r>
      <w:r>
        <w:rPr>
          <w:rFonts w:eastAsia="Times New Roman" w:cstheme="minorHAnsi"/>
          <w:color w:val="000000"/>
          <w:sz w:val="24"/>
          <w:szCs w:val="24"/>
          <w:lang w:eastAsia="en-GB"/>
        </w:rPr>
        <w:t>BIT</w:t>
      </w:r>
      <w:r w:rsidRPr="00A97AFE">
        <w:rPr>
          <w:rFonts w:eastAsia="Times New Roman" w:cstheme="minorHAnsi"/>
          <w:color w:val="000000"/>
          <w:sz w:val="24"/>
          <w:szCs w:val="24"/>
          <w:lang w:eastAsia="en-GB"/>
        </w:rPr>
        <w:t xml:space="preserve"> but could be included in the net present value of the policy to society as a whole.</w:t>
      </w:r>
    </w:p>
    <w:p w:rsidR="009D0BBE" w:rsidRPr="00A97AFE" w:rsidRDefault="009D0BBE" w:rsidP="009D0BBE">
      <w:pPr>
        <w:autoSpaceDE w:val="0"/>
        <w:autoSpaceDN w:val="0"/>
        <w:adjustRightInd w:val="0"/>
        <w:spacing w:after="0" w:line="240" w:lineRule="auto"/>
        <w:rPr>
          <w:rFonts w:eastAsia="Times New Roman" w:cstheme="minorHAnsi"/>
          <w:color w:val="000000"/>
          <w:sz w:val="24"/>
          <w:szCs w:val="24"/>
          <w:lang w:eastAsia="en-GB"/>
        </w:rPr>
      </w:pPr>
    </w:p>
    <w:p w:rsidR="009D0BBE" w:rsidRPr="00A97AFE" w:rsidRDefault="009D0BBE" w:rsidP="009D0BBE">
      <w:pPr>
        <w:rPr>
          <w:rFonts w:cstheme="minorHAnsi"/>
          <w:sz w:val="24"/>
          <w:szCs w:val="24"/>
        </w:rPr>
      </w:pPr>
      <w:r w:rsidRPr="00A97AFE">
        <w:rPr>
          <w:rFonts w:cstheme="minorHAnsi"/>
          <w:sz w:val="24"/>
          <w:szCs w:val="24"/>
        </w:rPr>
        <w:t>There is n</w:t>
      </w:r>
      <w:r>
        <w:rPr>
          <w:rFonts w:cstheme="minorHAnsi"/>
          <w:sz w:val="24"/>
          <w:szCs w:val="24"/>
        </w:rPr>
        <w:t xml:space="preserve">o clear economic definition of </w:t>
      </w:r>
      <w:r w:rsidRPr="00A97AFE">
        <w:rPr>
          <w:rFonts w:cstheme="minorHAnsi"/>
          <w:sz w:val="24"/>
          <w:szCs w:val="24"/>
        </w:rPr>
        <w:t>direct</w:t>
      </w:r>
      <w:r>
        <w:rPr>
          <w:rFonts w:cstheme="minorHAnsi"/>
          <w:sz w:val="24"/>
          <w:szCs w:val="24"/>
        </w:rPr>
        <w:t xml:space="preserve"> and indirect</w:t>
      </w:r>
      <w:r w:rsidRPr="00A97AFE">
        <w:rPr>
          <w:rFonts w:cstheme="minorHAnsi"/>
          <w:sz w:val="24"/>
          <w:szCs w:val="24"/>
        </w:rPr>
        <w:t xml:space="preserve"> effects</w:t>
      </w:r>
      <w:r>
        <w:rPr>
          <w:rFonts w:eastAsia="Times New Roman" w:cstheme="minorHAnsi"/>
          <w:sz w:val="24"/>
          <w:szCs w:val="24"/>
        </w:rPr>
        <w:t xml:space="preserve"> and t</w:t>
      </w:r>
      <w:r>
        <w:rPr>
          <w:rFonts w:eastAsia="Times New Roman" w:cstheme="minorHAnsi"/>
          <w:color w:val="000000"/>
          <w:sz w:val="24"/>
          <w:szCs w:val="24"/>
          <w:lang w:eastAsia="en-GB"/>
        </w:rPr>
        <w:t xml:space="preserve">here is no such distinction in the HM Treasury Green Book. </w:t>
      </w:r>
      <w:r w:rsidRPr="00A97AFE">
        <w:rPr>
          <w:rFonts w:cstheme="minorHAnsi"/>
          <w:sz w:val="24"/>
          <w:szCs w:val="24"/>
        </w:rPr>
        <w:t xml:space="preserve"> It is often difficult to judge when economic impacts on business are direct or indirect and where the boundary lies between the two. The following section provides guidance to assist departments in distinguishing between direct and indirect effects</w:t>
      </w:r>
      <w:r>
        <w:rPr>
          <w:rFonts w:cstheme="minorHAnsi"/>
          <w:sz w:val="24"/>
          <w:szCs w:val="24"/>
        </w:rPr>
        <w:t>,</w:t>
      </w:r>
      <w:r w:rsidRPr="00A97AFE">
        <w:rPr>
          <w:rFonts w:cstheme="minorHAnsi"/>
          <w:sz w:val="24"/>
          <w:szCs w:val="24"/>
        </w:rPr>
        <w:t xml:space="preserve"> along with some examples from the previous parliament. However, this will always be a matter of judgement and</w:t>
      </w:r>
      <w:r>
        <w:rPr>
          <w:rFonts w:cstheme="minorHAnsi"/>
          <w:sz w:val="24"/>
          <w:szCs w:val="24"/>
        </w:rPr>
        <w:t xml:space="preserve">, therefore, this guidance </w:t>
      </w:r>
      <w:r w:rsidRPr="00A97AFE">
        <w:rPr>
          <w:rFonts w:cstheme="minorHAnsi"/>
          <w:sz w:val="24"/>
          <w:szCs w:val="24"/>
        </w:rPr>
        <w:t xml:space="preserve">should </w:t>
      </w:r>
      <w:r>
        <w:rPr>
          <w:rFonts w:cstheme="minorHAnsi"/>
          <w:sz w:val="24"/>
          <w:szCs w:val="24"/>
        </w:rPr>
        <w:t xml:space="preserve">not </w:t>
      </w:r>
      <w:r w:rsidRPr="00A97AFE">
        <w:rPr>
          <w:rFonts w:cstheme="minorHAnsi"/>
          <w:sz w:val="24"/>
          <w:szCs w:val="24"/>
        </w:rPr>
        <w:t>be treated as</w:t>
      </w:r>
      <w:r>
        <w:rPr>
          <w:rFonts w:cstheme="minorHAnsi"/>
          <w:sz w:val="24"/>
          <w:szCs w:val="24"/>
        </w:rPr>
        <w:t xml:space="preserve"> definitive.</w:t>
      </w:r>
      <w:r w:rsidRPr="00A97AFE">
        <w:rPr>
          <w:rFonts w:cstheme="minorHAnsi"/>
          <w:sz w:val="24"/>
          <w:szCs w:val="24"/>
        </w:rPr>
        <w:t xml:space="preserve"> </w:t>
      </w:r>
    </w:p>
    <w:p w:rsidR="009D0BBE" w:rsidRPr="00A97AFE" w:rsidRDefault="009D0BBE" w:rsidP="009D0BBE">
      <w:pPr>
        <w:keepNext/>
        <w:keepLines/>
        <w:spacing w:before="200" w:after="240"/>
        <w:outlineLvl w:val="2"/>
        <w:rPr>
          <w:rFonts w:eastAsiaTheme="majorEastAsia" w:cstheme="minorHAnsi"/>
          <w:b/>
          <w:bCs/>
          <w:color w:val="E36C0A" w:themeColor="accent6" w:themeShade="BF"/>
          <w:sz w:val="26"/>
          <w:szCs w:val="26"/>
        </w:rPr>
      </w:pPr>
      <w:r w:rsidRPr="00A97AFE">
        <w:rPr>
          <w:rFonts w:eastAsiaTheme="majorEastAsia" w:cstheme="minorHAnsi"/>
          <w:b/>
          <w:bCs/>
          <w:color w:val="E36C0A" w:themeColor="accent6" w:themeShade="BF"/>
          <w:sz w:val="26"/>
          <w:szCs w:val="26"/>
        </w:rPr>
        <w:t>Step 1- Identify the broad type and scope of the regulatory measure</w:t>
      </w:r>
    </w:p>
    <w:p w:rsidR="009D0BBE" w:rsidRPr="00E96C4C" w:rsidRDefault="009D0BBE" w:rsidP="009D0BBE">
      <w:pPr>
        <w:rPr>
          <w:rFonts w:cstheme="minorHAnsi"/>
          <w:sz w:val="24"/>
          <w:szCs w:val="24"/>
        </w:rPr>
      </w:pPr>
      <w:r w:rsidRPr="00E96C4C">
        <w:rPr>
          <w:rFonts w:cstheme="minorHAnsi"/>
          <w:sz w:val="24"/>
          <w:szCs w:val="24"/>
        </w:rPr>
        <w:t>Departments should consider whether the anticipated impacts are consistent with the type of measure being proposed. For instance</w:t>
      </w:r>
      <w:r>
        <w:rPr>
          <w:rFonts w:cstheme="minorHAnsi"/>
          <w:sz w:val="24"/>
          <w:szCs w:val="24"/>
        </w:rPr>
        <w:t>,</w:t>
      </w:r>
      <w:r w:rsidRPr="00E96C4C">
        <w:rPr>
          <w:rFonts w:cstheme="minorHAnsi"/>
          <w:sz w:val="24"/>
          <w:szCs w:val="24"/>
        </w:rPr>
        <w:t xml:space="preserve"> an impact is more likely to be direct if it:</w:t>
      </w:r>
    </w:p>
    <w:p w:rsidR="009D0BBE" w:rsidRPr="00E96C4C" w:rsidRDefault="009D0BBE" w:rsidP="00CE5B54">
      <w:pPr>
        <w:numPr>
          <w:ilvl w:val="0"/>
          <w:numId w:val="5"/>
        </w:numPr>
        <w:spacing w:line="360" w:lineRule="auto"/>
        <w:contextualSpacing/>
        <w:rPr>
          <w:rFonts w:cstheme="minorHAnsi"/>
          <w:sz w:val="24"/>
          <w:szCs w:val="24"/>
        </w:rPr>
      </w:pPr>
      <w:r w:rsidRPr="00E96C4C">
        <w:rPr>
          <w:rFonts w:cstheme="minorHAnsi"/>
          <w:sz w:val="24"/>
          <w:szCs w:val="24"/>
        </w:rPr>
        <w:t>bans, restricts</w:t>
      </w:r>
      <w:r>
        <w:rPr>
          <w:rFonts w:cstheme="minorHAnsi"/>
          <w:sz w:val="24"/>
          <w:szCs w:val="24"/>
        </w:rPr>
        <w:t>, liberalises,</w:t>
      </w:r>
      <w:r w:rsidRPr="00E96C4C">
        <w:rPr>
          <w:rFonts w:cstheme="minorHAnsi"/>
          <w:sz w:val="24"/>
          <w:szCs w:val="24"/>
        </w:rPr>
        <w:t xml:space="preserve"> increases </w:t>
      </w:r>
      <w:r>
        <w:rPr>
          <w:rFonts w:cstheme="minorHAnsi"/>
          <w:sz w:val="24"/>
          <w:szCs w:val="24"/>
        </w:rPr>
        <w:t xml:space="preserve">or decreases </w:t>
      </w:r>
      <w:r w:rsidRPr="00E96C4C">
        <w:rPr>
          <w:rFonts w:cstheme="minorHAnsi"/>
          <w:sz w:val="24"/>
          <w:szCs w:val="24"/>
        </w:rPr>
        <w:t>the cost of a particular activity; and/or</w:t>
      </w:r>
    </w:p>
    <w:p w:rsidR="009D0BBE" w:rsidRPr="00E96C4C" w:rsidRDefault="009D0BBE" w:rsidP="00CE5B54">
      <w:pPr>
        <w:numPr>
          <w:ilvl w:val="0"/>
          <w:numId w:val="5"/>
        </w:numPr>
        <w:contextualSpacing/>
        <w:rPr>
          <w:rFonts w:cstheme="minorHAnsi"/>
          <w:sz w:val="24"/>
          <w:szCs w:val="24"/>
        </w:rPr>
      </w:pPr>
      <w:proofErr w:type="gramStart"/>
      <w:r w:rsidRPr="00E96C4C">
        <w:rPr>
          <w:rFonts w:cstheme="minorHAnsi"/>
          <w:sz w:val="24"/>
          <w:szCs w:val="24"/>
        </w:rPr>
        <w:t>displaces</w:t>
      </w:r>
      <w:proofErr w:type="gramEnd"/>
      <w:r w:rsidRPr="00E96C4C">
        <w:rPr>
          <w:rFonts w:cstheme="minorHAnsi"/>
          <w:sz w:val="24"/>
          <w:szCs w:val="24"/>
        </w:rPr>
        <w:t xml:space="preserve"> or restricts specific business activities designed to maintain or create sales</w:t>
      </w:r>
      <w:r>
        <w:rPr>
          <w:rFonts w:cstheme="minorHAnsi"/>
          <w:sz w:val="24"/>
          <w:szCs w:val="24"/>
        </w:rPr>
        <w:t>,</w:t>
      </w:r>
      <w:r w:rsidRPr="00E96C4C">
        <w:rPr>
          <w:rFonts w:cstheme="minorHAnsi"/>
          <w:sz w:val="24"/>
          <w:szCs w:val="24"/>
        </w:rPr>
        <w:t xml:space="preserve"> e.g. product differentiation and promotional activities.</w:t>
      </w:r>
    </w:p>
    <w:p w:rsidR="009D0BBE" w:rsidRDefault="009D0BBE" w:rsidP="009D0BBE">
      <w:pPr>
        <w:rPr>
          <w:rFonts w:cstheme="minorHAnsi"/>
          <w:sz w:val="24"/>
          <w:szCs w:val="24"/>
        </w:rPr>
      </w:pPr>
    </w:p>
    <w:p w:rsidR="009D0BBE" w:rsidRDefault="009D0BBE" w:rsidP="009D0BBE">
      <w:pPr>
        <w:rPr>
          <w:rFonts w:cstheme="minorHAnsi"/>
          <w:sz w:val="24"/>
          <w:szCs w:val="24"/>
        </w:rPr>
      </w:pPr>
      <w:r w:rsidRPr="00E96C4C">
        <w:rPr>
          <w:rFonts w:cstheme="minorHAnsi"/>
          <w:sz w:val="24"/>
          <w:szCs w:val="24"/>
        </w:rPr>
        <w:t xml:space="preserve">In addition, if the impacts fall on those businesses subject to the regulation and accountable for compliance, they are more likely to be direct than impacts on businesses further down the </w:t>
      </w:r>
      <w:r>
        <w:rPr>
          <w:rFonts w:cstheme="minorHAnsi"/>
          <w:sz w:val="24"/>
          <w:szCs w:val="24"/>
        </w:rPr>
        <w:t>supply</w:t>
      </w:r>
      <w:r w:rsidRPr="00E96C4C">
        <w:rPr>
          <w:rFonts w:cstheme="minorHAnsi"/>
          <w:sz w:val="24"/>
          <w:szCs w:val="24"/>
        </w:rPr>
        <w:t xml:space="preserve"> chain.</w:t>
      </w:r>
    </w:p>
    <w:p w:rsidR="009D0BBE" w:rsidRDefault="009D0BBE" w:rsidP="009D0BBE">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b/>
          <w:sz w:val="24"/>
          <w:szCs w:val="24"/>
          <w:lang w:eastAsia="en-GB"/>
        </w:rPr>
      </w:pPr>
      <w:r w:rsidRPr="0020149D">
        <w:rPr>
          <w:rFonts w:eastAsia="Times New Roman" w:cstheme="minorHAnsi"/>
          <w:b/>
          <w:sz w:val="24"/>
          <w:szCs w:val="24"/>
          <w:lang w:eastAsia="en-GB"/>
        </w:rPr>
        <w:t>Banning of Inducements to Make Personal Injury Claims (RPC14-FT-MOJ-2125)</w:t>
      </w:r>
      <w:r>
        <w:rPr>
          <w:rFonts w:eastAsia="Times New Roman" w:cstheme="minorHAnsi"/>
          <w:b/>
          <w:sz w:val="24"/>
          <w:szCs w:val="24"/>
          <w:lang w:eastAsia="en-GB"/>
        </w:rPr>
        <w:t xml:space="preserve">: </w:t>
      </w:r>
    </w:p>
    <w:p w:rsidR="009D0BBE" w:rsidRPr="00DA3490" w:rsidRDefault="009D0BBE" w:rsidP="009D0BBE">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b/>
          <w:sz w:val="24"/>
          <w:szCs w:val="24"/>
          <w:lang w:eastAsia="en-GB"/>
        </w:rPr>
      </w:pPr>
      <w:r w:rsidRPr="0020149D">
        <w:rPr>
          <w:rFonts w:eastAsia="Times New Roman" w:cstheme="minorHAnsi"/>
          <w:sz w:val="24"/>
          <w:szCs w:val="24"/>
          <w:lang w:eastAsia="en-GB"/>
        </w:rPr>
        <w:t>This proposal ban</w:t>
      </w:r>
      <w:r>
        <w:rPr>
          <w:rFonts w:eastAsia="Times New Roman" w:cstheme="minorHAnsi"/>
          <w:sz w:val="24"/>
          <w:szCs w:val="24"/>
          <w:lang w:eastAsia="en-GB"/>
        </w:rPr>
        <w:t>ned</w:t>
      </w:r>
      <w:r w:rsidRPr="0020149D">
        <w:rPr>
          <w:rFonts w:eastAsia="Times New Roman" w:cstheme="minorHAnsi"/>
          <w:sz w:val="24"/>
          <w:szCs w:val="24"/>
          <w:lang w:eastAsia="en-GB"/>
        </w:rPr>
        <w:t xml:space="preserve"> lawyers from offering claimants financial inducements, or similar rewards, in return for making a claim.  The objectives were to discourage weaker personal injury compensation claims from being made and to prevent claimants from being misled by offers of inducements which do not materialise in practice. The IA estimated that the policy would result in a reduction in the overall volume of claims. However, the IA asserted that the subsequent reduction i</w:t>
      </w:r>
      <w:r>
        <w:rPr>
          <w:rFonts w:eastAsia="Times New Roman" w:cstheme="minorHAnsi"/>
          <w:sz w:val="24"/>
          <w:szCs w:val="24"/>
          <w:lang w:eastAsia="en-GB"/>
        </w:rPr>
        <w:t xml:space="preserve">n income to lawyers would be </w:t>
      </w:r>
      <w:r w:rsidRPr="0020149D">
        <w:rPr>
          <w:rFonts w:eastAsia="Times New Roman" w:cstheme="minorHAnsi"/>
          <w:sz w:val="24"/>
          <w:szCs w:val="24"/>
          <w:lang w:eastAsia="en-GB"/>
        </w:rPr>
        <w:t xml:space="preserve">a result of behavioural change on behalf of the claimant, and </w:t>
      </w:r>
      <w:r>
        <w:rPr>
          <w:rFonts w:eastAsia="Times New Roman" w:cstheme="minorHAnsi"/>
          <w:sz w:val="24"/>
          <w:szCs w:val="24"/>
          <w:lang w:eastAsia="en-GB"/>
        </w:rPr>
        <w:t xml:space="preserve">therefore </w:t>
      </w:r>
      <w:r w:rsidRPr="0020149D">
        <w:rPr>
          <w:rFonts w:eastAsia="Times New Roman" w:cstheme="minorHAnsi"/>
          <w:sz w:val="24"/>
          <w:szCs w:val="24"/>
          <w:lang w:eastAsia="en-GB"/>
        </w:rPr>
        <w:t xml:space="preserve">should be considered to be indirect.  </w:t>
      </w:r>
    </w:p>
    <w:p w:rsidR="009D0BBE" w:rsidRPr="0020149D" w:rsidRDefault="009D0BBE" w:rsidP="009D0BBE">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sz w:val="24"/>
          <w:szCs w:val="24"/>
          <w:lang w:eastAsia="en-GB"/>
        </w:rPr>
      </w:pPr>
    </w:p>
    <w:p w:rsidR="009D0BBE" w:rsidRPr="0020149D" w:rsidRDefault="009D0BBE" w:rsidP="009D0BBE">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sz w:val="24"/>
          <w:szCs w:val="24"/>
          <w:lang w:eastAsia="en-GB"/>
        </w:rPr>
      </w:pPr>
      <w:r w:rsidRPr="0020149D">
        <w:rPr>
          <w:rFonts w:eastAsia="Times New Roman" w:cstheme="minorHAnsi"/>
          <w:sz w:val="24"/>
          <w:szCs w:val="24"/>
          <w:lang w:eastAsia="en-GB"/>
        </w:rPr>
        <w:lastRenderedPageBreak/>
        <w:t xml:space="preserve">The </w:t>
      </w:r>
      <w:r>
        <w:rPr>
          <w:rFonts w:eastAsia="Times New Roman" w:cstheme="minorHAnsi"/>
          <w:sz w:val="24"/>
          <w:szCs w:val="24"/>
          <w:lang w:eastAsia="en-GB"/>
        </w:rPr>
        <w:t>RPC</w:t>
      </w:r>
      <w:r w:rsidRPr="0020149D">
        <w:rPr>
          <w:rFonts w:eastAsia="Times New Roman" w:cstheme="minorHAnsi"/>
          <w:sz w:val="24"/>
          <w:szCs w:val="24"/>
          <w:lang w:eastAsia="en-GB"/>
        </w:rPr>
        <w:t xml:space="preserve"> rejected the behavioural change argument and concluded that the reduced volume of claims would be a direct impact of the regulation</w:t>
      </w:r>
      <w:r>
        <w:rPr>
          <w:rFonts w:eastAsia="Times New Roman" w:cstheme="minorHAnsi"/>
          <w:sz w:val="24"/>
          <w:szCs w:val="24"/>
          <w:lang w:eastAsia="en-GB"/>
        </w:rPr>
        <w:t>. This is bec</w:t>
      </w:r>
      <w:r w:rsidRPr="0020149D">
        <w:rPr>
          <w:rFonts w:eastAsia="Times New Roman" w:cstheme="minorHAnsi"/>
          <w:sz w:val="24"/>
          <w:szCs w:val="24"/>
          <w:lang w:eastAsia="en-GB"/>
        </w:rPr>
        <w:t>a</w:t>
      </w:r>
      <w:r>
        <w:rPr>
          <w:rFonts w:eastAsia="Times New Roman" w:cstheme="minorHAnsi"/>
          <w:sz w:val="24"/>
          <w:szCs w:val="24"/>
          <w:lang w:eastAsia="en-GB"/>
        </w:rPr>
        <w:t>u</w:t>
      </w:r>
      <w:r w:rsidRPr="0020149D">
        <w:rPr>
          <w:rFonts w:eastAsia="Times New Roman" w:cstheme="minorHAnsi"/>
          <w:sz w:val="24"/>
          <w:szCs w:val="24"/>
          <w:lang w:eastAsia="en-GB"/>
        </w:rPr>
        <w:t>s</w:t>
      </w:r>
      <w:r>
        <w:rPr>
          <w:rFonts w:eastAsia="Times New Roman" w:cstheme="minorHAnsi"/>
          <w:sz w:val="24"/>
          <w:szCs w:val="24"/>
          <w:lang w:eastAsia="en-GB"/>
        </w:rPr>
        <w:t>e</w:t>
      </w:r>
      <w:r w:rsidRPr="0020149D">
        <w:rPr>
          <w:rFonts w:eastAsia="Times New Roman" w:cstheme="minorHAnsi"/>
          <w:sz w:val="24"/>
          <w:szCs w:val="24"/>
          <w:lang w:eastAsia="en-GB"/>
        </w:rPr>
        <w:t xml:space="preserve"> the proposal introduces a direct ban on an activity</w:t>
      </w:r>
      <w:r>
        <w:rPr>
          <w:rFonts w:eastAsia="Times New Roman" w:cstheme="minorHAnsi"/>
          <w:sz w:val="24"/>
          <w:szCs w:val="24"/>
          <w:lang w:eastAsia="en-GB"/>
        </w:rPr>
        <w:t xml:space="preserve">, </w:t>
      </w:r>
      <w:r w:rsidRPr="0020149D">
        <w:rPr>
          <w:rFonts w:eastAsia="Times New Roman" w:cstheme="minorHAnsi"/>
          <w:sz w:val="24"/>
          <w:szCs w:val="24"/>
          <w:lang w:eastAsia="en-GB"/>
        </w:rPr>
        <w:t>result</w:t>
      </w:r>
      <w:r>
        <w:rPr>
          <w:rFonts w:eastAsia="Times New Roman" w:cstheme="minorHAnsi"/>
          <w:sz w:val="24"/>
          <w:szCs w:val="24"/>
          <w:lang w:eastAsia="en-GB"/>
        </w:rPr>
        <w:t>ing in a loss of</w:t>
      </w:r>
      <w:r w:rsidRPr="0020149D">
        <w:rPr>
          <w:rFonts w:eastAsia="Times New Roman" w:cstheme="minorHAnsi"/>
          <w:sz w:val="24"/>
          <w:szCs w:val="24"/>
          <w:lang w:eastAsia="en-GB"/>
        </w:rPr>
        <w:t xml:space="preserve"> profit to business. </w:t>
      </w:r>
      <w:r>
        <w:rPr>
          <w:rFonts w:eastAsia="Times New Roman" w:cstheme="minorHAnsi"/>
          <w:sz w:val="24"/>
          <w:szCs w:val="24"/>
          <w:lang w:eastAsia="en-GB"/>
        </w:rPr>
        <w:t>T</w:t>
      </w:r>
      <w:r w:rsidRPr="0020149D">
        <w:rPr>
          <w:rFonts w:eastAsia="Times New Roman" w:cstheme="minorHAnsi"/>
          <w:sz w:val="24"/>
          <w:szCs w:val="24"/>
          <w:lang w:eastAsia="en-GB"/>
        </w:rPr>
        <w:t xml:space="preserve">he ability of lawyers to attract customers, who would have used their service in return for an inducement, has now been banned. </w:t>
      </w:r>
      <w:r>
        <w:rPr>
          <w:rFonts w:eastAsia="Times New Roman" w:cstheme="minorHAnsi"/>
          <w:sz w:val="24"/>
          <w:szCs w:val="24"/>
          <w:lang w:eastAsia="en-GB"/>
        </w:rPr>
        <w:t>T</w:t>
      </w:r>
      <w:r w:rsidRPr="0020149D">
        <w:rPr>
          <w:rFonts w:eastAsia="Times New Roman" w:cstheme="minorHAnsi"/>
          <w:sz w:val="24"/>
          <w:szCs w:val="24"/>
          <w:lang w:eastAsia="en-GB"/>
        </w:rPr>
        <w:t>he lost profit to solicitors from a reduction in these cases should</w:t>
      </w:r>
      <w:r>
        <w:rPr>
          <w:rFonts w:eastAsia="Times New Roman" w:cstheme="minorHAnsi"/>
          <w:sz w:val="24"/>
          <w:szCs w:val="24"/>
          <w:lang w:eastAsia="en-GB"/>
        </w:rPr>
        <w:t>, therefore,</w:t>
      </w:r>
      <w:r w:rsidRPr="0020149D">
        <w:rPr>
          <w:rFonts w:eastAsia="Times New Roman" w:cstheme="minorHAnsi"/>
          <w:sz w:val="24"/>
          <w:szCs w:val="24"/>
          <w:lang w:eastAsia="en-GB"/>
        </w:rPr>
        <w:t xml:space="preserve"> be considered to be a dir</w:t>
      </w:r>
      <w:r w:rsidR="003674AE">
        <w:rPr>
          <w:rFonts w:eastAsia="Times New Roman" w:cstheme="minorHAnsi"/>
          <w:sz w:val="24"/>
          <w:szCs w:val="24"/>
          <w:lang w:eastAsia="en-GB"/>
        </w:rPr>
        <w:t>ect impact of the proposal.</w:t>
      </w:r>
    </w:p>
    <w:p w:rsidR="009D0BBE" w:rsidRPr="00207442" w:rsidRDefault="009D0BBE" w:rsidP="004409D4">
      <w:pPr>
        <w:spacing w:after="0"/>
      </w:pPr>
      <w:r w:rsidRPr="00207442">
        <w:rPr>
          <w:rFonts w:eastAsia="Times New Roman" w:cstheme="minorHAnsi"/>
          <w:sz w:val="24"/>
          <w:szCs w:val="24"/>
          <w:lang w:eastAsia="en-GB"/>
        </w:rPr>
        <w:t>See also case study ‘Standardised Packaging of Tobacco Products’.</w:t>
      </w:r>
    </w:p>
    <w:p w:rsidR="00BA6D02" w:rsidRDefault="00BA6D02" w:rsidP="009D0BBE">
      <w:pPr>
        <w:keepNext/>
        <w:keepLines/>
        <w:spacing w:before="200" w:after="240"/>
        <w:outlineLvl w:val="2"/>
        <w:rPr>
          <w:rFonts w:eastAsiaTheme="majorEastAsia" w:cstheme="minorHAnsi"/>
          <w:b/>
          <w:bCs/>
          <w:color w:val="E36C0A" w:themeColor="accent6" w:themeShade="BF"/>
          <w:sz w:val="26"/>
          <w:szCs w:val="26"/>
        </w:rPr>
      </w:pPr>
    </w:p>
    <w:p w:rsidR="009D0BBE" w:rsidRPr="00A97AFE" w:rsidRDefault="009D0BBE" w:rsidP="009D0BBE">
      <w:pPr>
        <w:keepNext/>
        <w:keepLines/>
        <w:spacing w:before="200" w:after="240"/>
        <w:outlineLvl w:val="2"/>
        <w:rPr>
          <w:rFonts w:eastAsiaTheme="majorEastAsia" w:cstheme="minorHAnsi"/>
          <w:b/>
          <w:bCs/>
          <w:color w:val="E36C0A" w:themeColor="accent6" w:themeShade="BF"/>
          <w:sz w:val="26"/>
          <w:szCs w:val="26"/>
        </w:rPr>
      </w:pPr>
      <w:r w:rsidRPr="00A97AFE">
        <w:rPr>
          <w:rFonts w:eastAsiaTheme="majorEastAsia" w:cstheme="minorHAnsi"/>
          <w:b/>
          <w:bCs/>
          <w:color w:val="E36C0A" w:themeColor="accent6" w:themeShade="BF"/>
          <w:sz w:val="26"/>
          <w:szCs w:val="26"/>
        </w:rPr>
        <w:t>Step 2 - Distinguish between first round and subsequent impacts</w:t>
      </w:r>
    </w:p>
    <w:p w:rsidR="009D0BBE" w:rsidRPr="00E96C4C" w:rsidRDefault="009D0BBE" w:rsidP="009D0BBE">
      <w:pPr>
        <w:rPr>
          <w:rFonts w:cstheme="minorHAnsi"/>
          <w:sz w:val="24"/>
          <w:szCs w:val="24"/>
        </w:rPr>
      </w:pPr>
      <w:r w:rsidRPr="00E96C4C">
        <w:rPr>
          <w:rFonts w:cstheme="minorHAnsi"/>
          <w:sz w:val="24"/>
          <w:szCs w:val="24"/>
        </w:rPr>
        <w:t>Immediate and unavoidable (first round) effects of a measure in the affected market are more likely to be direct. This could involve a shift in either the supply curve (</w:t>
      </w:r>
      <w:r>
        <w:rPr>
          <w:rFonts w:cstheme="minorHAnsi"/>
          <w:sz w:val="24"/>
          <w:szCs w:val="24"/>
        </w:rPr>
        <w:t>e.g.</w:t>
      </w:r>
      <w:r w:rsidRPr="00E96C4C">
        <w:rPr>
          <w:rFonts w:cstheme="minorHAnsi"/>
          <w:sz w:val="24"/>
          <w:szCs w:val="24"/>
        </w:rPr>
        <w:t xml:space="preserve"> due to a change in production costs) and/or demand curve (e.g. </w:t>
      </w:r>
      <w:r>
        <w:rPr>
          <w:rFonts w:cstheme="minorHAnsi"/>
          <w:sz w:val="24"/>
          <w:szCs w:val="24"/>
        </w:rPr>
        <w:t xml:space="preserve">from </w:t>
      </w:r>
      <w:r w:rsidRPr="00E96C4C">
        <w:rPr>
          <w:rFonts w:cstheme="minorHAnsi"/>
          <w:sz w:val="24"/>
          <w:szCs w:val="24"/>
        </w:rPr>
        <w:t>removing a restriction on purchasing a product) or a regulated change in the market price</w:t>
      </w:r>
      <w:r w:rsidRPr="00E96C4C">
        <w:rPr>
          <w:rFonts w:cstheme="minorHAnsi"/>
          <w:sz w:val="24"/>
          <w:szCs w:val="24"/>
          <w:vertAlign w:val="superscript"/>
        </w:rPr>
        <w:footnoteReference w:id="6"/>
      </w:r>
      <w:r w:rsidRPr="00E96C4C">
        <w:rPr>
          <w:rFonts w:cstheme="minorHAnsi"/>
          <w:sz w:val="24"/>
          <w:szCs w:val="24"/>
        </w:rPr>
        <w:t xml:space="preserve"> (e.g. </w:t>
      </w:r>
      <w:r>
        <w:rPr>
          <w:rFonts w:cstheme="minorHAnsi"/>
          <w:sz w:val="24"/>
          <w:szCs w:val="24"/>
        </w:rPr>
        <w:t xml:space="preserve">imposing </w:t>
      </w:r>
      <w:r w:rsidRPr="00E96C4C">
        <w:rPr>
          <w:rFonts w:cstheme="minorHAnsi"/>
          <w:sz w:val="24"/>
          <w:szCs w:val="24"/>
        </w:rPr>
        <w:t xml:space="preserve">a minimum price which moves </w:t>
      </w:r>
      <w:r>
        <w:rPr>
          <w:rFonts w:cstheme="minorHAnsi"/>
          <w:sz w:val="24"/>
          <w:szCs w:val="24"/>
        </w:rPr>
        <w:t xml:space="preserve">price </w:t>
      </w:r>
      <w:r w:rsidRPr="00E96C4C">
        <w:rPr>
          <w:rFonts w:cstheme="minorHAnsi"/>
          <w:sz w:val="24"/>
          <w:szCs w:val="24"/>
        </w:rPr>
        <w:t>away from the market clearing price).</w:t>
      </w:r>
    </w:p>
    <w:p w:rsidR="009D0BBE" w:rsidRPr="00E96C4C" w:rsidRDefault="009D0BBE" w:rsidP="009D0BBE">
      <w:pPr>
        <w:rPr>
          <w:rFonts w:cstheme="minorHAnsi"/>
          <w:sz w:val="24"/>
          <w:szCs w:val="24"/>
        </w:rPr>
      </w:pPr>
      <w:r w:rsidRPr="00E96C4C">
        <w:rPr>
          <w:rFonts w:cstheme="minorHAnsi"/>
          <w:sz w:val="24"/>
          <w:szCs w:val="24"/>
        </w:rPr>
        <w:t xml:space="preserve">Subsequent effects in the regulated market beyond the immediate implications of the measure are likely to be indirect. These effects occur subsequent to the adjustment to a new equilibrium immediately following the measure. For example, it could be the result of: </w:t>
      </w:r>
    </w:p>
    <w:p w:rsidR="009D0BBE" w:rsidRPr="00E96C4C" w:rsidRDefault="009D0BBE" w:rsidP="00CE5B54">
      <w:pPr>
        <w:numPr>
          <w:ilvl w:val="0"/>
          <w:numId w:val="6"/>
        </w:numPr>
        <w:contextualSpacing/>
        <w:rPr>
          <w:rFonts w:cstheme="minorHAnsi"/>
          <w:sz w:val="24"/>
          <w:szCs w:val="24"/>
        </w:rPr>
      </w:pPr>
      <w:r w:rsidRPr="00E96C4C">
        <w:rPr>
          <w:rFonts w:cstheme="minorHAnsi"/>
          <w:sz w:val="24"/>
          <w:szCs w:val="24"/>
        </w:rPr>
        <w:t xml:space="preserve">a significant reallocation of resources; </w:t>
      </w:r>
    </w:p>
    <w:p w:rsidR="009D0BBE" w:rsidRPr="00E96C4C" w:rsidRDefault="009D0BBE" w:rsidP="00CE5B54">
      <w:pPr>
        <w:numPr>
          <w:ilvl w:val="0"/>
          <w:numId w:val="6"/>
        </w:numPr>
        <w:contextualSpacing/>
        <w:rPr>
          <w:rFonts w:cstheme="minorHAnsi"/>
          <w:sz w:val="24"/>
          <w:szCs w:val="24"/>
        </w:rPr>
      </w:pPr>
      <w:r w:rsidRPr="00E96C4C">
        <w:rPr>
          <w:rFonts w:cstheme="minorHAnsi"/>
          <w:sz w:val="24"/>
          <w:szCs w:val="24"/>
        </w:rPr>
        <w:t>product and/or process innovation by existing businesses;</w:t>
      </w:r>
    </w:p>
    <w:p w:rsidR="009D0BBE" w:rsidRPr="00E96C4C" w:rsidRDefault="009D0BBE" w:rsidP="00CE5B54">
      <w:pPr>
        <w:numPr>
          <w:ilvl w:val="0"/>
          <w:numId w:val="6"/>
        </w:numPr>
        <w:contextualSpacing/>
        <w:rPr>
          <w:rFonts w:cstheme="minorHAnsi"/>
          <w:sz w:val="24"/>
          <w:szCs w:val="24"/>
        </w:rPr>
      </w:pPr>
      <w:r w:rsidRPr="00E96C4C">
        <w:rPr>
          <w:rFonts w:cstheme="minorHAnsi"/>
          <w:sz w:val="24"/>
          <w:szCs w:val="24"/>
        </w:rPr>
        <w:t xml:space="preserve">the creation of new firms/institutions; and/or </w:t>
      </w:r>
    </w:p>
    <w:p w:rsidR="009D0BBE" w:rsidRDefault="009D0BBE" w:rsidP="00CE5B54">
      <w:pPr>
        <w:numPr>
          <w:ilvl w:val="0"/>
          <w:numId w:val="6"/>
        </w:numPr>
        <w:contextualSpacing/>
        <w:rPr>
          <w:rFonts w:cstheme="minorHAnsi"/>
          <w:sz w:val="24"/>
          <w:szCs w:val="24"/>
        </w:rPr>
      </w:pPr>
      <w:proofErr w:type="gramStart"/>
      <w:r w:rsidRPr="00E96C4C">
        <w:rPr>
          <w:rFonts w:cstheme="minorHAnsi"/>
          <w:sz w:val="24"/>
          <w:szCs w:val="24"/>
        </w:rPr>
        <w:t>productivity</w:t>
      </w:r>
      <w:proofErr w:type="gramEnd"/>
      <w:r w:rsidRPr="00E96C4C">
        <w:rPr>
          <w:rFonts w:cstheme="minorHAnsi"/>
          <w:sz w:val="24"/>
          <w:szCs w:val="24"/>
        </w:rPr>
        <w:t xml:space="preserve"> gains due to changes in business models or working practices.</w:t>
      </w:r>
      <w:bookmarkStart w:id="3" w:name="_GoBack"/>
      <w:bookmarkEnd w:id="3"/>
    </w:p>
    <w:p w:rsidR="009D0BBE" w:rsidRDefault="009D0BBE" w:rsidP="009D0BBE">
      <w:pPr>
        <w:jc w:val="both"/>
        <w:rPr>
          <w:b/>
        </w:rPr>
      </w:pPr>
    </w:p>
    <w:p w:rsidR="009D0BBE" w:rsidRPr="00DA3490" w:rsidRDefault="009D0BBE" w:rsidP="009D0BBE">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b/>
          <w:sz w:val="24"/>
          <w:szCs w:val="24"/>
          <w:lang w:eastAsia="en-GB"/>
        </w:rPr>
      </w:pPr>
      <w:r w:rsidRPr="0020149D">
        <w:rPr>
          <w:rFonts w:eastAsia="Times New Roman" w:cstheme="minorHAnsi"/>
          <w:b/>
          <w:sz w:val="24"/>
          <w:szCs w:val="24"/>
          <w:lang w:eastAsia="en-GB"/>
        </w:rPr>
        <w:t>Proposed changes to Part L of the Building Reg</w:t>
      </w:r>
      <w:r>
        <w:rPr>
          <w:rFonts w:eastAsia="Times New Roman" w:cstheme="minorHAnsi"/>
          <w:b/>
          <w:sz w:val="24"/>
          <w:szCs w:val="24"/>
          <w:lang w:eastAsia="en-GB"/>
        </w:rPr>
        <w:t xml:space="preserve">ulations 2013 (RPC11-CLG-1130): </w:t>
      </w:r>
      <w:r w:rsidRPr="0020149D">
        <w:rPr>
          <w:rFonts w:eastAsia="Times New Roman" w:cstheme="minorHAnsi"/>
          <w:sz w:val="24"/>
          <w:szCs w:val="24"/>
          <w:lang w:eastAsia="en-GB"/>
        </w:rPr>
        <w:t xml:space="preserve">The policy amended the building regulations to increase energy efficiency standards. The measure imposed a cost </w:t>
      </w:r>
      <w:r>
        <w:rPr>
          <w:rFonts w:eastAsia="Times New Roman" w:cstheme="minorHAnsi"/>
          <w:sz w:val="24"/>
          <w:szCs w:val="24"/>
          <w:lang w:eastAsia="en-GB"/>
        </w:rPr>
        <w:t>on</w:t>
      </w:r>
      <w:r w:rsidRPr="0020149D">
        <w:rPr>
          <w:rFonts w:eastAsia="Times New Roman" w:cstheme="minorHAnsi"/>
          <w:sz w:val="24"/>
          <w:szCs w:val="24"/>
          <w:lang w:eastAsia="en-GB"/>
        </w:rPr>
        <w:t xml:space="preserve"> builders, but </w:t>
      </w:r>
      <w:r>
        <w:rPr>
          <w:rFonts w:eastAsia="Times New Roman" w:cstheme="minorHAnsi"/>
          <w:sz w:val="24"/>
          <w:szCs w:val="24"/>
          <w:lang w:eastAsia="en-GB"/>
        </w:rPr>
        <w:t>was</w:t>
      </w:r>
      <w:r w:rsidRPr="0020149D">
        <w:rPr>
          <w:rFonts w:eastAsia="Times New Roman" w:cstheme="minorHAnsi"/>
          <w:sz w:val="24"/>
          <w:szCs w:val="24"/>
          <w:lang w:eastAsia="en-GB"/>
        </w:rPr>
        <w:t xml:space="preserve"> benefi</w:t>
      </w:r>
      <w:r>
        <w:rPr>
          <w:rFonts w:eastAsia="Times New Roman" w:cstheme="minorHAnsi"/>
          <w:sz w:val="24"/>
          <w:szCs w:val="24"/>
          <w:lang w:eastAsia="en-GB"/>
        </w:rPr>
        <w:t>cial</w:t>
      </w:r>
      <w:r w:rsidRPr="0020149D">
        <w:rPr>
          <w:rFonts w:eastAsia="Times New Roman" w:cstheme="minorHAnsi"/>
          <w:sz w:val="24"/>
          <w:szCs w:val="24"/>
          <w:lang w:eastAsia="en-GB"/>
        </w:rPr>
        <w:t xml:space="preserve"> to the eventual occupants of buildings </w:t>
      </w:r>
      <w:r>
        <w:rPr>
          <w:rFonts w:eastAsia="Times New Roman" w:cstheme="minorHAnsi"/>
          <w:sz w:val="24"/>
          <w:szCs w:val="24"/>
          <w:lang w:eastAsia="en-GB"/>
        </w:rPr>
        <w:t xml:space="preserve">because </w:t>
      </w:r>
      <w:r w:rsidRPr="0020149D">
        <w:rPr>
          <w:rFonts w:eastAsia="Times New Roman" w:cstheme="minorHAnsi"/>
          <w:sz w:val="24"/>
          <w:szCs w:val="24"/>
          <w:lang w:eastAsia="en-GB"/>
        </w:rPr>
        <w:t>of lower heating costs. As the lower costs would be an automatic result of the more efficient buildings and not require a change in behaviour</w:t>
      </w:r>
      <w:r>
        <w:rPr>
          <w:rFonts w:eastAsia="Times New Roman" w:cstheme="minorHAnsi"/>
          <w:sz w:val="24"/>
          <w:szCs w:val="24"/>
          <w:lang w:eastAsia="en-GB"/>
        </w:rPr>
        <w:t>,</w:t>
      </w:r>
      <w:r w:rsidRPr="0020149D">
        <w:rPr>
          <w:rFonts w:eastAsia="Times New Roman" w:cstheme="minorHAnsi"/>
          <w:sz w:val="24"/>
          <w:szCs w:val="24"/>
          <w:lang w:eastAsia="en-GB"/>
        </w:rPr>
        <w:t xml:space="preserve"> they were considered to be direct. The policy was</w:t>
      </w:r>
      <w:r>
        <w:rPr>
          <w:rFonts w:eastAsia="Times New Roman" w:cstheme="minorHAnsi"/>
          <w:sz w:val="24"/>
          <w:szCs w:val="24"/>
          <w:lang w:eastAsia="en-GB"/>
        </w:rPr>
        <w:t>,</w:t>
      </w:r>
      <w:r w:rsidRPr="0020149D">
        <w:rPr>
          <w:rFonts w:eastAsia="Times New Roman" w:cstheme="minorHAnsi"/>
          <w:sz w:val="24"/>
          <w:szCs w:val="24"/>
          <w:lang w:eastAsia="en-GB"/>
        </w:rPr>
        <w:t xml:space="preserve"> therefore</w:t>
      </w:r>
      <w:r>
        <w:rPr>
          <w:rFonts w:eastAsia="Times New Roman" w:cstheme="minorHAnsi"/>
          <w:sz w:val="24"/>
          <w:szCs w:val="24"/>
          <w:lang w:eastAsia="en-GB"/>
        </w:rPr>
        <w:t>,</w:t>
      </w:r>
      <w:r w:rsidRPr="0020149D">
        <w:rPr>
          <w:rFonts w:eastAsia="Times New Roman" w:cstheme="minorHAnsi"/>
          <w:sz w:val="24"/>
          <w:szCs w:val="24"/>
          <w:lang w:eastAsia="en-GB"/>
        </w:rPr>
        <w:t xml:space="preserve"> considered to be zero net cost </w:t>
      </w:r>
      <w:r>
        <w:rPr>
          <w:rFonts w:eastAsia="Times New Roman" w:cstheme="minorHAnsi"/>
          <w:sz w:val="24"/>
          <w:szCs w:val="24"/>
          <w:lang w:eastAsia="en-GB"/>
        </w:rPr>
        <w:t xml:space="preserve">under OITO, </w:t>
      </w:r>
      <w:r w:rsidRPr="0020149D">
        <w:rPr>
          <w:rFonts w:eastAsia="Times New Roman" w:cstheme="minorHAnsi"/>
          <w:sz w:val="24"/>
          <w:szCs w:val="24"/>
          <w:lang w:eastAsia="en-GB"/>
        </w:rPr>
        <w:t>as the energy savings to non-domestic consumers were expected to exceed the costs to developers. (</w:t>
      </w:r>
      <w:hyperlink r:id="rId32" w:history="1">
        <w:r w:rsidRPr="000D15FA">
          <w:rPr>
            <w:rStyle w:val="Hyperlink"/>
            <w:rFonts w:eastAsia="Times New Roman" w:cstheme="minorHAnsi"/>
            <w:sz w:val="24"/>
            <w:szCs w:val="24"/>
            <w:lang w:eastAsia="en-GB"/>
          </w:rPr>
          <w:t>IA</w:t>
        </w:r>
      </w:hyperlink>
      <w:r w:rsidRPr="0020149D">
        <w:rPr>
          <w:rFonts w:eastAsia="Times New Roman" w:cstheme="minorHAnsi"/>
          <w:sz w:val="24"/>
          <w:szCs w:val="24"/>
          <w:lang w:eastAsia="en-GB"/>
        </w:rPr>
        <w:t>) (</w:t>
      </w:r>
      <w:hyperlink r:id="rId33" w:history="1">
        <w:r w:rsidRPr="000D15FA">
          <w:rPr>
            <w:rStyle w:val="Hyperlink"/>
            <w:rFonts w:eastAsia="Times New Roman" w:cstheme="minorHAnsi"/>
            <w:sz w:val="24"/>
            <w:szCs w:val="24"/>
            <w:lang w:eastAsia="en-GB"/>
          </w:rPr>
          <w:t>Opinion</w:t>
        </w:r>
      </w:hyperlink>
      <w:r w:rsidRPr="0020149D">
        <w:rPr>
          <w:rFonts w:eastAsia="Times New Roman" w:cstheme="minorHAnsi"/>
          <w:sz w:val="24"/>
          <w:szCs w:val="24"/>
          <w:lang w:eastAsia="en-GB"/>
        </w:rPr>
        <w:t>)</w:t>
      </w:r>
    </w:p>
    <w:p w:rsidR="00BA6D02" w:rsidRDefault="00BA6D02" w:rsidP="009D0BBE">
      <w:pPr>
        <w:rPr>
          <w:b/>
        </w:rPr>
      </w:pPr>
    </w:p>
    <w:p w:rsidR="009D0BBE" w:rsidRPr="00DA3490" w:rsidRDefault="009D0BBE" w:rsidP="009D0BBE">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b/>
          <w:sz w:val="24"/>
          <w:szCs w:val="24"/>
          <w:lang w:eastAsia="en-GB"/>
        </w:rPr>
      </w:pPr>
      <w:r w:rsidRPr="005E1706">
        <w:rPr>
          <w:rFonts w:eastAsia="Times New Roman" w:cstheme="minorHAnsi"/>
          <w:b/>
          <w:sz w:val="24"/>
          <w:szCs w:val="24"/>
          <w:lang w:eastAsia="en-GB"/>
        </w:rPr>
        <w:t>Amendment to the Energy Act 2008 Powers to Implement and Direct the Rollout of Smart Meters (RPC10-DECC-0558)</w:t>
      </w:r>
      <w:r>
        <w:rPr>
          <w:rFonts w:eastAsia="Times New Roman" w:cstheme="minorHAnsi"/>
          <w:b/>
          <w:sz w:val="24"/>
          <w:szCs w:val="24"/>
          <w:lang w:eastAsia="en-GB"/>
        </w:rPr>
        <w:t xml:space="preserve">: </w:t>
      </w:r>
      <w:r w:rsidRPr="0020149D">
        <w:rPr>
          <w:rFonts w:eastAsia="Times New Roman" w:cstheme="minorHAnsi"/>
          <w:sz w:val="24"/>
          <w:szCs w:val="24"/>
          <w:lang w:eastAsia="en-GB"/>
        </w:rPr>
        <w:t>Smart meters are a new form of gas and electricity meter that provide the customer with more information about their energy use. The smart meter also provides the supplier with more information</w:t>
      </w:r>
      <w:r>
        <w:rPr>
          <w:rFonts w:eastAsia="Times New Roman" w:cstheme="minorHAnsi"/>
          <w:sz w:val="24"/>
          <w:szCs w:val="24"/>
          <w:lang w:eastAsia="en-GB"/>
        </w:rPr>
        <w:t>,</w:t>
      </w:r>
      <w:r w:rsidRPr="0020149D">
        <w:rPr>
          <w:rFonts w:eastAsia="Times New Roman" w:cstheme="minorHAnsi"/>
          <w:sz w:val="24"/>
          <w:szCs w:val="24"/>
          <w:lang w:eastAsia="en-GB"/>
        </w:rPr>
        <w:t xml:space="preserve"> allowing for more targeted tariffs. The policy </w:t>
      </w:r>
      <w:r w:rsidRPr="0020149D">
        <w:rPr>
          <w:rFonts w:eastAsia="Times New Roman" w:cstheme="minorHAnsi"/>
          <w:sz w:val="24"/>
          <w:szCs w:val="24"/>
          <w:lang w:eastAsia="en-GB"/>
        </w:rPr>
        <w:lastRenderedPageBreak/>
        <w:t xml:space="preserve">was to </w:t>
      </w:r>
      <w:r>
        <w:rPr>
          <w:rFonts w:eastAsia="Times New Roman" w:cstheme="minorHAnsi"/>
          <w:sz w:val="24"/>
          <w:szCs w:val="24"/>
          <w:lang w:eastAsia="en-GB"/>
        </w:rPr>
        <w:t>mandate</w:t>
      </w:r>
      <w:r w:rsidRPr="0020149D">
        <w:rPr>
          <w:rFonts w:eastAsia="Times New Roman" w:cstheme="minorHAnsi"/>
          <w:sz w:val="24"/>
          <w:szCs w:val="24"/>
          <w:lang w:eastAsia="en-GB"/>
        </w:rPr>
        <w:t xml:space="preserve"> the roll out of smart meters. If smart meters result in more efficient use of energy</w:t>
      </w:r>
      <w:r>
        <w:rPr>
          <w:rFonts w:eastAsia="Times New Roman" w:cstheme="minorHAnsi"/>
          <w:sz w:val="24"/>
          <w:szCs w:val="24"/>
          <w:lang w:eastAsia="en-GB"/>
        </w:rPr>
        <w:t>,</w:t>
      </w:r>
      <w:r w:rsidRPr="0020149D">
        <w:rPr>
          <w:rFonts w:eastAsia="Times New Roman" w:cstheme="minorHAnsi"/>
          <w:sz w:val="24"/>
          <w:szCs w:val="24"/>
          <w:lang w:eastAsia="en-GB"/>
        </w:rPr>
        <w:t xml:space="preserve"> this could have large benefits for business users. However, these benefits were considered </w:t>
      </w:r>
      <w:r>
        <w:rPr>
          <w:rFonts w:eastAsia="Times New Roman" w:cstheme="minorHAnsi"/>
          <w:sz w:val="24"/>
          <w:szCs w:val="24"/>
          <w:lang w:eastAsia="en-GB"/>
        </w:rPr>
        <w:t xml:space="preserve">to be </w:t>
      </w:r>
      <w:r w:rsidRPr="0020149D">
        <w:rPr>
          <w:rFonts w:eastAsia="Times New Roman" w:cstheme="minorHAnsi"/>
          <w:sz w:val="24"/>
          <w:szCs w:val="24"/>
          <w:lang w:eastAsia="en-GB"/>
        </w:rPr>
        <w:t xml:space="preserve">indirect </w:t>
      </w:r>
      <w:r>
        <w:rPr>
          <w:rFonts w:eastAsia="Times New Roman" w:cstheme="minorHAnsi"/>
          <w:sz w:val="24"/>
          <w:szCs w:val="24"/>
          <w:lang w:eastAsia="en-GB"/>
        </w:rPr>
        <w:t>bec</w:t>
      </w:r>
      <w:r w:rsidRPr="0020149D">
        <w:rPr>
          <w:rFonts w:eastAsia="Times New Roman" w:cstheme="minorHAnsi"/>
          <w:sz w:val="24"/>
          <w:szCs w:val="24"/>
          <w:lang w:eastAsia="en-GB"/>
        </w:rPr>
        <w:t>a</w:t>
      </w:r>
      <w:r>
        <w:rPr>
          <w:rFonts w:eastAsia="Times New Roman" w:cstheme="minorHAnsi"/>
          <w:sz w:val="24"/>
          <w:szCs w:val="24"/>
          <w:lang w:eastAsia="en-GB"/>
        </w:rPr>
        <w:t>u</w:t>
      </w:r>
      <w:r w:rsidRPr="0020149D">
        <w:rPr>
          <w:rFonts w:eastAsia="Times New Roman" w:cstheme="minorHAnsi"/>
          <w:sz w:val="24"/>
          <w:szCs w:val="24"/>
          <w:lang w:eastAsia="en-GB"/>
        </w:rPr>
        <w:t>s</w:t>
      </w:r>
      <w:r>
        <w:rPr>
          <w:rFonts w:eastAsia="Times New Roman" w:cstheme="minorHAnsi"/>
          <w:sz w:val="24"/>
          <w:szCs w:val="24"/>
          <w:lang w:eastAsia="en-GB"/>
        </w:rPr>
        <w:t>e</w:t>
      </w:r>
      <w:r w:rsidRPr="0020149D">
        <w:rPr>
          <w:rFonts w:eastAsia="Times New Roman" w:cstheme="minorHAnsi"/>
          <w:sz w:val="24"/>
          <w:szCs w:val="24"/>
          <w:lang w:eastAsia="en-GB"/>
        </w:rPr>
        <w:t xml:space="preserve"> they result only if business customers choose to act on the information and change their behaviour, rather than as a direct result of having a smart meter.  This case is purely about giving customers more information on which they can choose whether or not to act. </w:t>
      </w:r>
      <w:r>
        <w:rPr>
          <w:rFonts w:eastAsia="Times New Roman" w:cstheme="minorHAnsi"/>
          <w:sz w:val="24"/>
          <w:szCs w:val="24"/>
          <w:lang w:eastAsia="en-GB"/>
        </w:rPr>
        <w:t xml:space="preserve"> T</w:t>
      </w:r>
      <w:r w:rsidRPr="0020149D">
        <w:rPr>
          <w:rFonts w:eastAsia="Times New Roman" w:cstheme="minorHAnsi"/>
          <w:sz w:val="24"/>
          <w:szCs w:val="24"/>
          <w:lang w:eastAsia="en-GB"/>
        </w:rPr>
        <w:t xml:space="preserve">he required behavioural change </w:t>
      </w:r>
      <w:r>
        <w:rPr>
          <w:rFonts w:eastAsia="Times New Roman" w:cstheme="minorHAnsi"/>
          <w:sz w:val="24"/>
          <w:szCs w:val="24"/>
          <w:lang w:eastAsia="en-GB"/>
        </w:rPr>
        <w:t>was, therefore, considered to be an indirect effect.</w:t>
      </w:r>
      <w:r w:rsidRPr="0020149D">
        <w:rPr>
          <w:rFonts w:eastAsia="Times New Roman" w:cstheme="minorHAnsi"/>
          <w:sz w:val="24"/>
          <w:szCs w:val="24"/>
          <w:lang w:eastAsia="en-GB"/>
        </w:rPr>
        <w:t xml:space="preserve"> </w:t>
      </w:r>
    </w:p>
    <w:p w:rsidR="009D0BBE" w:rsidRDefault="009D0BBE" w:rsidP="009D0BBE">
      <w:pPr>
        <w:rPr>
          <w:rFonts w:eastAsia="Times New Roman" w:cstheme="minorHAnsi"/>
          <w:color w:val="000000" w:themeColor="text1"/>
          <w:sz w:val="24"/>
          <w:szCs w:val="24"/>
          <w:u w:val="single"/>
          <w:lang w:eastAsia="en-GB"/>
        </w:rPr>
      </w:pPr>
    </w:p>
    <w:p w:rsidR="009D0BBE" w:rsidRPr="00A97AFE" w:rsidRDefault="009D0BBE" w:rsidP="009D0BBE">
      <w:pPr>
        <w:keepNext/>
        <w:keepLines/>
        <w:spacing w:before="200" w:after="240"/>
        <w:outlineLvl w:val="2"/>
        <w:rPr>
          <w:rFonts w:eastAsiaTheme="majorEastAsia" w:cstheme="minorHAnsi"/>
          <w:b/>
          <w:bCs/>
          <w:color w:val="E36C0A" w:themeColor="accent6" w:themeShade="BF"/>
          <w:sz w:val="26"/>
          <w:szCs w:val="26"/>
        </w:rPr>
      </w:pPr>
      <w:r w:rsidRPr="00A97AFE">
        <w:rPr>
          <w:rFonts w:eastAsiaTheme="majorEastAsia" w:cstheme="minorHAnsi"/>
          <w:b/>
          <w:bCs/>
          <w:color w:val="E36C0A" w:themeColor="accent6" w:themeShade="BF"/>
          <w:sz w:val="26"/>
          <w:szCs w:val="26"/>
        </w:rPr>
        <w:t>Step 3 – Identify whether the impact is a partial equilibrium or general equilibrium effect</w:t>
      </w:r>
    </w:p>
    <w:p w:rsidR="009D0BBE" w:rsidRPr="00E96C4C" w:rsidRDefault="009D0BBE" w:rsidP="009D0BBE">
      <w:pPr>
        <w:rPr>
          <w:rFonts w:cstheme="minorHAnsi"/>
          <w:bCs/>
          <w:sz w:val="24"/>
          <w:szCs w:val="24"/>
        </w:rPr>
      </w:pPr>
      <w:r w:rsidRPr="00E96C4C">
        <w:rPr>
          <w:rFonts w:cstheme="minorHAnsi"/>
          <w:sz w:val="24"/>
          <w:szCs w:val="24"/>
        </w:rPr>
        <w:t xml:space="preserve">Next, departments should reflect on whether economists would consider the impact to be a partial equilibrium or general equilibrium effect. </w:t>
      </w:r>
      <w:r w:rsidRPr="00E96C4C">
        <w:rPr>
          <w:rFonts w:cstheme="minorHAnsi"/>
          <w:bCs/>
          <w:sz w:val="24"/>
          <w:szCs w:val="24"/>
        </w:rPr>
        <w:t>Partial equilibrium effects occur in the regulated market. General equilibrium effects are in related markets and/or the wider economy</w:t>
      </w:r>
      <w:r>
        <w:rPr>
          <w:rFonts w:cstheme="minorHAnsi"/>
          <w:bCs/>
          <w:sz w:val="24"/>
          <w:szCs w:val="24"/>
        </w:rPr>
        <w:t>,</w:t>
      </w:r>
      <w:r w:rsidRPr="00E96C4C">
        <w:rPr>
          <w:rFonts w:cstheme="minorHAnsi"/>
          <w:bCs/>
          <w:sz w:val="24"/>
          <w:szCs w:val="24"/>
        </w:rPr>
        <w:t xml:space="preserve"> </w:t>
      </w:r>
      <w:r>
        <w:rPr>
          <w:rFonts w:cstheme="minorHAnsi"/>
          <w:bCs/>
          <w:sz w:val="24"/>
          <w:szCs w:val="24"/>
        </w:rPr>
        <w:t>coming</w:t>
      </w:r>
      <w:r w:rsidRPr="00E96C4C">
        <w:rPr>
          <w:rFonts w:cstheme="minorHAnsi"/>
          <w:bCs/>
          <w:sz w:val="24"/>
          <w:szCs w:val="24"/>
        </w:rPr>
        <w:t xml:space="preserve"> from first round effects in the regulated market that are sufficiently large to result in changes in other markets. Therefore, cost</w:t>
      </w:r>
      <w:r>
        <w:rPr>
          <w:rFonts w:cstheme="minorHAnsi"/>
          <w:bCs/>
          <w:sz w:val="24"/>
          <w:szCs w:val="24"/>
        </w:rPr>
        <w:t>,</w:t>
      </w:r>
      <w:r w:rsidRPr="00E96C4C">
        <w:rPr>
          <w:rFonts w:cstheme="minorHAnsi"/>
          <w:bCs/>
          <w:sz w:val="24"/>
          <w:szCs w:val="24"/>
        </w:rPr>
        <w:t xml:space="preserve"> price and/or quantity effects that occur in related markets or the wider economy as a result of changes in the regulated market are second round, general equilibrium effects and, therefore, indirect and </w:t>
      </w:r>
      <w:r>
        <w:rPr>
          <w:rFonts w:cstheme="minorHAnsi"/>
          <w:bCs/>
          <w:sz w:val="24"/>
          <w:szCs w:val="24"/>
        </w:rPr>
        <w:t>non-qualifying against</w:t>
      </w:r>
      <w:r w:rsidRPr="00E96C4C">
        <w:rPr>
          <w:rFonts w:cstheme="minorHAnsi"/>
          <w:bCs/>
          <w:sz w:val="24"/>
          <w:szCs w:val="24"/>
        </w:rPr>
        <w:t xml:space="preserve"> the business impact target.</w:t>
      </w:r>
    </w:p>
    <w:p w:rsidR="009D0BBE" w:rsidRPr="00A97AFE" w:rsidRDefault="009D0BBE" w:rsidP="009D0BBE">
      <w:pPr>
        <w:keepNext/>
        <w:keepLines/>
        <w:spacing w:before="200" w:after="240"/>
        <w:outlineLvl w:val="2"/>
        <w:rPr>
          <w:rFonts w:eastAsiaTheme="majorEastAsia" w:cstheme="minorHAnsi"/>
          <w:b/>
          <w:bCs/>
          <w:color w:val="E36C0A" w:themeColor="accent6" w:themeShade="BF"/>
          <w:sz w:val="26"/>
          <w:szCs w:val="26"/>
        </w:rPr>
      </w:pPr>
      <w:bookmarkStart w:id="4" w:name="_Toc469485879"/>
      <w:r w:rsidRPr="00A97AFE">
        <w:rPr>
          <w:rFonts w:eastAsiaTheme="majorEastAsia" w:cstheme="minorHAnsi"/>
          <w:b/>
          <w:bCs/>
          <w:color w:val="E36C0A" w:themeColor="accent6" w:themeShade="BF"/>
          <w:sz w:val="26"/>
          <w:szCs w:val="26"/>
        </w:rPr>
        <w:t>Step 4 – Consider whether the direct impact is counter-intuitive</w:t>
      </w:r>
      <w:bookmarkEnd w:id="4"/>
    </w:p>
    <w:p w:rsidR="009D0BBE" w:rsidRPr="00E96C4C" w:rsidRDefault="009D0BBE" w:rsidP="009D0BBE">
      <w:pPr>
        <w:rPr>
          <w:rFonts w:cstheme="minorHAnsi"/>
          <w:sz w:val="24"/>
          <w:szCs w:val="24"/>
        </w:rPr>
      </w:pPr>
      <w:r w:rsidRPr="00E96C4C">
        <w:rPr>
          <w:rFonts w:cstheme="minorHAnsi"/>
          <w:sz w:val="24"/>
          <w:szCs w:val="24"/>
        </w:rPr>
        <w:t>A final consideration is whether the net direct impact on business is counter-intuitive. For example, can it be supported by relevant market data and/or a defensible “theory of change” specifying the steps between the regulatory measure and the anticipated impacts?</w:t>
      </w:r>
    </w:p>
    <w:p w:rsidR="009D0BBE" w:rsidRDefault="009D0BBE" w:rsidP="009D0BBE">
      <w:pPr>
        <w:spacing w:after="0"/>
        <w:rPr>
          <w:rFonts w:cstheme="minorHAnsi"/>
          <w:sz w:val="24"/>
          <w:szCs w:val="24"/>
        </w:rPr>
      </w:pPr>
      <w:r w:rsidRPr="00E96C4C">
        <w:rPr>
          <w:rFonts w:cstheme="minorHAnsi"/>
          <w:sz w:val="24"/>
          <w:szCs w:val="24"/>
        </w:rPr>
        <w:t xml:space="preserve">An example of this would be a regulatory measure that is widely agreed to be detrimental to business </w:t>
      </w:r>
      <w:r>
        <w:rPr>
          <w:rFonts w:cstheme="minorHAnsi"/>
          <w:sz w:val="24"/>
          <w:szCs w:val="24"/>
        </w:rPr>
        <w:t>being</w:t>
      </w:r>
      <w:r w:rsidRPr="00E96C4C">
        <w:rPr>
          <w:rFonts w:cstheme="minorHAnsi"/>
          <w:sz w:val="24"/>
          <w:szCs w:val="24"/>
        </w:rPr>
        <w:t xml:space="preserve"> assessed as having direct net benefits</w:t>
      </w:r>
      <w:r>
        <w:rPr>
          <w:rFonts w:cstheme="minorHAnsi"/>
          <w:sz w:val="24"/>
          <w:szCs w:val="24"/>
        </w:rPr>
        <w:t>. This</w:t>
      </w:r>
      <w:r w:rsidRPr="00E96C4C">
        <w:rPr>
          <w:rFonts w:cstheme="minorHAnsi"/>
          <w:sz w:val="24"/>
          <w:szCs w:val="24"/>
        </w:rPr>
        <w:t xml:space="preserve"> would provide </w:t>
      </w:r>
      <w:r w:rsidRPr="00D6467B">
        <w:rPr>
          <w:rFonts w:cstheme="minorHAnsi"/>
          <w:i/>
          <w:sz w:val="24"/>
          <w:szCs w:val="24"/>
        </w:rPr>
        <w:t>prima facie</w:t>
      </w:r>
      <w:r w:rsidRPr="00E96C4C">
        <w:rPr>
          <w:rFonts w:cstheme="minorHAnsi"/>
          <w:sz w:val="24"/>
          <w:szCs w:val="24"/>
        </w:rPr>
        <w:t xml:space="preserve"> evidence to look again at the direct/indirect </w:t>
      </w:r>
      <w:r>
        <w:rPr>
          <w:rFonts w:cstheme="minorHAnsi"/>
          <w:sz w:val="24"/>
          <w:szCs w:val="24"/>
        </w:rPr>
        <w:t>classification</w:t>
      </w:r>
      <w:r w:rsidRPr="00E96C4C">
        <w:rPr>
          <w:rFonts w:cstheme="minorHAnsi"/>
          <w:sz w:val="24"/>
          <w:szCs w:val="24"/>
        </w:rPr>
        <w:t xml:space="preserve">. However, </w:t>
      </w:r>
      <w:r>
        <w:rPr>
          <w:rFonts w:cstheme="minorHAnsi"/>
          <w:sz w:val="24"/>
          <w:szCs w:val="24"/>
        </w:rPr>
        <w:t xml:space="preserve">departments should not, of course, seek to define policy objectives in a way that is intended to influence the classification of the impacts into direct or indirect. </w:t>
      </w:r>
    </w:p>
    <w:p w:rsidR="009D0BBE" w:rsidRPr="00406297" w:rsidRDefault="009D0BBE" w:rsidP="009D0BBE">
      <w:pPr>
        <w:spacing w:after="0"/>
        <w:rPr>
          <w:rFonts w:cstheme="minorHAnsi"/>
          <w:sz w:val="24"/>
          <w:szCs w:val="24"/>
        </w:rPr>
      </w:pPr>
    </w:p>
    <w:p w:rsidR="009D0BBE" w:rsidRPr="00DA3490" w:rsidRDefault="009D0BBE" w:rsidP="009D0BBE">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b/>
          <w:sz w:val="24"/>
          <w:szCs w:val="24"/>
          <w:lang w:eastAsia="en-GB"/>
        </w:rPr>
      </w:pPr>
      <w:r w:rsidRPr="0020149D">
        <w:rPr>
          <w:rFonts w:eastAsia="Times New Roman" w:cstheme="minorHAnsi"/>
          <w:b/>
          <w:sz w:val="24"/>
          <w:szCs w:val="24"/>
          <w:lang w:eastAsia="en-GB"/>
        </w:rPr>
        <w:t>Standardised Packaging of Tobacco Products (RPC12-DH-1229)</w:t>
      </w:r>
      <w:r>
        <w:rPr>
          <w:rFonts w:eastAsia="Times New Roman" w:cstheme="minorHAnsi"/>
          <w:b/>
          <w:sz w:val="24"/>
          <w:szCs w:val="24"/>
          <w:lang w:eastAsia="en-GB"/>
        </w:rPr>
        <w:t>:</w:t>
      </w:r>
      <w:r w:rsidRPr="0020149D">
        <w:rPr>
          <w:rFonts w:eastAsia="Times New Roman" w:cstheme="minorHAnsi"/>
          <w:b/>
          <w:sz w:val="24"/>
          <w:szCs w:val="24"/>
          <w:lang w:eastAsia="en-GB"/>
        </w:rPr>
        <w:t xml:space="preserve"> </w:t>
      </w:r>
      <w:r w:rsidRPr="0020149D">
        <w:rPr>
          <w:rFonts w:eastAsia="Times New Roman" w:cstheme="minorHAnsi"/>
          <w:sz w:val="24"/>
          <w:szCs w:val="24"/>
          <w:lang w:eastAsia="en-GB"/>
        </w:rPr>
        <w:t xml:space="preserve">This proposal aims to reduce tobacco consumption by mandating the standardisation of tobacco pack colour, shape and the removal of all branding except brand name in a standardised type face. In this case, the impact of the loss of profit to manufacturers and retailers is direct as it: restricts economic activity from use of branding, prohibits a form of promotional activity; and has </w:t>
      </w:r>
      <w:r>
        <w:rPr>
          <w:rFonts w:eastAsia="Times New Roman" w:cstheme="minorHAnsi"/>
          <w:sz w:val="24"/>
          <w:szCs w:val="24"/>
          <w:lang w:eastAsia="en-GB"/>
        </w:rPr>
        <w:t xml:space="preserve">a </w:t>
      </w:r>
      <w:r w:rsidRPr="0020149D">
        <w:rPr>
          <w:rFonts w:eastAsia="Times New Roman" w:cstheme="minorHAnsi"/>
          <w:sz w:val="24"/>
          <w:szCs w:val="24"/>
          <w:lang w:eastAsia="en-GB"/>
        </w:rPr>
        <w:t xml:space="preserve">reduction </w:t>
      </w:r>
      <w:r>
        <w:rPr>
          <w:rFonts w:eastAsia="Times New Roman" w:cstheme="minorHAnsi"/>
          <w:sz w:val="24"/>
          <w:szCs w:val="24"/>
          <w:lang w:eastAsia="en-GB"/>
        </w:rPr>
        <w:t xml:space="preserve">in </w:t>
      </w:r>
      <w:r w:rsidRPr="0020149D">
        <w:rPr>
          <w:rFonts w:eastAsia="Times New Roman" w:cstheme="minorHAnsi"/>
          <w:sz w:val="24"/>
          <w:szCs w:val="24"/>
          <w:lang w:eastAsia="en-GB"/>
        </w:rPr>
        <w:t xml:space="preserve">cigarette consumption of cigarettes as </w:t>
      </w:r>
      <w:r>
        <w:rPr>
          <w:rFonts w:eastAsia="Times New Roman" w:cstheme="minorHAnsi"/>
          <w:sz w:val="24"/>
          <w:szCs w:val="24"/>
          <w:lang w:eastAsia="en-GB"/>
        </w:rPr>
        <w:t>its</w:t>
      </w:r>
      <w:r w:rsidRPr="0020149D">
        <w:rPr>
          <w:rFonts w:eastAsia="Times New Roman" w:cstheme="minorHAnsi"/>
          <w:sz w:val="24"/>
          <w:szCs w:val="24"/>
          <w:lang w:eastAsia="en-GB"/>
        </w:rPr>
        <w:t xml:space="preserve"> primary objective. If loss of profits was considered </w:t>
      </w:r>
      <w:r>
        <w:rPr>
          <w:rFonts w:eastAsia="Times New Roman" w:cstheme="minorHAnsi"/>
          <w:sz w:val="24"/>
          <w:szCs w:val="24"/>
          <w:lang w:eastAsia="en-GB"/>
        </w:rPr>
        <w:t xml:space="preserve">as </w:t>
      </w:r>
      <w:r w:rsidRPr="0020149D">
        <w:rPr>
          <w:rFonts w:eastAsia="Times New Roman" w:cstheme="minorHAnsi"/>
          <w:sz w:val="24"/>
          <w:szCs w:val="24"/>
          <w:lang w:eastAsia="en-GB"/>
        </w:rPr>
        <w:t>an indirect cost, this would score as net beneficial to tobacco companies</w:t>
      </w:r>
      <w:r>
        <w:rPr>
          <w:rFonts w:eastAsia="Times New Roman" w:cstheme="minorHAnsi"/>
          <w:sz w:val="24"/>
          <w:szCs w:val="24"/>
          <w:lang w:eastAsia="en-GB"/>
        </w:rPr>
        <w:t xml:space="preserve"> (due to ongoing savings in the production of packaging)</w:t>
      </w:r>
      <w:r w:rsidRPr="0020149D">
        <w:rPr>
          <w:rFonts w:eastAsia="Times New Roman" w:cstheme="minorHAnsi"/>
          <w:sz w:val="24"/>
          <w:szCs w:val="24"/>
          <w:lang w:eastAsia="en-GB"/>
        </w:rPr>
        <w:t>, which would be a counter-intuitive outcome. (</w:t>
      </w:r>
      <w:hyperlink r:id="rId34" w:history="1">
        <w:r w:rsidR="00C3680D" w:rsidRPr="00C3680D">
          <w:rPr>
            <w:rStyle w:val="Hyperlink"/>
            <w:rFonts w:eastAsia="Times New Roman" w:cstheme="minorHAnsi"/>
            <w:sz w:val="24"/>
            <w:szCs w:val="24"/>
            <w:lang w:eastAsia="en-GB"/>
          </w:rPr>
          <w:t>Opinion</w:t>
        </w:r>
      </w:hyperlink>
      <w:r w:rsidR="00C3680D">
        <w:rPr>
          <w:rFonts w:eastAsia="Times New Roman" w:cstheme="minorHAnsi"/>
          <w:sz w:val="24"/>
          <w:szCs w:val="24"/>
          <w:lang w:eastAsia="en-GB"/>
        </w:rPr>
        <w:t>)</w:t>
      </w:r>
    </w:p>
    <w:p w:rsidR="009D0BBE" w:rsidRPr="00A97AFE" w:rsidRDefault="009D0BBE" w:rsidP="009D0BBE">
      <w:pPr>
        <w:keepNext/>
        <w:keepLines/>
        <w:spacing w:before="200" w:after="240"/>
        <w:outlineLvl w:val="2"/>
        <w:rPr>
          <w:rFonts w:eastAsiaTheme="majorEastAsia" w:cstheme="minorHAnsi"/>
          <w:b/>
          <w:bCs/>
          <w:color w:val="E36C0A" w:themeColor="accent6" w:themeShade="BF"/>
          <w:sz w:val="26"/>
          <w:szCs w:val="26"/>
        </w:rPr>
      </w:pPr>
      <w:bookmarkStart w:id="5" w:name="_Toc469485880"/>
      <w:r>
        <w:rPr>
          <w:rFonts w:eastAsiaTheme="majorEastAsia" w:cstheme="minorHAnsi"/>
          <w:b/>
          <w:bCs/>
          <w:color w:val="E36C0A" w:themeColor="accent6" w:themeShade="BF"/>
          <w:sz w:val="26"/>
          <w:szCs w:val="26"/>
        </w:rPr>
        <w:lastRenderedPageBreak/>
        <w:t>Step 5 – Consider whether the impact is ‘pass through’</w:t>
      </w:r>
      <w:bookmarkEnd w:id="5"/>
    </w:p>
    <w:p w:rsidR="009D0BBE" w:rsidRPr="00B81C84" w:rsidRDefault="009D0BBE" w:rsidP="009D0BBE">
      <w:pPr>
        <w:rPr>
          <w:rFonts w:eastAsia="Times New Roman" w:cstheme="minorHAnsi"/>
          <w:color w:val="000000" w:themeColor="text1"/>
          <w:sz w:val="24"/>
          <w:szCs w:val="24"/>
          <w:u w:val="single"/>
          <w:lang w:eastAsia="en-GB"/>
        </w:rPr>
      </w:pPr>
      <w:r w:rsidRPr="004D0525">
        <w:rPr>
          <w:rFonts w:eastAsia="Times New Roman" w:cstheme="minorHAnsi"/>
          <w:sz w:val="24"/>
          <w:szCs w:val="24"/>
          <w:lang w:eastAsia="en-GB"/>
        </w:rPr>
        <w:t>When a regulatory burden is placed on businesses they have to decide how to respond. They may increase prices, cut wages, reduce investment or reduce dividends. The EAN</w:t>
      </w:r>
      <w:r>
        <w:rPr>
          <w:rFonts w:eastAsia="Times New Roman" w:cstheme="minorHAnsi"/>
          <w:sz w:val="24"/>
          <w:szCs w:val="24"/>
          <w:lang w:eastAsia="en-GB"/>
        </w:rPr>
        <w:t>D</w:t>
      </w:r>
      <w:r w:rsidRPr="004D0525">
        <w:rPr>
          <w:rFonts w:eastAsia="Times New Roman" w:cstheme="minorHAnsi"/>
          <w:sz w:val="24"/>
          <w:szCs w:val="24"/>
          <w:lang w:eastAsia="en-GB"/>
        </w:rPr>
        <w:t xml:space="preserve">CB metric is an attempt to capture the burden on business </w:t>
      </w:r>
      <w:r>
        <w:rPr>
          <w:rFonts w:eastAsia="Times New Roman" w:cstheme="minorHAnsi"/>
          <w:sz w:val="24"/>
          <w:szCs w:val="24"/>
          <w:lang w:eastAsia="en-GB"/>
        </w:rPr>
        <w:t>of</w:t>
      </w:r>
      <w:r w:rsidRPr="004D0525">
        <w:rPr>
          <w:rFonts w:eastAsia="Times New Roman" w:cstheme="minorHAnsi"/>
          <w:sz w:val="24"/>
          <w:szCs w:val="24"/>
          <w:lang w:eastAsia="en-GB"/>
        </w:rPr>
        <w:t xml:space="preserve"> regulation. </w:t>
      </w:r>
      <w:r>
        <w:rPr>
          <w:rFonts w:eastAsia="Times New Roman" w:cstheme="minorHAnsi"/>
          <w:sz w:val="24"/>
          <w:szCs w:val="24"/>
          <w:lang w:eastAsia="en-GB"/>
        </w:rPr>
        <w:t>If</w:t>
      </w:r>
      <w:r w:rsidRPr="004D0525">
        <w:rPr>
          <w:rFonts w:eastAsia="Times New Roman" w:cstheme="minorHAnsi"/>
          <w:sz w:val="24"/>
          <w:szCs w:val="24"/>
          <w:lang w:eastAsia="en-GB"/>
        </w:rPr>
        <w:t xml:space="preserve"> </w:t>
      </w:r>
      <w:r>
        <w:rPr>
          <w:rFonts w:eastAsia="Times New Roman" w:cstheme="minorHAnsi"/>
          <w:sz w:val="24"/>
          <w:szCs w:val="24"/>
          <w:lang w:eastAsia="en-GB"/>
        </w:rPr>
        <w:t xml:space="preserve">a mechanism exists that enables some or all of </w:t>
      </w:r>
      <w:r w:rsidRPr="004D0525">
        <w:rPr>
          <w:rFonts w:eastAsia="Times New Roman" w:cstheme="minorHAnsi"/>
          <w:sz w:val="24"/>
          <w:szCs w:val="24"/>
          <w:lang w:eastAsia="en-GB"/>
        </w:rPr>
        <w:t xml:space="preserve">this burden </w:t>
      </w:r>
      <w:r>
        <w:rPr>
          <w:rFonts w:eastAsia="Times New Roman" w:cstheme="minorHAnsi"/>
          <w:sz w:val="24"/>
          <w:szCs w:val="24"/>
          <w:lang w:eastAsia="en-GB"/>
        </w:rPr>
        <w:t>to</w:t>
      </w:r>
      <w:r w:rsidRPr="004D0525">
        <w:rPr>
          <w:rFonts w:eastAsia="Times New Roman" w:cstheme="minorHAnsi"/>
          <w:sz w:val="24"/>
          <w:szCs w:val="24"/>
          <w:lang w:eastAsia="en-GB"/>
        </w:rPr>
        <w:t xml:space="preserve"> be passed on </w:t>
      </w:r>
      <w:r>
        <w:rPr>
          <w:rFonts w:eastAsia="Times New Roman" w:cstheme="minorHAnsi"/>
          <w:sz w:val="24"/>
          <w:szCs w:val="24"/>
          <w:lang w:eastAsia="en-GB"/>
        </w:rPr>
        <w:t>to other businesses and/or consumers, this subsequent effect</w:t>
      </w:r>
      <w:r w:rsidRPr="004D0525">
        <w:rPr>
          <w:rFonts w:eastAsia="Times New Roman" w:cstheme="minorHAnsi"/>
          <w:sz w:val="24"/>
          <w:szCs w:val="24"/>
          <w:lang w:eastAsia="en-GB"/>
        </w:rPr>
        <w:t xml:space="preserve"> is generally regarded as being indirect for the purposes of </w:t>
      </w:r>
      <w:r>
        <w:rPr>
          <w:rFonts w:eastAsia="Times New Roman" w:cstheme="minorHAnsi"/>
          <w:sz w:val="24"/>
          <w:szCs w:val="24"/>
          <w:lang w:eastAsia="en-GB"/>
        </w:rPr>
        <w:t>the BIT</w:t>
      </w:r>
      <w:r w:rsidRPr="004D0525">
        <w:rPr>
          <w:rFonts w:eastAsia="Times New Roman" w:cstheme="minorHAnsi"/>
          <w:sz w:val="24"/>
          <w:szCs w:val="24"/>
          <w:lang w:eastAsia="en-GB"/>
        </w:rPr>
        <w:t>. The BRFM (paragraph 1.9.45) states that pass through should be excluded from the calculation of the EAN</w:t>
      </w:r>
      <w:r>
        <w:rPr>
          <w:rFonts w:eastAsia="Times New Roman" w:cstheme="minorHAnsi"/>
          <w:sz w:val="24"/>
          <w:szCs w:val="24"/>
          <w:lang w:eastAsia="en-GB"/>
        </w:rPr>
        <w:t>D</w:t>
      </w:r>
      <w:r w:rsidRPr="004D0525">
        <w:rPr>
          <w:rFonts w:eastAsia="Times New Roman" w:cstheme="minorHAnsi"/>
          <w:sz w:val="24"/>
          <w:szCs w:val="24"/>
          <w:lang w:eastAsia="en-GB"/>
        </w:rPr>
        <w:t>CB. The first round impact of the regulatory change, for example the compliance costs to business, is the direct impact of the regulation. The second round impact, after pass through</w:t>
      </w:r>
      <w:r>
        <w:rPr>
          <w:rFonts w:eastAsia="Times New Roman" w:cstheme="minorHAnsi"/>
          <w:sz w:val="24"/>
          <w:szCs w:val="24"/>
          <w:lang w:eastAsia="en-GB"/>
        </w:rPr>
        <w:t xml:space="preserve"> (such as</w:t>
      </w:r>
      <w:r w:rsidRPr="004D0525">
        <w:rPr>
          <w:rFonts w:eastAsia="Times New Roman" w:cstheme="minorHAnsi"/>
          <w:sz w:val="24"/>
          <w:szCs w:val="24"/>
          <w:lang w:eastAsia="en-GB"/>
        </w:rPr>
        <w:t xml:space="preserve"> higher prices to consumers</w:t>
      </w:r>
      <w:r>
        <w:rPr>
          <w:rFonts w:eastAsia="Times New Roman" w:cstheme="minorHAnsi"/>
          <w:sz w:val="24"/>
          <w:szCs w:val="24"/>
          <w:lang w:eastAsia="en-GB"/>
        </w:rPr>
        <w:t>)</w:t>
      </w:r>
      <w:r w:rsidRPr="004D0525">
        <w:rPr>
          <w:rFonts w:eastAsia="Times New Roman" w:cstheme="minorHAnsi"/>
          <w:sz w:val="24"/>
          <w:szCs w:val="24"/>
          <w:lang w:eastAsia="en-GB"/>
        </w:rPr>
        <w:t xml:space="preserve"> would be an indirect impact of the regulation. Only the direct impact should be included in the EAN</w:t>
      </w:r>
      <w:r>
        <w:rPr>
          <w:rFonts w:eastAsia="Times New Roman" w:cstheme="minorHAnsi"/>
          <w:sz w:val="24"/>
          <w:szCs w:val="24"/>
          <w:lang w:eastAsia="en-GB"/>
        </w:rPr>
        <w:t>D</w:t>
      </w:r>
      <w:r w:rsidRPr="004D0525">
        <w:rPr>
          <w:rFonts w:eastAsia="Times New Roman" w:cstheme="minorHAnsi"/>
          <w:sz w:val="24"/>
          <w:szCs w:val="24"/>
          <w:lang w:eastAsia="en-GB"/>
        </w:rPr>
        <w:t>CB.</w:t>
      </w:r>
      <w:r>
        <w:rPr>
          <w:rFonts w:eastAsia="Times New Roman" w:cstheme="minorHAnsi"/>
          <w:sz w:val="24"/>
          <w:szCs w:val="24"/>
          <w:lang w:eastAsia="en-GB"/>
        </w:rPr>
        <w:t xml:space="preserve"> Without this rule, any increase in regulatory requirements on business could potentially score as zero on the basis that the cost is ultimately borne by consumers in the form of higher prices.</w:t>
      </w:r>
    </w:p>
    <w:p w:rsidR="009D0BBE" w:rsidRPr="004D0525" w:rsidRDefault="009D0BBE" w:rsidP="009D0BBE">
      <w:pPr>
        <w:spacing w:after="0"/>
        <w:rPr>
          <w:rFonts w:eastAsia="Times New Roman" w:cstheme="minorHAnsi"/>
          <w:b/>
          <w:sz w:val="24"/>
          <w:szCs w:val="24"/>
          <w:lang w:eastAsia="en-GB"/>
        </w:rPr>
      </w:pPr>
      <w:r w:rsidRPr="004D0525">
        <w:rPr>
          <w:rFonts w:eastAsia="Times New Roman" w:cstheme="minorHAnsi"/>
          <w:b/>
          <w:sz w:val="24"/>
          <w:szCs w:val="24"/>
          <w:lang w:eastAsia="en-GB"/>
        </w:rPr>
        <w:t>Examples of the normal application of pass through</w:t>
      </w:r>
    </w:p>
    <w:p w:rsidR="009D0BBE" w:rsidRPr="004D0525" w:rsidRDefault="009D0BBE" w:rsidP="009D0BBE">
      <w:pPr>
        <w:spacing w:after="0"/>
        <w:rPr>
          <w:rFonts w:eastAsia="Times New Roman" w:cstheme="minorHAnsi"/>
          <w:sz w:val="24"/>
          <w:szCs w:val="24"/>
          <w:lang w:eastAsia="en-GB"/>
        </w:rPr>
      </w:pPr>
    </w:p>
    <w:p w:rsidR="009D0BBE" w:rsidRPr="004D0525" w:rsidRDefault="009D0BBE" w:rsidP="009D0BBE">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b/>
          <w:sz w:val="24"/>
          <w:szCs w:val="24"/>
          <w:lang w:eastAsia="en-GB"/>
        </w:rPr>
      </w:pPr>
      <w:r w:rsidRPr="004D0525">
        <w:rPr>
          <w:rFonts w:eastAsia="Times New Roman" w:cstheme="minorHAnsi"/>
          <w:b/>
          <w:sz w:val="24"/>
          <w:szCs w:val="24"/>
          <w:lang w:eastAsia="en-GB"/>
        </w:rPr>
        <w:t>Reforming the regulatory framework for employment agencies and employment businesses (RPC14-BIS-2150):</w:t>
      </w:r>
      <w:r>
        <w:rPr>
          <w:rFonts w:eastAsia="Times New Roman" w:cstheme="minorHAnsi"/>
          <w:b/>
          <w:sz w:val="24"/>
          <w:szCs w:val="24"/>
          <w:lang w:eastAsia="en-GB"/>
        </w:rPr>
        <w:t xml:space="preserve"> </w:t>
      </w:r>
      <w:r w:rsidRPr="004D0525">
        <w:rPr>
          <w:rFonts w:eastAsia="Times New Roman" w:cstheme="minorHAnsi"/>
          <w:sz w:val="24"/>
          <w:szCs w:val="24"/>
          <w:lang w:eastAsia="en-GB"/>
        </w:rPr>
        <w:t xml:space="preserve"> It was expected that employment agencies would pass these costs on to their customers (i.e. organisations wanting to hire </w:t>
      </w:r>
      <w:r>
        <w:rPr>
          <w:rFonts w:eastAsia="Times New Roman" w:cstheme="minorHAnsi"/>
          <w:sz w:val="24"/>
          <w:szCs w:val="24"/>
          <w:lang w:eastAsia="en-GB"/>
        </w:rPr>
        <w:t xml:space="preserve">workers}. The direct impact is </w:t>
      </w:r>
      <w:r w:rsidRPr="004D0525">
        <w:rPr>
          <w:rFonts w:eastAsia="Times New Roman" w:cstheme="minorHAnsi"/>
          <w:sz w:val="24"/>
          <w:szCs w:val="24"/>
          <w:lang w:eastAsia="en-GB"/>
        </w:rPr>
        <w:t>on employment agencies; the indirect impact is on hiring organisations. Note that this had an impact on the size of the EANCB because some of the hiring organisations were in the public sector and, therefore, not in scope of OITO.</w:t>
      </w:r>
    </w:p>
    <w:p w:rsidR="009D0BBE" w:rsidRPr="004D0525" w:rsidRDefault="009D0BBE" w:rsidP="009D0BBE">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sz w:val="24"/>
          <w:szCs w:val="24"/>
          <w:lang w:eastAsia="en-GB"/>
        </w:rPr>
      </w:pPr>
    </w:p>
    <w:p w:rsidR="009D0BBE" w:rsidRDefault="009D0BBE" w:rsidP="009D0BBE">
      <w:pPr>
        <w:spacing w:after="0"/>
        <w:rPr>
          <w:rFonts w:eastAsia="Times New Roman" w:cstheme="minorHAnsi"/>
          <w:sz w:val="24"/>
          <w:szCs w:val="24"/>
          <w:lang w:eastAsia="en-GB"/>
        </w:rPr>
      </w:pPr>
    </w:p>
    <w:p w:rsidR="009D0BBE" w:rsidRPr="004D0525" w:rsidRDefault="009D0BBE" w:rsidP="009D0BBE">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b/>
          <w:sz w:val="24"/>
          <w:szCs w:val="24"/>
          <w:lang w:eastAsia="en-GB"/>
        </w:rPr>
      </w:pPr>
      <w:r w:rsidRPr="004D0525">
        <w:rPr>
          <w:rFonts w:eastAsia="Times New Roman" w:cstheme="minorHAnsi"/>
          <w:b/>
          <w:sz w:val="24"/>
          <w:szCs w:val="24"/>
          <w:lang w:eastAsia="en-GB"/>
        </w:rPr>
        <w:t xml:space="preserve">The future of the energy company obligation (ECO) (RPC14-DECC-2105): </w:t>
      </w:r>
      <w:r>
        <w:rPr>
          <w:rFonts w:eastAsia="Times New Roman" w:cstheme="minorHAnsi"/>
          <w:sz w:val="24"/>
          <w:szCs w:val="24"/>
          <w:lang w:eastAsia="en-GB"/>
        </w:rPr>
        <w:t>T</w:t>
      </w:r>
      <w:r w:rsidRPr="004D0525">
        <w:rPr>
          <w:rFonts w:eastAsia="Times New Roman" w:cstheme="minorHAnsi"/>
          <w:sz w:val="24"/>
          <w:szCs w:val="24"/>
          <w:lang w:eastAsia="en-GB"/>
        </w:rPr>
        <w:t>his proposal involved, during the first year, a scaling back of regulatory requirements compared to the existing ECO policy and</w:t>
      </w:r>
      <w:r>
        <w:rPr>
          <w:rFonts w:eastAsia="Times New Roman" w:cstheme="minorHAnsi"/>
          <w:sz w:val="24"/>
          <w:szCs w:val="24"/>
          <w:lang w:eastAsia="en-GB"/>
        </w:rPr>
        <w:t>,</w:t>
      </w:r>
      <w:r w:rsidRPr="004D0525">
        <w:rPr>
          <w:rFonts w:eastAsia="Times New Roman" w:cstheme="minorHAnsi"/>
          <w:sz w:val="24"/>
          <w:szCs w:val="24"/>
          <w:lang w:eastAsia="en-GB"/>
        </w:rPr>
        <w:t xml:space="preserve"> therefore</w:t>
      </w:r>
      <w:r>
        <w:rPr>
          <w:rFonts w:eastAsia="Times New Roman" w:cstheme="minorHAnsi"/>
          <w:sz w:val="24"/>
          <w:szCs w:val="24"/>
          <w:lang w:eastAsia="en-GB"/>
        </w:rPr>
        <w:t>,</w:t>
      </w:r>
      <w:r w:rsidRPr="004D0525">
        <w:rPr>
          <w:rFonts w:eastAsia="Times New Roman" w:cstheme="minorHAnsi"/>
          <w:sz w:val="24"/>
          <w:szCs w:val="24"/>
          <w:lang w:eastAsia="en-GB"/>
        </w:rPr>
        <w:t xml:space="preserve"> reduced costs to energy supply companies. The Government expected that energy companies would pass on these savings </w:t>
      </w:r>
      <w:r>
        <w:rPr>
          <w:rFonts w:eastAsia="Times New Roman" w:cstheme="minorHAnsi"/>
          <w:sz w:val="24"/>
          <w:szCs w:val="24"/>
          <w:lang w:eastAsia="en-GB"/>
        </w:rPr>
        <w:t>to</w:t>
      </w:r>
      <w:r w:rsidRPr="004D0525">
        <w:rPr>
          <w:rFonts w:eastAsia="Times New Roman" w:cstheme="minorHAnsi"/>
          <w:sz w:val="24"/>
          <w:szCs w:val="24"/>
          <w:lang w:eastAsia="en-GB"/>
        </w:rPr>
        <w:t xml:space="preserve"> </w:t>
      </w:r>
      <w:r>
        <w:rPr>
          <w:rFonts w:eastAsia="Times New Roman" w:cstheme="minorHAnsi"/>
          <w:sz w:val="24"/>
          <w:szCs w:val="24"/>
          <w:lang w:eastAsia="en-GB"/>
        </w:rPr>
        <w:t>their customers</w:t>
      </w:r>
      <w:r w:rsidRPr="004D0525">
        <w:rPr>
          <w:rFonts w:eastAsia="Times New Roman" w:cstheme="minorHAnsi"/>
          <w:sz w:val="24"/>
          <w:szCs w:val="24"/>
          <w:lang w:eastAsia="en-GB"/>
        </w:rPr>
        <w:t xml:space="preserve"> and the energy companies appeared to have agreed to this. However, the department provided further information which explained that there was no legal requirement, or anything that had regulatory force, for energy companies to pass on these cost savings to consumers. The pass through of business costs to consumers was, therefore, confirmed as indirect. </w:t>
      </w:r>
    </w:p>
    <w:p w:rsidR="009D0BBE" w:rsidRPr="004D0525" w:rsidRDefault="009D0BBE" w:rsidP="009D0BBE">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sz w:val="24"/>
          <w:szCs w:val="24"/>
          <w:lang w:eastAsia="en-GB"/>
        </w:rPr>
      </w:pPr>
    </w:p>
    <w:p w:rsidR="009D0BBE" w:rsidRDefault="009D0BBE" w:rsidP="009D0BBE">
      <w:pPr>
        <w:spacing w:after="0"/>
        <w:rPr>
          <w:rFonts w:eastAsia="Times New Roman" w:cstheme="minorHAnsi"/>
          <w:sz w:val="24"/>
          <w:szCs w:val="24"/>
          <w:lang w:eastAsia="en-GB"/>
        </w:rPr>
      </w:pPr>
    </w:p>
    <w:p w:rsidR="00BA6D02" w:rsidRDefault="00BA6D02" w:rsidP="009D0BBE">
      <w:pPr>
        <w:spacing w:after="0"/>
        <w:rPr>
          <w:rFonts w:eastAsia="Times New Roman" w:cstheme="minorHAnsi"/>
          <w:sz w:val="24"/>
          <w:szCs w:val="24"/>
          <w:lang w:eastAsia="en-GB"/>
        </w:rPr>
      </w:pPr>
    </w:p>
    <w:p w:rsidR="00BA6D02" w:rsidRDefault="00BA6D02" w:rsidP="009D0BBE">
      <w:pPr>
        <w:spacing w:after="0"/>
        <w:rPr>
          <w:rFonts w:eastAsia="Times New Roman" w:cstheme="minorHAnsi"/>
          <w:sz w:val="24"/>
          <w:szCs w:val="24"/>
          <w:lang w:eastAsia="en-GB"/>
        </w:rPr>
      </w:pPr>
    </w:p>
    <w:p w:rsidR="00BA6D02" w:rsidRDefault="00BA6D02" w:rsidP="009D0BBE">
      <w:pPr>
        <w:spacing w:after="0"/>
        <w:rPr>
          <w:rFonts w:eastAsia="Times New Roman" w:cstheme="minorHAnsi"/>
          <w:sz w:val="24"/>
          <w:szCs w:val="24"/>
          <w:lang w:eastAsia="en-GB"/>
        </w:rPr>
      </w:pPr>
    </w:p>
    <w:p w:rsidR="00BA6D02" w:rsidRDefault="00BA6D02" w:rsidP="009D0BBE">
      <w:pPr>
        <w:spacing w:after="0"/>
        <w:rPr>
          <w:rFonts w:eastAsia="Times New Roman" w:cstheme="minorHAnsi"/>
          <w:sz w:val="24"/>
          <w:szCs w:val="24"/>
          <w:lang w:eastAsia="en-GB"/>
        </w:rPr>
      </w:pPr>
    </w:p>
    <w:p w:rsidR="009D0BBE" w:rsidRPr="004D0525" w:rsidRDefault="009D0BBE" w:rsidP="009D0BBE">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b/>
          <w:sz w:val="24"/>
          <w:szCs w:val="24"/>
          <w:lang w:eastAsia="en-GB"/>
        </w:rPr>
      </w:pPr>
      <w:r w:rsidRPr="004D0525">
        <w:rPr>
          <w:rFonts w:eastAsia="Times New Roman" w:cstheme="minorHAnsi"/>
          <w:b/>
          <w:sz w:val="24"/>
          <w:szCs w:val="24"/>
          <w:lang w:eastAsia="en-GB"/>
        </w:rPr>
        <w:lastRenderedPageBreak/>
        <w:t xml:space="preserve">Plastic carrier bags charge (RPC14-DEFRA-2124(2)): </w:t>
      </w:r>
      <w:r>
        <w:rPr>
          <w:rFonts w:eastAsia="Times New Roman" w:cstheme="minorHAnsi"/>
          <w:sz w:val="24"/>
          <w:szCs w:val="24"/>
          <w:lang w:eastAsia="en-GB"/>
        </w:rPr>
        <w:t>T</w:t>
      </w:r>
      <w:r w:rsidRPr="004D0525">
        <w:rPr>
          <w:rFonts w:eastAsia="Times New Roman" w:cstheme="minorHAnsi"/>
          <w:sz w:val="24"/>
          <w:szCs w:val="24"/>
          <w:lang w:eastAsia="en-GB"/>
        </w:rPr>
        <w:t>his proposal required large retailers to charge consumers five pence for each carrier bag. The policy was expected to result in a substantial reduction in the number of carrier bags that would be used. Since the existing cost of the carrier bags was, in effect, being passed on to consumers in the form of higher prices, the department’s initial analysis suggested that, because retailers would pass on the savings from fewer carrier bags to consumers in the form of lower prices, this would not be a direct benefit to retailers. However, it was confirmed that the direct impact was on retailers and this was reflected in the EANCB (although the measure, as regulatory, was zero net cost</w:t>
      </w:r>
      <w:r>
        <w:rPr>
          <w:rFonts w:eastAsia="Times New Roman" w:cstheme="minorHAnsi"/>
          <w:sz w:val="24"/>
          <w:szCs w:val="24"/>
          <w:lang w:eastAsia="en-GB"/>
        </w:rPr>
        <w:t xml:space="preserve"> under OITO</w:t>
      </w:r>
      <w:r w:rsidRPr="004D0525">
        <w:rPr>
          <w:rFonts w:eastAsia="Times New Roman" w:cstheme="minorHAnsi"/>
          <w:sz w:val="24"/>
          <w:szCs w:val="24"/>
          <w:lang w:eastAsia="en-GB"/>
        </w:rPr>
        <w:t>). Note that there was also another pass through issue, in that retailers were expected, though not required, to pass on the net revenue from the sale of carrier bags to local good causes. However, as the latter would be civil society organisations, this had no impact on the EANCB.</w:t>
      </w:r>
      <w:r w:rsidRPr="004D0525">
        <w:rPr>
          <w:rFonts w:eastAsia="Times New Roman" w:cstheme="minorHAnsi"/>
          <w:color w:val="1F497D"/>
          <w:sz w:val="24"/>
          <w:szCs w:val="24"/>
          <w:lang w:eastAsia="en-GB"/>
        </w:rPr>
        <w:t xml:space="preserve"> (</w:t>
      </w:r>
      <w:hyperlink r:id="rId35" w:history="1">
        <w:r w:rsidRPr="004D0525">
          <w:rPr>
            <w:rFonts w:eastAsia="Times New Roman" w:cstheme="minorHAnsi"/>
            <w:color w:val="0000FF"/>
            <w:sz w:val="24"/>
            <w:szCs w:val="24"/>
            <w:u w:val="single"/>
            <w:lang w:eastAsia="en-GB"/>
          </w:rPr>
          <w:t>IA</w:t>
        </w:r>
      </w:hyperlink>
      <w:r w:rsidRPr="004D0525">
        <w:rPr>
          <w:rFonts w:eastAsia="Times New Roman" w:cstheme="minorHAnsi"/>
          <w:color w:val="1F497D"/>
          <w:sz w:val="24"/>
          <w:szCs w:val="24"/>
          <w:lang w:eastAsia="en-GB"/>
        </w:rPr>
        <w:t>)</w:t>
      </w:r>
    </w:p>
    <w:p w:rsidR="009D0BBE" w:rsidRPr="004D0525" w:rsidRDefault="009D0BBE" w:rsidP="009D0BBE">
      <w:pPr>
        <w:spacing w:after="0"/>
        <w:rPr>
          <w:rFonts w:eastAsia="Times New Roman" w:cstheme="minorHAnsi"/>
          <w:sz w:val="24"/>
          <w:szCs w:val="24"/>
          <w:lang w:eastAsia="en-GB"/>
        </w:rPr>
      </w:pPr>
    </w:p>
    <w:p w:rsidR="009D0BBE" w:rsidRPr="004D0525" w:rsidRDefault="009D0BBE" w:rsidP="009D0BBE">
      <w:pPr>
        <w:spacing w:after="0"/>
        <w:rPr>
          <w:rFonts w:eastAsia="Times New Roman" w:cstheme="minorHAnsi"/>
          <w:b/>
          <w:sz w:val="24"/>
          <w:szCs w:val="24"/>
          <w:lang w:eastAsia="en-GB"/>
        </w:rPr>
      </w:pPr>
      <w:r w:rsidRPr="004D0525">
        <w:rPr>
          <w:rFonts w:eastAsia="Times New Roman" w:cstheme="minorHAnsi"/>
          <w:b/>
          <w:sz w:val="24"/>
          <w:szCs w:val="24"/>
          <w:lang w:eastAsia="en-GB"/>
        </w:rPr>
        <w:t xml:space="preserve">Exceptions to the normal application of pass through </w:t>
      </w:r>
    </w:p>
    <w:p w:rsidR="009D0BBE" w:rsidRPr="004D0525" w:rsidRDefault="009D0BBE" w:rsidP="009D0BBE">
      <w:pPr>
        <w:spacing w:after="0"/>
        <w:rPr>
          <w:rFonts w:eastAsia="Times New Roman" w:cstheme="minorHAnsi"/>
          <w:sz w:val="24"/>
          <w:szCs w:val="24"/>
          <w:lang w:eastAsia="en-GB"/>
        </w:rPr>
      </w:pPr>
    </w:p>
    <w:p w:rsidR="007630CA" w:rsidRDefault="009D0BBE" w:rsidP="009D0BBE">
      <w:pPr>
        <w:spacing w:after="0"/>
        <w:rPr>
          <w:rFonts w:eastAsia="Times New Roman" w:cstheme="minorHAnsi"/>
          <w:sz w:val="24"/>
          <w:szCs w:val="24"/>
          <w:lang w:eastAsia="en-GB"/>
        </w:rPr>
      </w:pPr>
      <w:r w:rsidRPr="004D0525">
        <w:rPr>
          <w:rFonts w:eastAsia="Times New Roman" w:cstheme="minorHAnsi"/>
          <w:sz w:val="24"/>
          <w:szCs w:val="24"/>
          <w:lang w:eastAsia="en-GB"/>
        </w:rPr>
        <w:t>There are a very few exceptions</w:t>
      </w:r>
      <w:r>
        <w:rPr>
          <w:rFonts w:eastAsia="Times New Roman" w:cstheme="minorHAnsi"/>
          <w:sz w:val="24"/>
          <w:szCs w:val="24"/>
          <w:lang w:eastAsia="en-GB"/>
        </w:rPr>
        <w:t xml:space="preserve"> to the rule on pass through</w:t>
      </w:r>
      <w:r w:rsidRPr="004D0525">
        <w:rPr>
          <w:rFonts w:eastAsia="Times New Roman" w:cstheme="minorHAnsi"/>
          <w:sz w:val="24"/>
          <w:szCs w:val="24"/>
          <w:lang w:eastAsia="en-GB"/>
        </w:rPr>
        <w:t xml:space="preserve">.  As noted above, one might be where the pass through is mandatory, (i.e. backed by regulatory force). </w:t>
      </w:r>
      <w:r>
        <w:rPr>
          <w:rFonts w:eastAsia="Times New Roman" w:cstheme="minorHAnsi"/>
          <w:sz w:val="24"/>
          <w:szCs w:val="24"/>
          <w:lang w:eastAsia="en-GB"/>
        </w:rPr>
        <w:t xml:space="preserve"> </w:t>
      </w:r>
      <w:r w:rsidRPr="004D0525">
        <w:rPr>
          <w:rFonts w:eastAsia="Times New Roman" w:cstheme="minorHAnsi"/>
          <w:sz w:val="24"/>
          <w:szCs w:val="24"/>
          <w:lang w:eastAsia="en-GB"/>
        </w:rPr>
        <w:t>Another possibility (example below), is where the business experiencing the initial impact of regulation/deregulation acts only as a conduit. For example, following a Regulatory Framework Group discussion it was agreed that when a cost is paid by an agent on behalf of a principal, this should be considered to be a direct cost to the principal, not a cost to the agent that is passed through.</w:t>
      </w:r>
    </w:p>
    <w:p w:rsidR="00BA6D02" w:rsidRPr="004D0525" w:rsidRDefault="00BA6D02" w:rsidP="009D0BBE">
      <w:pPr>
        <w:spacing w:after="0"/>
        <w:rPr>
          <w:rFonts w:eastAsia="Times New Roman" w:cstheme="minorHAnsi"/>
          <w:sz w:val="24"/>
          <w:szCs w:val="24"/>
          <w:lang w:eastAsia="en-GB"/>
        </w:rPr>
      </w:pPr>
    </w:p>
    <w:p w:rsidR="009D0BBE" w:rsidRPr="004D0525" w:rsidRDefault="009D0BBE" w:rsidP="009D0BBE">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b/>
          <w:sz w:val="24"/>
          <w:szCs w:val="24"/>
          <w:lang w:eastAsia="en-GB"/>
        </w:rPr>
      </w:pPr>
      <w:r w:rsidRPr="004D0525">
        <w:rPr>
          <w:rFonts w:eastAsia="Times New Roman" w:cstheme="minorHAnsi"/>
          <w:b/>
          <w:sz w:val="24"/>
          <w:szCs w:val="24"/>
          <w:lang w:eastAsia="en-GB"/>
        </w:rPr>
        <w:t xml:space="preserve">HM Land Registry local land charges (RPC13-FT-BIS-1925): </w:t>
      </w:r>
      <w:r w:rsidRPr="00554591">
        <w:rPr>
          <w:rFonts w:eastAsia="Times New Roman" w:cstheme="minorHAnsi"/>
          <w:sz w:val="24"/>
          <w:szCs w:val="24"/>
          <w:lang w:eastAsia="en-GB"/>
        </w:rPr>
        <w:t>L</w:t>
      </w:r>
      <w:r w:rsidRPr="004D0525">
        <w:rPr>
          <w:rFonts w:eastAsia="Times New Roman" w:cstheme="minorHAnsi"/>
          <w:sz w:val="24"/>
          <w:szCs w:val="24"/>
          <w:lang w:eastAsia="en-GB"/>
        </w:rPr>
        <w:t xml:space="preserve">and charges are </w:t>
      </w:r>
      <w:r>
        <w:rPr>
          <w:rFonts w:eastAsia="Times New Roman" w:cstheme="minorHAnsi"/>
          <w:sz w:val="24"/>
          <w:szCs w:val="24"/>
          <w:lang w:eastAsia="en-GB"/>
        </w:rPr>
        <w:t xml:space="preserve">currently </w:t>
      </w:r>
      <w:r w:rsidRPr="004D0525">
        <w:rPr>
          <w:rFonts w:eastAsia="Times New Roman" w:cstheme="minorHAnsi"/>
          <w:sz w:val="24"/>
          <w:szCs w:val="24"/>
          <w:lang w:eastAsia="en-GB"/>
        </w:rPr>
        <w:t xml:space="preserve">set at </w:t>
      </w:r>
      <w:r>
        <w:rPr>
          <w:rFonts w:eastAsia="Times New Roman" w:cstheme="minorHAnsi"/>
          <w:sz w:val="24"/>
          <w:szCs w:val="24"/>
          <w:lang w:eastAsia="en-GB"/>
        </w:rPr>
        <w:t xml:space="preserve">the </w:t>
      </w:r>
      <w:r w:rsidRPr="004D0525">
        <w:rPr>
          <w:rFonts w:eastAsia="Times New Roman" w:cstheme="minorHAnsi"/>
          <w:sz w:val="24"/>
          <w:szCs w:val="24"/>
          <w:lang w:eastAsia="en-GB"/>
        </w:rPr>
        <w:t xml:space="preserve">local authority level. The proposal is to standardise them at a level below the current average. Most customers will be better off, but a minority will see their fees rise. These fees are normally paid by conveyancers on behalf of their clients. Initially, this was considered to be a direct cost to conveyancers that was passed on to clients (who were a mix of individuals and businesses). Following RFG discussion, it was agreed that this should be considered to be a cost </w:t>
      </w:r>
      <w:r>
        <w:rPr>
          <w:rFonts w:eastAsia="Times New Roman" w:cstheme="minorHAnsi"/>
          <w:sz w:val="24"/>
          <w:szCs w:val="24"/>
          <w:lang w:eastAsia="en-GB"/>
        </w:rPr>
        <w:t>to</w:t>
      </w:r>
      <w:r w:rsidRPr="004D0525">
        <w:rPr>
          <w:rFonts w:eastAsia="Times New Roman" w:cstheme="minorHAnsi"/>
          <w:sz w:val="24"/>
          <w:szCs w:val="24"/>
          <w:lang w:eastAsia="en-GB"/>
        </w:rPr>
        <w:t xml:space="preserve"> clients since they are ultimately responsible</w:t>
      </w:r>
      <w:r>
        <w:rPr>
          <w:rFonts w:eastAsia="Times New Roman" w:cstheme="minorHAnsi"/>
          <w:sz w:val="24"/>
          <w:szCs w:val="24"/>
          <w:lang w:eastAsia="en-GB"/>
        </w:rPr>
        <w:t>.</w:t>
      </w:r>
      <w:r w:rsidRPr="004D0525">
        <w:rPr>
          <w:rFonts w:eastAsia="Times New Roman" w:cstheme="minorHAnsi"/>
          <w:sz w:val="24"/>
          <w:szCs w:val="24"/>
          <w:lang w:eastAsia="en-GB"/>
        </w:rPr>
        <w:t xml:space="preserve"> </w:t>
      </w:r>
      <w:r>
        <w:rPr>
          <w:rFonts w:eastAsia="Times New Roman" w:cstheme="minorHAnsi"/>
          <w:sz w:val="24"/>
          <w:szCs w:val="24"/>
          <w:lang w:eastAsia="en-GB"/>
        </w:rPr>
        <w:t>C</w:t>
      </w:r>
      <w:r w:rsidRPr="004D0525">
        <w:rPr>
          <w:rFonts w:eastAsia="Times New Roman" w:cstheme="minorHAnsi"/>
          <w:sz w:val="24"/>
          <w:szCs w:val="24"/>
          <w:lang w:eastAsia="en-GB"/>
        </w:rPr>
        <w:t xml:space="preserve">onveyancers </w:t>
      </w:r>
      <w:r>
        <w:rPr>
          <w:rFonts w:eastAsia="Times New Roman" w:cstheme="minorHAnsi"/>
          <w:sz w:val="24"/>
          <w:szCs w:val="24"/>
          <w:lang w:eastAsia="en-GB"/>
        </w:rPr>
        <w:t>were simply</w:t>
      </w:r>
      <w:r w:rsidRPr="004D0525">
        <w:rPr>
          <w:rFonts w:eastAsia="Times New Roman" w:cstheme="minorHAnsi"/>
          <w:sz w:val="24"/>
          <w:szCs w:val="24"/>
          <w:lang w:eastAsia="en-GB"/>
        </w:rPr>
        <w:t xml:space="preserve"> paying on their behalf. Note that this measure was out of scope of OITO as it related to fees and charges but the issue was relevant to its fast track status. (</w:t>
      </w:r>
      <w:hyperlink r:id="rId36" w:history="1">
        <w:r w:rsidRPr="004D0525">
          <w:rPr>
            <w:rFonts w:eastAsia="Times New Roman" w:cstheme="minorHAnsi"/>
            <w:color w:val="0000FF"/>
            <w:sz w:val="24"/>
            <w:szCs w:val="24"/>
            <w:u w:val="single"/>
            <w:lang w:eastAsia="en-GB"/>
          </w:rPr>
          <w:t>IA</w:t>
        </w:r>
      </w:hyperlink>
      <w:r w:rsidRPr="004D0525">
        <w:rPr>
          <w:rFonts w:eastAsia="Times New Roman" w:cstheme="minorHAnsi"/>
          <w:sz w:val="24"/>
          <w:szCs w:val="24"/>
          <w:lang w:eastAsia="en-GB"/>
        </w:rPr>
        <w:t>)</w:t>
      </w:r>
      <w:bookmarkStart w:id="6" w:name="Mitigating"/>
      <w:bookmarkEnd w:id="6"/>
    </w:p>
    <w:p w:rsidR="009D0BBE" w:rsidRPr="004D0525" w:rsidRDefault="009D0BBE" w:rsidP="009D0BBE">
      <w:pPr>
        <w:spacing w:after="0" w:line="240" w:lineRule="auto"/>
        <w:jc w:val="both"/>
        <w:rPr>
          <w:rFonts w:ascii="Times New Roman" w:eastAsia="Times New Roman" w:hAnsi="Times New Roman" w:cs="Times New Roman"/>
          <w:b/>
          <w:sz w:val="24"/>
          <w:szCs w:val="24"/>
          <w:u w:val="single"/>
          <w:lang w:eastAsia="en-GB"/>
        </w:rPr>
      </w:pPr>
    </w:p>
    <w:p w:rsidR="009D0BBE" w:rsidRPr="0094587B" w:rsidRDefault="009D0BBE" w:rsidP="009D0BBE">
      <w:pPr>
        <w:rPr>
          <w:rFonts w:ascii="Cambria" w:hAnsi="Cambria" w:cs="Arial"/>
          <w:sz w:val="24"/>
          <w:szCs w:val="24"/>
        </w:rPr>
      </w:pPr>
      <w:r w:rsidRPr="00220CDD">
        <w:rPr>
          <w:rFonts w:eastAsia="Times New Roman" w:cstheme="minorHAnsi"/>
          <w:b/>
          <w:color w:val="000000" w:themeColor="text1"/>
          <w:sz w:val="24"/>
          <w:szCs w:val="24"/>
          <w:lang w:eastAsia="en-GB"/>
        </w:rPr>
        <w:t>4.</w:t>
      </w:r>
      <w:r>
        <w:rPr>
          <w:rFonts w:eastAsia="Times New Roman" w:cstheme="minorHAnsi"/>
          <w:b/>
          <w:color w:val="000000" w:themeColor="text1"/>
          <w:sz w:val="24"/>
          <w:szCs w:val="24"/>
          <w:lang w:eastAsia="en-GB"/>
        </w:rPr>
        <w:t>1.2</w:t>
      </w:r>
      <w:r w:rsidRPr="00220CDD">
        <w:rPr>
          <w:rFonts w:eastAsia="Times New Roman" w:cstheme="minorHAnsi"/>
          <w:b/>
          <w:color w:val="000000" w:themeColor="text1"/>
          <w:sz w:val="24"/>
          <w:szCs w:val="24"/>
          <w:lang w:eastAsia="en-GB"/>
        </w:rPr>
        <w:t xml:space="preserve"> Other direct / indirect issues</w:t>
      </w:r>
    </w:p>
    <w:p w:rsidR="009D0BBE" w:rsidRPr="00FC09EC" w:rsidRDefault="009D0BBE" w:rsidP="009D0BBE">
      <w:pPr>
        <w:spacing w:after="0"/>
        <w:rPr>
          <w:rFonts w:eastAsia="Times New Roman" w:cstheme="minorHAnsi"/>
          <w:sz w:val="24"/>
          <w:szCs w:val="24"/>
          <w:u w:val="single"/>
          <w:lang w:eastAsia="en-GB"/>
        </w:rPr>
      </w:pPr>
      <w:r w:rsidRPr="00FC09EC">
        <w:rPr>
          <w:rFonts w:eastAsia="Times New Roman" w:cstheme="minorHAnsi"/>
          <w:sz w:val="24"/>
          <w:szCs w:val="24"/>
          <w:u w:val="single"/>
          <w:lang w:eastAsia="en-GB"/>
        </w:rPr>
        <w:t>New Entrants</w:t>
      </w:r>
    </w:p>
    <w:p w:rsidR="009D0BBE" w:rsidRPr="00FC09EC" w:rsidRDefault="009D0BBE" w:rsidP="009D0BBE">
      <w:pPr>
        <w:spacing w:after="0"/>
        <w:rPr>
          <w:rFonts w:eastAsia="Times New Roman" w:cstheme="minorHAnsi"/>
          <w:sz w:val="24"/>
          <w:szCs w:val="24"/>
          <w:u w:val="single"/>
          <w:lang w:eastAsia="en-GB"/>
        </w:rPr>
      </w:pPr>
    </w:p>
    <w:p w:rsidR="009D0BBE" w:rsidRDefault="009D0BBE" w:rsidP="009D0BBE">
      <w:pPr>
        <w:spacing w:after="0"/>
        <w:rPr>
          <w:rFonts w:eastAsia="Times New Roman" w:cstheme="minorHAnsi"/>
          <w:sz w:val="24"/>
          <w:szCs w:val="24"/>
          <w:lang w:eastAsia="en-GB"/>
        </w:rPr>
      </w:pPr>
      <w:r w:rsidRPr="00FC09EC">
        <w:rPr>
          <w:rFonts w:eastAsia="Times New Roman" w:cstheme="minorHAnsi"/>
          <w:sz w:val="24"/>
          <w:szCs w:val="24"/>
          <w:lang w:eastAsia="en-GB"/>
        </w:rPr>
        <w:t>Costs and benefits to future businesses entering a market were previously</w:t>
      </w:r>
      <w:r>
        <w:rPr>
          <w:rFonts w:eastAsia="Times New Roman" w:cstheme="minorHAnsi"/>
          <w:sz w:val="24"/>
          <w:szCs w:val="24"/>
          <w:lang w:eastAsia="en-GB"/>
        </w:rPr>
        <w:t xml:space="preserve"> sometimes</w:t>
      </w:r>
      <w:r w:rsidRPr="00FC09EC">
        <w:rPr>
          <w:rFonts w:eastAsia="Times New Roman" w:cstheme="minorHAnsi"/>
          <w:sz w:val="24"/>
          <w:szCs w:val="24"/>
          <w:lang w:eastAsia="en-GB"/>
        </w:rPr>
        <w:t xml:space="preserve"> seen as indirect impacts </w:t>
      </w:r>
      <w:r>
        <w:rPr>
          <w:rFonts w:eastAsia="Times New Roman" w:cstheme="minorHAnsi"/>
          <w:sz w:val="24"/>
          <w:szCs w:val="24"/>
          <w:lang w:eastAsia="en-GB"/>
        </w:rPr>
        <w:t>on the grounds that these</w:t>
      </w:r>
      <w:r w:rsidRPr="00FC09EC">
        <w:rPr>
          <w:rFonts w:eastAsia="Times New Roman" w:cstheme="minorHAnsi"/>
          <w:sz w:val="24"/>
          <w:szCs w:val="24"/>
          <w:lang w:eastAsia="en-GB"/>
        </w:rPr>
        <w:t xml:space="preserve"> businesses do not yet exist and any estimates would</w:t>
      </w:r>
      <w:r>
        <w:rPr>
          <w:rFonts w:eastAsia="Times New Roman" w:cstheme="minorHAnsi"/>
          <w:sz w:val="24"/>
          <w:szCs w:val="24"/>
          <w:lang w:eastAsia="en-GB"/>
        </w:rPr>
        <w:t>,</w:t>
      </w:r>
      <w:r w:rsidRPr="00FC09EC">
        <w:rPr>
          <w:rFonts w:eastAsia="Times New Roman" w:cstheme="minorHAnsi"/>
          <w:sz w:val="24"/>
          <w:szCs w:val="24"/>
          <w:lang w:eastAsia="en-GB"/>
        </w:rPr>
        <w:t xml:space="preserve"> therefore</w:t>
      </w:r>
      <w:r>
        <w:rPr>
          <w:rFonts w:eastAsia="Times New Roman" w:cstheme="minorHAnsi"/>
          <w:sz w:val="24"/>
          <w:szCs w:val="24"/>
          <w:lang w:eastAsia="en-GB"/>
        </w:rPr>
        <w:t>,</w:t>
      </w:r>
      <w:r w:rsidRPr="00FC09EC">
        <w:rPr>
          <w:rFonts w:eastAsia="Times New Roman" w:cstheme="minorHAnsi"/>
          <w:sz w:val="24"/>
          <w:szCs w:val="24"/>
          <w:lang w:eastAsia="en-GB"/>
        </w:rPr>
        <w:t xml:space="preserve"> also be somewhat speculative. However, this meant, for example, that deregulatory measures (e.g. simplified guidance), which mainly benefit new entrants, could </w:t>
      </w:r>
      <w:r w:rsidRPr="00FC09EC">
        <w:rPr>
          <w:rFonts w:eastAsia="Times New Roman" w:cstheme="minorHAnsi"/>
          <w:sz w:val="24"/>
          <w:szCs w:val="24"/>
          <w:lang w:eastAsia="en-GB"/>
        </w:rPr>
        <w:lastRenderedPageBreak/>
        <w:t xml:space="preserve">easily be net costly in OITO terms because of the familiarisation costs to existing companies. </w:t>
      </w:r>
      <w:r>
        <w:rPr>
          <w:rFonts w:eastAsia="Times New Roman" w:cstheme="minorHAnsi"/>
          <w:sz w:val="24"/>
          <w:szCs w:val="24"/>
          <w:lang w:eastAsia="en-GB"/>
        </w:rPr>
        <w:t>T</w:t>
      </w:r>
      <w:r w:rsidRPr="00FC09EC">
        <w:rPr>
          <w:rFonts w:eastAsia="Times New Roman" w:cstheme="minorHAnsi"/>
          <w:sz w:val="24"/>
          <w:szCs w:val="24"/>
          <w:lang w:eastAsia="en-GB"/>
        </w:rPr>
        <w:t>his approach was reviewed and the methodology</w:t>
      </w:r>
      <w:r>
        <w:rPr>
          <w:rFonts w:eastAsia="Times New Roman" w:cstheme="minorHAnsi"/>
          <w:sz w:val="24"/>
          <w:szCs w:val="24"/>
          <w:lang w:eastAsia="en-GB"/>
        </w:rPr>
        <w:t xml:space="preserve"> clarified</w:t>
      </w:r>
      <w:r w:rsidRPr="00FC09EC">
        <w:rPr>
          <w:rFonts w:eastAsia="Times New Roman" w:cstheme="minorHAnsi"/>
          <w:sz w:val="24"/>
          <w:szCs w:val="24"/>
          <w:lang w:eastAsia="en-GB"/>
        </w:rPr>
        <w:t>. It is now clear that impacts on new entrants should be treated in the same way as impacts on existing businesses</w:t>
      </w:r>
      <w:r>
        <w:rPr>
          <w:rFonts w:eastAsia="Times New Roman" w:cstheme="minorHAnsi"/>
          <w:sz w:val="24"/>
          <w:szCs w:val="24"/>
          <w:lang w:eastAsia="en-GB"/>
        </w:rPr>
        <w:t xml:space="preserve"> if they arise in the context of normal business ‘churn’</w:t>
      </w:r>
      <w:r w:rsidRPr="00FC09EC">
        <w:rPr>
          <w:rFonts w:eastAsia="Times New Roman" w:cstheme="minorHAnsi"/>
          <w:sz w:val="24"/>
          <w:szCs w:val="24"/>
          <w:lang w:eastAsia="en-GB"/>
        </w:rPr>
        <w:t xml:space="preserve">. However, any estimates relating to the number of new entrants would normally be accepted only in respect of official data relating to historical turnover (churn) of businesses in the particular industrial sector. Any costs or benefits </w:t>
      </w:r>
      <w:r>
        <w:rPr>
          <w:rFonts w:eastAsia="Times New Roman" w:cstheme="minorHAnsi"/>
          <w:sz w:val="24"/>
          <w:szCs w:val="24"/>
          <w:lang w:eastAsia="en-GB"/>
        </w:rPr>
        <w:t>that are highly speculative would normally still be</w:t>
      </w:r>
      <w:r w:rsidRPr="00FC09EC">
        <w:rPr>
          <w:rFonts w:eastAsia="Times New Roman" w:cstheme="minorHAnsi"/>
          <w:sz w:val="24"/>
          <w:szCs w:val="24"/>
          <w:lang w:eastAsia="en-GB"/>
        </w:rPr>
        <w:t xml:space="preserve"> considered indirect</w:t>
      </w:r>
      <w:r>
        <w:rPr>
          <w:rFonts w:eastAsia="Times New Roman" w:cstheme="minorHAnsi"/>
          <w:sz w:val="24"/>
          <w:szCs w:val="24"/>
          <w:lang w:eastAsia="en-GB"/>
        </w:rPr>
        <w:t xml:space="preserve">, particularly if they assumed an </w:t>
      </w:r>
      <w:r w:rsidRPr="00FC09EC">
        <w:rPr>
          <w:rFonts w:eastAsia="Times New Roman" w:cstheme="minorHAnsi"/>
          <w:sz w:val="24"/>
          <w:szCs w:val="24"/>
          <w:lang w:eastAsia="en-GB"/>
        </w:rPr>
        <w:t>increase in the rate of entry of new businesses as a result of a proposed change</w:t>
      </w:r>
      <w:r>
        <w:rPr>
          <w:rFonts w:eastAsia="Times New Roman" w:cstheme="minorHAnsi"/>
          <w:sz w:val="24"/>
          <w:szCs w:val="24"/>
          <w:lang w:eastAsia="en-GB"/>
        </w:rPr>
        <w:t>.</w:t>
      </w:r>
    </w:p>
    <w:p w:rsidR="009D0BBE" w:rsidRPr="00FC09EC" w:rsidRDefault="009D0BBE" w:rsidP="009D0BBE">
      <w:pPr>
        <w:spacing w:after="0"/>
        <w:rPr>
          <w:rFonts w:eastAsia="Times New Roman" w:cstheme="minorHAnsi"/>
          <w:sz w:val="24"/>
          <w:szCs w:val="24"/>
          <w:lang w:eastAsia="en-GB"/>
        </w:rPr>
      </w:pPr>
    </w:p>
    <w:p w:rsidR="009D0BBE" w:rsidRPr="00FC09EC" w:rsidRDefault="009D0BBE" w:rsidP="009D0BBE">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sz w:val="24"/>
          <w:szCs w:val="24"/>
          <w:lang w:eastAsia="en-GB"/>
        </w:rPr>
      </w:pPr>
      <w:r w:rsidRPr="00FC09EC">
        <w:rPr>
          <w:rFonts w:eastAsia="Times New Roman" w:cstheme="minorHAnsi"/>
          <w:b/>
          <w:sz w:val="24"/>
          <w:szCs w:val="24"/>
          <w:lang w:eastAsia="en-GB"/>
        </w:rPr>
        <w:t xml:space="preserve">Revocation of the Construction (Head Protection) Regulations 1989 (RPC12- HSE-1286): </w:t>
      </w:r>
      <w:r>
        <w:rPr>
          <w:rFonts w:eastAsia="Times New Roman" w:cstheme="minorHAnsi"/>
          <w:sz w:val="24"/>
          <w:szCs w:val="24"/>
          <w:lang w:eastAsia="en-GB"/>
        </w:rPr>
        <w:t>T</w:t>
      </w:r>
      <w:r w:rsidRPr="00FC09EC">
        <w:rPr>
          <w:rFonts w:eastAsia="Times New Roman" w:cstheme="minorHAnsi"/>
          <w:sz w:val="24"/>
          <w:szCs w:val="24"/>
          <w:lang w:eastAsia="en-GB"/>
        </w:rPr>
        <w:t xml:space="preserve">he policy simplified regulations regarding head protection on construction sites. This was first </w:t>
      </w:r>
      <w:r>
        <w:rPr>
          <w:rFonts w:eastAsia="Times New Roman" w:cstheme="minorHAnsi"/>
          <w:sz w:val="24"/>
          <w:szCs w:val="24"/>
          <w:lang w:eastAsia="en-GB"/>
        </w:rPr>
        <w:t>considered to be</w:t>
      </w:r>
      <w:r w:rsidRPr="00FC09EC">
        <w:rPr>
          <w:rFonts w:eastAsia="Times New Roman" w:cstheme="minorHAnsi"/>
          <w:sz w:val="24"/>
          <w:szCs w:val="24"/>
          <w:lang w:eastAsia="en-GB"/>
        </w:rPr>
        <w:t xml:space="preserve"> a deregulatory IN </w:t>
      </w:r>
      <w:r>
        <w:rPr>
          <w:rFonts w:eastAsia="Times New Roman" w:cstheme="minorHAnsi"/>
          <w:sz w:val="24"/>
          <w:szCs w:val="24"/>
          <w:lang w:eastAsia="en-GB"/>
        </w:rPr>
        <w:t>bec</w:t>
      </w:r>
      <w:r w:rsidRPr="00FC09EC">
        <w:rPr>
          <w:rFonts w:eastAsia="Times New Roman" w:cstheme="minorHAnsi"/>
          <w:sz w:val="24"/>
          <w:szCs w:val="24"/>
          <w:lang w:eastAsia="en-GB"/>
        </w:rPr>
        <w:t>a</w:t>
      </w:r>
      <w:r>
        <w:rPr>
          <w:rFonts w:eastAsia="Times New Roman" w:cstheme="minorHAnsi"/>
          <w:sz w:val="24"/>
          <w:szCs w:val="24"/>
          <w:lang w:eastAsia="en-GB"/>
        </w:rPr>
        <w:t>u</w:t>
      </w:r>
      <w:r w:rsidRPr="00FC09EC">
        <w:rPr>
          <w:rFonts w:eastAsia="Times New Roman" w:cstheme="minorHAnsi"/>
          <w:sz w:val="24"/>
          <w:szCs w:val="24"/>
          <w:lang w:eastAsia="en-GB"/>
        </w:rPr>
        <w:t>s</w:t>
      </w:r>
      <w:r>
        <w:rPr>
          <w:rFonts w:eastAsia="Times New Roman" w:cstheme="minorHAnsi"/>
          <w:sz w:val="24"/>
          <w:szCs w:val="24"/>
          <w:lang w:eastAsia="en-GB"/>
        </w:rPr>
        <w:t>e</w:t>
      </w:r>
      <w:r w:rsidRPr="00FC09EC">
        <w:rPr>
          <w:rFonts w:eastAsia="Times New Roman" w:cstheme="minorHAnsi"/>
          <w:sz w:val="24"/>
          <w:szCs w:val="24"/>
          <w:lang w:eastAsia="en-GB"/>
        </w:rPr>
        <w:t xml:space="preserve"> transition costs to existing businesses were direct, while benefits to new entrants were indirect. Following the change to the methodology this was reconsidered and </w:t>
      </w:r>
      <w:r>
        <w:rPr>
          <w:rFonts w:eastAsia="Times New Roman" w:cstheme="minorHAnsi"/>
          <w:sz w:val="24"/>
          <w:szCs w:val="24"/>
          <w:lang w:eastAsia="en-GB"/>
        </w:rPr>
        <w:t>validated as</w:t>
      </w:r>
      <w:r w:rsidRPr="00FC09EC">
        <w:rPr>
          <w:rFonts w:eastAsia="Times New Roman" w:cstheme="minorHAnsi"/>
          <w:sz w:val="24"/>
          <w:szCs w:val="24"/>
          <w:lang w:eastAsia="en-GB"/>
        </w:rPr>
        <w:t xml:space="preserve"> an OUT. (</w:t>
      </w:r>
      <w:hyperlink r:id="rId37" w:history="1">
        <w:r w:rsidRPr="00FC09EC">
          <w:rPr>
            <w:rFonts w:eastAsia="Times New Roman" w:cstheme="minorHAnsi"/>
            <w:color w:val="0000FF"/>
            <w:sz w:val="24"/>
            <w:szCs w:val="24"/>
            <w:u w:val="single"/>
            <w:lang w:eastAsia="en-GB"/>
          </w:rPr>
          <w:t>IA</w:t>
        </w:r>
      </w:hyperlink>
      <w:r w:rsidRPr="00FC09EC">
        <w:rPr>
          <w:rFonts w:eastAsia="Times New Roman" w:cstheme="minorHAnsi"/>
          <w:sz w:val="24"/>
          <w:szCs w:val="24"/>
          <w:lang w:eastAsia="en-GB"/>
        </w:rPr>
        <w:t>), (</w:t>
      </w:r>
      <w:hyperlink r:id="rId38" w:history="1">
        <w:r w:rsidRPr="00FC09EC">
          <w:rPr>
            <w:rFonts w:eastAsia="Times New Roman" w:cstheme="minorHAnsi"/>
            <w:color w:val="0000FF"/>
            <w:sz w:val="24"/>
            <w:szCs w:val="24"/>
            <w:u w:val="single"/>
            <w:lang w:eastAsia="en-GB"/>
          </w:rPr>
          <w:t>Opinion</w:t>
        </w:r>
      </w:hyperlink>
      <w:r w:rsidRPr="00FC09EC">
        <w:rPr>
          <w:rFonts w:eastAsia="Times New Roman" w:cstheme="minorHAnsi"/>
          <w:sz w:val="24"/>
          <w:szCs w:val="24"/>
          <w:lang w:eastAsia="en-GB"/>
        </w:rPr>
        <w:t>)</w:t>
      </w:r>
    </w:p>
    <w:p w:rsidR="009D0BBE" w:rsidRPr="00FC09EC" w:rsidRDefault="009D0BBE" w:rsidP="009D0BBE">
      <w:pPr>
        <w:spacing w:after="0"/>
        <w:rPr>
          <w:rFonts w:eastAsia="Times New Roman" w:cstheme="minorHAnsi"/>
          <w:sz w:val="24"/>
          <w:szCs w:val="24"/>
          <w:lang w:eastAsia="en-GB"/>
        </w:rPr>
      </w:pPr>
    </w:p>
    <w:p w:rsidR="009D0BBE" w:rsidRPr="00FC09EC" w:rsidRDefault="009D0BBE" w:rsidP="009D0BBE">
      <w:pPr>
        <w:spacing w:after="0"/>
        <w:rPr>
          <w:rFonts w:eastAsia="Times New Roman" w:cstheme="minorHAnsi"/>
          <w:sz w:val="24"/>
          <w:szCs w:val="24"/>
          <w:u w:val="single"/>
          <w:lang w:eastAsia="en-GB"/>
        </w:rPr>
      </w:pPr>
      <w:r>
        <w:rPr>
          <w:rFonts w:eastAsia="Times New Roman" w:cstheme="minorHAnsi"/>
          <w:sz w:val="24"/>
          <w:szCs w:val="24"/>
          <w:u w:val="single"/>
          <w:lang w:eastAsia="en-GB"/>
        </w:rPr>
        <w:t>Discretionary action</w:t>
      </w:r>
    </w:p>
    <w:p w:rsidR="009D0BBE" w:rsidRPr="00FC09EC" w:rsidRDefault="009D0BBE" w:rsidP="009D0BBE">
      <w:pPr>
        <w:spacing w:after="0"/>
        <w:rPr>
          <w:rFonts w:eastAsia="Times New Roman" w:cstheme="minorHAnsi"/>
          <w:b/>
          <w:sz w:val="24"/>
          <w:szCs w:val="24"/>
          <w:u w:val="single"/>
          <w:lang w:eastAsia="en-GB"/>
        </w:rPr>
      </w:pPr>
    </w:p>
    <w:p w:rsidR="009D0BBE" w:rsidRPr="00FC09EC" w:rsidRDefault="009D0BBE" w:rsidP="009D0BBE">
      <w:pPr>
        <w:spacing w:after="0"/>
        <w:rPr>
          <w:rFonts w:eastAsia="Times New Roman" w:cstheme="minorHAnsi"/>
          <w:sz w:val="24"/>
          <w:szCs w:val="24"/>
          <w:lang w:eastAsia="en-GB"/>
        </w:rPr>
      </w:pPr>
      <w:r w:rsidRPr="00FC09EC">
        <w:rPr>
          <w:rFonts w:eastAsia="Times New Roman" w:cstheme="minorHAnsi"/>
          <w:sz w:val="24"/>
          <w:szCs w:val="24"/>
          <w:lang w:eastAsia="en-GB"/>
        </w:rPr>
        <w:t>Where business</w:t>
      </w:r>
      <w:r>
        <w:rPr>
          <w:rFonts w:eastAsia="Times New Roman" w:cstheme="minorHAnsi"/>
          <w:sz w:val="24"/>
          <w:szCs w:val="24"/>
          <w:lang w:eastAsia="en-GB"/>
        </w:rPr>
        <w:t>es</w:t>
      </w:r>
      <w:r w:rsidRPr="00FC09EC">
        <w:rPr>
          <w:rFonts w:eastAsia="Times New Roman" w:cstheme="minorHAnsi"/>
          <w:sz w:val="24"/>
          <w:szCs w:val="24"/>
          <w:lang w:eastAsia="en-GB"/>
        </w:rPr>
        <w:t xml:space="preserve"> </w:t>
      </w:r>
      <w:r>
        <w:rPr>
          <w:rFonts w:eastAsia="Times New Roman" w:cstheme="minorHAnsi"/>
          <w:sz w:val="24"/>
          <w:szCs w:val="24"/>
          <w:lang w:eastAsia="en-GB"/>
        </w:rPr>
        <w:t>are</w:t>
      </w:r>
      <w:r w:rsidRPr="00FC09EC">
        <w:rPr>
          <w:rFonts w:eastAsia="Times New Roman" w:cstheme="minorHAnsi"/>
          <w:sz w:val="24"/>
          <w:szCs w:val="24"/>
          <w:lang w:eastAsia="en-GB"/>
        </w:rPr>
        <w:t xml:space="preserve"> given an option to act, questions often arise as to whether the impact of their actions is direct or indirect. </w:t>
      </w:r>
      <w:r>
        <w:rPr>
          <w:rFonts w:eastAsia="Times New Roman" w:cstheme="minorHAnsi"/>
          <w:sz w:val="24"/>
          <w:szCs w:val="24"/>
          <w:lang w:eastAsia="en-GB"/>
        </w:rPr>
        <w:t>If considered indirect, then just about any deregulatory measure would be treated as having indirect impacts.  So the</w:t>
      </w:r>
      <w:r w:rsidRPr="00FC09EC">
        <w:rPr>
          <w:rFonts w:eastAsia="Times New Roman" w:cstheme="minorHAnsi"/>
          <w:sz w:val="24"/>
          <w:szCs w:val="24"/>
          <w:lang w:eastAsia="en-GB"/>
        </w:rPr>
        <w:t xml:space="preserve"> principle is that where the regulation was the main </w:t>
      </w:r>
      <w:r>
        <w:rPr>
          <w:rFonts w:eastAsia="Times New Roman" w:cstheme="minorHAnsi"/>
          <w:sz w:val="24"/>
          <w:szCs w:val="24"/>
          <w:lang w:eastAsia="en-GB"/>
        </w:rPr>
        <w:t>barrier</w:t>
      </w:r>
      <w:r w:rsidRPr="00FC09EC">
        <w:rPr>
          <w:rFonts w:eastAsia="Times New Roman" w:cstheme="minorHAnsi"/>
          <w:sz w:val="24"/>
          <w:szCs w:val="24"/>
          <w:lang w:eastAsia="en-GB"/>
        </w:rPr>
        <w:t xml:space="preserve"> preventing the business from acting, and this is supported by evidence, then the impact can be considered </w:t>
      </w:r>
      <w:r>
        <w:rPr>
          <w:rFonts w:eastAsia="Times New Roman" w:cstheme="minorHAnsi"/>
          <w:sz w:val="24"/>
          <w:szCs w:val="24"/>
          <w:lang w:eastAsia="en-GB"/>
        </w:rPr>
        <w:t xml:space="preserve">to be </w:t>
      </w:r>
      <w:r w:rsidRPr="00FC09EC">
        <w:rPr>
          <w:rFonts w:eastAsia="Times New Roman" w:cstheme="minorHAnsi"/>
          <w:sz w:val="24"/>
          <w:szCs w:val="24"/>
          <w:lang w:eastAsia="en-GB"/>
        </w:rPr>
        <w:t>direct. When both the removal of the regulation and other factors are required, for example innovation to take advantage of a new freedom, then impacts are</w:t>
      </w:r>
      <w:r>
        <w:rPr>
          <w:rFonts w:eastAsia="Times New Roman" w:cstheme="minorHAnsi"/>
          <w:sz w:val="24"/>
          <w:szCs w:val="24"/>
          <w:lang w:eastAsia="en-GB"/>
        </w:rPr>
        <w:t xml:space="preserve"> considered to be </w:t>
      </w:r>
      <w:r w:rsidRPr="00FC09EC">
        <w:rPr>
          <w:rFonts w:eastAsia="Times New Roman" w:cstheme="minorHAnsi"/>
          <w:sz w:val="24"/>
          <w:szCs w:val="24"/>
          <w:lang w:eastAsia="en-GB"/>
        </w:rPr>
        <w:t xml:space="preserve">indirect. </w:t>
      </w:r>
    </w:p>
    <w:p w:rsidR="009D0BBE" w:rsidRPr="00FC09EC" w:rsidRDefault="009D0BBE" w:rsidP="009D0BBE">
      <w:pPr>
        <w:spacing w:after="0"/>
        <w:rPr>
          <w:rFonts w:eastAsia="Times New Roman" w:cstheme="minorHAnsi"/>
          <w:b/>
          <w:sz w:val="24"/>
          <w:szCs w:val="24"/>
          <w:lang w:eastAsia="en-GB"/>
        </w:rPr>
      </w:pPr>
    </w:p>
    <w:p w:rsidR="009D0BBE" w:rsidRPr="00FC09EC" w:rsidRDefault="009D0BBE" w:rsidP="009D0BBE">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sz w:val="24"/>
          <w:szCs w:val="24"/>
          <w:lang w:eastAsia="en-GB"/>
        </w:rPr>
      </w:pPr>
      <w:r w:rsidRPr="00FC09EC">
        <w:rPr>
          <w:rFonts w:eastAsia="Times New Roman" w:cstheme="minorHAnsi"/>
          <w:b/>
          <w:sz w:val="24"/>
          <w:szCs w:val="24"/>
          <w:lang w:eastAsia="en-GB"/>
        </w:rPr>
        <w:t xml:space="preserve">Legislative Reform (Industrial and Provident Societies and Credit Unions) Order 2011 (RPC11-HMT-0869): </w:t>
      </w:r>
      <w:r>
        <w:rPr>
          <w:rFonts w:eastAsia="Times New Roman" w:cstheme="minorHAnsi"/>
          <w:sz w:val="24"/>
          <w:szCs w:val="24"/>
          <w:lang w:eastAsia="en-GB"/>
        </w:rPr>
        <w:t>T</w:t>
      </w:r>
      <w:r w:rsidRPr="00FC09EC">
        <w:rPr>
          <w:rFonts w:eastAsia="Times New Roman" w:cstheme="minorHAnsi"/>
          <w:sz w:val="24"/>
          <w:szCs w:val="24"/>
          <w:lang w:eastAsia="en-GB"/>
        </w:rPr>
        <w:t>his policy allowed credit unions to increase membership and offer more services. It was clear from the evidence provided that the affected businesses wished to grow and were prevented from doing so only by the regulations. The costs and benefits to firms of expanding were</w:t>
      </w:r>
      <w:r>
        <w:rPr>
          <w:rFonts w:eastAsia="Times New Roman" w:cstheme="minorHAnsi"/>
          <w:sz w:val="24"/>
          <w:szCs w:val="24"/>
          <w:lang w:eastAsia="en-GB"/>
        </w:rPr>
        <w:t>,</w:t>
      </w:r>
      <w:r w:rsidRPr="00FC09EC">
        <w:rPr>
          <w:rFonts w:eastAsia="Times New Roman" w:cstheme="minorHAnsi"/>
          <w:sz w:val="24"/>
          <w:szCs w:val="24"/>
          <w:lang w:eastAsia="en-GB"/>
        </w:rPr>
        <w:t xml:space="preserve"> therefore</w:t>
      </w:r>
      <w:r>
        <w:rPr>
          <w:rFonts w:eastAsia="Times New Roman" w:cstheme="minorHAnsi"/>
          <w:sz w:val="24"/>
          <w:szCs w:val="24"/>
          <w:lang w:eastAsia="en-GB"/>
        </w:rPr>
        <w:t>,</w:t>
      </w:r>
      <w:r w:rsidRPr="00FC09EC">
        <w:rPr>
          <w:rFonts w:eastAsia="Times New Roman" w:cstheme="minorHAnsi"/>
          <w:sz w:val="24"/>
          <w:szCs w:val="24"/>
          <w:lang w:eastAsia="en-GB"/>
        </w:rPr>
        <w:t xml:space="preserve"> considered direct and in scope of OIOO. (</w:t>
      </w:r>
      <w:hyperlink r:id="rId39" w:history="1">
        <w:r w:rsidRPr="00FC09EC">
          <w:rPr>
            <w:rFonts w:eastAsia="Times New Roman" w:cstheme="minorHAnsi"/>
            <w:color w:val="0000FF"/>
            <w:sz w:val="24"/>
            <w:szCs w:val="24"/>
            <w:u w:val="single"/>
            <w:lang w:eastAsia="en-GB"/>
          </w:rPr>
          <w:t>IA</w:t>
        </w:r>
      </w:hyperlink>
      <w:r w:rsidRPr="00FC09EC">
        <w:rPr>
          <w:rFonts w:eastAsia="Times New Roman" w:cstheme="minorHAnsi"/>
          <w:sz w:val="24"/>
          <w:szCs w:val="24"/>
          <w:lang w:eastAsia="en-GB"/>
        </w:rPr>
        <w:t xml:space="preserve">) </w:t>
      </w:r>
    </w:p>
    <w:p w:rsidR="009D0BBE" w:rsidRPr="00FC09EC" w:rsidRDefault="009D0BBE" w:rsidP="009D0BBE">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sz w:val="24"/>
          <w:szCs w:val="24"/>
          <w:lang w:eastAsia="en-GB"/>
        </w:rPr>
      </w:pPr>
    </w:p>
    <w:p w:rsidR="009D0BBE" w:rsidRPr="00FC09EC" w:rsidRDefault="009D0BBE" w:rsidP="009D0BBE">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sz w:val="24"/>
          <w:szCs w:val="24"/>
          <w:lang w:eastAsia="en-GB"/>
        </w:rPr>
      </w:pPr>
      <w:r w:rsidRPr="00FC09EC">
        <w:rPr>
          <w:rFonts w:eastAsia="Times New Roman" w:cstheme="minorHAnsi"/>
          <w:b/>
          <w:sz w:val="24"/>
          <w:szCs w:val="24"/>
          <w:lang w:eastAsia="en-GB"/>
        </w:rPr>
        <w:t xml:space="preserve">Orphan works (RPC11-BIS-1063): </w:t>
      </w:r>
      <w:r>
        <w:rPr>
          <w:rFonts w:eastAsia="Times New Roman" w:cstheme="minorHAnsi"/>
          <w:sz w:val="24"/>
          <w:szCs w:val="24"/>
          <w:lang w:eastAsia="en-GB"/>
        </w:rPr>
        <w:t>O</w:t>
      </w:r>
      <w:r w:rsidRPr="00FC09EC">
        <w:rPr>
          <w:rFonts w:eastAsia="Times New Roman" w:cstheme="minorHAnsi"/>
          <w:sz w:val="24"/>
          <w:szCs w:val="24"/>
          <w:lang w:eastAsia="en-GB"/>
        </w:rPr>
        <w:t>rphan works are copyrighted works whose author is unknown. This policy allowed the use of orphan works, subject to certain safeguards. One of the main expected benefits of this policy was from new businesses be</w:t>
      </w:r>
      <w:r>
        <w:rPr>
          <w:rFonts w:eastAsia="Times New Roman" w:cstheme="minorHAnsi"/>
          <w:sz w:val="24"/>
          <w:szCs w:val="24"/>
          <w:lang w:eastAsia="en-GB"/>
        </w:rPr>
        <w:t>ing</w:t>
      </w:r>
      <w:r w:rsidRPr="00FC09EC">
        <w:rPr>
          <w:rFonts w:eastAsia="Times New Roman" w:cstheme="minorHAnsi"/>
          <w:sz w:val="24"/>
          <w:szCs w:val="24"/>
          <w:lang w:eastAsia="en-GB"/>
        </w:rPr>
        <w:t xml:space="preserve"> created to take advantage of newly-available material. As these benefits would arise only as a result of innovation from business, they were considered </w:t>
      </w:r>
      <w:r>
        <w:rPr>
          <w:rFonts w:eastAsia="Times New Roman" w:cstheme="minorHAnsi"/>
          <w:sz w:val="24"/>
          <w:szCs w:val="24"/>
          <w:lang w:eastAsia="en-GB"/>
        </w:rPr>
        <w:t xml:space="preserve">to be </w:t>
      </w:r>
      <w:r w:rsidRPr="00FC09EC">
        <w:rPr>
          <w:rFonts w:eastAsia="Times New Roman" w:cstheme="minorHAnsi"/>
          <w:sz w:val="24"/>
          <w:szCs w:val="24"/>
          <w:lang w:eastAsia="en-GB"/>
        </w:rPr>
        <w:t xml:space="preserve">indirect. </w:t>
      </w:r>
      <w:r>
        <w:rPr>
          <w:rFonts w:eastAsia="Times New Roman" w:cstheme="minorHAnsi"/>
          <w:sz w:val="24"/>
          <w:szCs w:val="24"/>
          <w:lang w:eastAsia="en-GB"/>
        </w:rPr>
        <w:t>(Note that t</w:t>
      </w:r>
      <w:r w:rsidRPr="00FC09EC">
        <w:rPr>
          <w:rFonts w:eastAsia="Times New Roman" w:cstheme="minorHAnsi"/>
          <w:sz w:val="24"/>
          <w:szCs w:val="24"/>
          <w:lang w:eastAsia="en-GB"/>
        </w:rPr>
        <w:t xml:space="preserve">here were other direct benefits to existing users of orphan works </w:t>
      </w:r>
      <w:r>
        <w:rPr>
          <w:rFonts w:eastAsia="Times New Roman" w:cstheme="minorHAnsi"/>
          <w:sz w:val="24"/>
          <w:szCs w:val="24"/>
          <w:lang w:eastAsia="en-GB"/>
        </w:rPr>
        <w:t xml:space="preserve">and, </w:t>
      </w:r>
      <w:r w:rsidRPr="00FC09EC">
        <w:rPr>
          <w:rFonts w:eastAsia="Times New Roman" w:cstheme="minorHAnsi"/>
          <w:sz w:val="24"/>
          <w:szCs w:val="24"/>
          <w:lang w:eastAsia="en-GB"/>
        </w:rPr>
        <w:t>therefore</w:t>
      </w:r>
      <w:r>
        <w:rPr>
          <w:rFonts w:eastAsia="Times New Roman" w:cstheme="minorHAnsi"/>
          <w:sz w:val="24"/>
          <w:szCs w:val="24"/>
          <w:lang w:eastAsia="en-GB"/>
        </w:rPr>
        <w:t>,</w:t>
      </w:r>
      <w:r w:rsidRPr="00FC09EC">
        <w:rPr>
          <w:rFonts w:eastAsia="Times New Roman" w:cstheme="minorHAnsi"/>
          <w:sz w:val="24"/>
          <w:szCs w:val="24"/>
          <w:lang w:eastAsia="en-GB"/>
        </w:rPr>
        <w:t xml:space="preserve"> the policy </w:t>
      </w:r>
      <w:r>
        <w:rPr>
          <w:rFonts w:eastAsia="Times New Roman" w:cstheme="minorHAnsi"/>
          <w:sz w:val="24"/>
          <w:szCs w:val="24"/>
          <w:lang w:eastAsia="en-GB"/>
        </w:rPr>
        <w:t xml:space="preserve">overall </w:t>
      </w:r>
      <w:r w:rsidRPr="00FC09EC">
        <w:rPr>
          <w:rFonts w:eastAsia="Times New Roman" w:cstheme="minorHAnsi"/>
          <w:sz w:val="24"/>
          <w:szCs w:val="24"/>
          <w:lang w:eastAsia="en-GB"/>
        </w:rPr>
        <w:t xml:space="preserve">was </w:t>
      </w:r>
      <w:r>
        <w:rPr>
          <w:rFonts w:eastAsia="Times New Roman" w:cstheme="minorHAnsi"/>
          <w:sz w:val="24"/>
          <w:szCs w:val="24"/>
          <w:lang w:eastAsia="en-GB"/>
        </w:rPr>
        <w:t xml:space="preserve">still </w:t>
      </w:r>
      <w:r w:rsidRPr="00FC09EC">
        <w:rPr>
          <w:rFonts w:eastAsia="Times New Roman" w:cstheme="minorHAnsi"/>
          <w:sz w:val="24"/>
          <w:szCs w:val="24"/>
          <w:lang w:eastAsia="en-GB"/>
        </w:rPr>
        <w:t>an OUT.</w:t>
      </w:r>
      <w:r>
        <w:rPr>
          <w:rFonts w:eastAsia="Times New Roman" w:cstheme="minorHAnsi"/>
          <w:sz w:val="24"/>
          <w:szCs w:val="24"/>
          <w:lang w:eastAsia="en-GB"/>
        </w:rPr>
        <w:t>)</w:t>
      </w:r>
      <w:r w:rsidRPr="00FC09EC">
        <w:rPr>
          <w:rFonts w:eastAsia="Times New Roman" w:cstheme="minorHAnsi"/>
          <w:sz w:val="24"/>
          <w:szCs w:val="24"/>
          <w:lang w:eastAsia="en-GB"/>
        </w:rPr>
        <w:t xml:space="preserve"> (</w:t>
      </w:r>
      <w:hyperlink r:id="rId40" w:history="1">
        <w:r w:rsidRPr="00FC09EC">
          <w:rPr>
            <w:rFonts w:eastAsia="Times New Roman" w:cstheme="minorHAnsi"/>
            <w:color w:val="0000FF"/>
            <w:sz w:val="24"/>
            <w:szCs w:val="24"/>
            <w:u w:val="single"/>
            <w:lang w:eastAsia="en-GB"/>
          </w:rPr>
          <w:t>IA</w:t>
        </w:r>
      </w:hyperlink>
      <w:r w:rsidRPr="00FC09EC">
        <w:rPr>
          <w:rFonts w:eastAsia="Times New Roman" w:cstheme="minorHAnsi"/>
          <w:sz w:val="24"/>
          <w:szCs w:val="24"/>
          <w:lang w:eastAsia="en-GB"/>
        </w:rPr>
        <w:t>) (</w:t>
      </w:r>
      <w:hyperlink r:id="rId41" w:history="1">
        <w:r w:rsidRPr="00FC09EC">
          <w:rPr>
            <w:rFonts w:eastAsia="Times New Roman" w:cstheme="minorHAnsi"/>
            <w:color w:val="0000FF"/>
            <w:sz w:val="24"/>
            <w:szCs w:val="24"/>
            <w:u w:val="single"/>
            <w:lang w:eastAsia="en-GB"/>
          </w:rPr>
          <w:t>Opinion</w:t>
        </w:r>
      </w:hyperlink>
      <w:r w:rsidRPr="00FC09EC">
        <w:rPr>
          <w:rFonts w:eastAsia="Times New Roman" w:cstheme="minorHAnsi"/>
          <w:sz w:val="24"/>
          <w:szCs w:val="24"/>
          <w:lang w:eastAsia="en-GB"/>
        </w:rPr>
        <w:t>)</w:t>
      </w:r>
    </w:p>
    <w:p w:rsidR="009D0BBE" w:rsidRPr="00FC09EC" w:rsidRDefault="009D0BBE" w:rsidP="009D0BBE">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sz w:val="24"/>
          <w:szCs w:val="24"/>
          <w:lang w:eastAsia="en-GB"/>
        </w:rPr>
      </w:pPr>
    </w:p>
    <w:p w:rsidR="009D0BBE" w:rsidRPr="00FC09EC" w:rsidRDefault="009D0BBE" w:rsidP="009D0BBE">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sz w:val="24"/>
          <w:szCs w:val="24"/>
          <w:lang w:eastAsia="en-GB"/>
        </w:rPr>
      </w:pPr>
      <w:r w:rsidRPr="00FC09EC">
        <w:rPr>
          <w:rFonts w:eastAsia="Times New Roman" w:cstheme="minorHAnsi"/>
          <w:b/>
          <w:sz w:val="24"/>
          <w:szCs w:val="24"/>
          <w:lang w:eastAsia="en-GB"/>
        </w:rPr>
        <w:lastRenderedPageBreak/>
        <w:t xml:space="preserve">Extending the primary authority scheme (RPC11-BIS-0899): </w:t>
      </w:r>
      <w:r>
        <w:rPr>
          <w:rFonts w:eastAsia="Times New Roman" w:cstheme="minorHAnsi"/>
          <w:sz w:val="24"/>
          <w:szCs w:val="24"/>
          <w:lang w:eastAsia="en-GB"/>
        </w:rPr>
        <w:t>T</w:t>
      </w:r>
      <w:r w:rsidRPr="00FC09EC">
        <w:rPr>
          <w:rFonts w:eastAsia="Times New Roman" w:cstheme="minorHAnsi"/>
          <w:sz w:val="24"/>
          <w:szCs w:val="24"/>
          <w:lang w:eastAsia="en-GB"/>
        </w:rPr>
        <w:t>he primary authority scheme allows a business operating in multiple local authority areas to nominate a primary authority to co-ordinate all local authority enforcement activity relating to that business. The policy extended the scheme. As the scheme resulted in a reduction in the level of regulatory activity a business was required to undertake, the impacts were ruled to be direct. There have been a number of other policies to extend the primary authority scheme, all of which have been treated in the same manner. (See also deregulation). (</w:t>
      </w:r>
      <w:hyperlink r:id="rId42" w:history="1">
        <w:r w:rsidRPr="00FC09EC">
          <w:rPr>
            <w:rFonts w:eastAsia="Times New Roman" w:cstheme="minorHAnsi"/>
            <w:color w:val="0000FF"/>
            <w:sz w:val="24"/>
            <w:szCs w:val="24"/>
            <w:u w:val="single"/>
            <w:lang w:eastAsia="en-GB"/>
          </w:rPr>
          <w:t>IA</w:t>
        </w:r>
      </w:hyperlink>
      <w:r w:rsidRPr="00FC09EC">
        <w:rPr>
          <w:rFonts w:eastAsia="Times New Roman" w:cstheme="minorHAnsi"/>
          <w:sz w:val="24"/>
          <w:szCs w:val="24"/>
          <w:lang w:eastAsia="en-GB"/>
        </w:rPr>
        <w:t>) (</w:t>
      </w:r>
      <w:hyperlink r:id="rId43" w:history="1">
        <w:r w:rsidRPr="00FC09EC">
          <w:rPr>
            <w:rFonts w:eastAsia="Times New Roman" w:cstheme="minorHAnsi"/>
            <w:color w:val="0000FF"/>
            <w:sz w:val="24"/>
            <w:szCs w:val="24"/>
            <w:u w:val="single"/>
            <w:lang w:eastAsia="en-GB"/>
          </w:rPr>
          <w:t>Opinion</w:t>
        </w:r>
      </w:hyperlink>
      <w:r w:rsidRPr="00FC09EC">
        <w:rPr>
          <w:rFonts w:eastAsia="Times New Roman" w:cstheme="minorHAnsi"/>
          <w:sz w:val="24"/>
          <w:szCs w:val="24"/>
          <w:lang w:eastAsia="en-GB"/>
        </w:rPr>
        <w:t>)</w:t>
      </w:r>
    </w:p>
    <w:p w:rsidR="009D0BBE" w:rsidRPr="00FC09EC" w:rsidRDefault="009D0BBE" w:rsidP="009D0BBE">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sz w:val="24"/>
          <w:szCs w:val="24"/>
          <w:lang w:eastAsia="en-GB"/>
        </w:rPr>
      </w:pPr>
    </w:p>
    <w:p w:rsidR="009D0BBE" w:rsidRPr="00FC09EC" w:rsidRDefault="009D0BBE" w:rsidP="009D0BBE">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sz w:val="24"/>
          <w:szCs w:val="24"/>
          <w:lang w:eastAsia="en-GB"/>
        </w:rPr>
      </w:pPr>
      <w:r w:rsidRPr="00FC09EC">
        <w:rPr>
          <w:rFonts w:eastAsia="Times New Roman" w:cstheme="minorHAnsi"/>
          <w:b/>
          <w:sz w:val="24"/>
          <w:szCs w:val="24"/>
          <w:lang w:eastAsia="en-GB"/>
        </w:rPr>
        <w:t xml:space="preserve">Gambling Act 2005: triennial review of stakes and prize limits (RPC13-DCMS-1459): </w:t>
      </w:r>
      <w:r>
        <w:rPr>
          <w:rFonts w:eastAsia="Times New Roman" w:cstheme="minorHAnsi"/>
          <w:sz w:val="24"/>
          <w:szCs w:val="24"/>
          <w:lang w:eastAsia="en-GB"/>
        </w:rPr>
        <w:t>T</w:t>
      </w:r>
      <w:r w:rsidRPr="00FC09EC">
        <w:rPr>
          <w:rFonts w:eastAsia="Times New Roman" w:cstheme="minorHAnsi"/>
          <w:sz w:val="24"/>
          <w:szCs w:val="24"/>
          <w:lang w:eastAsia="en-GB"/>
        </w:rPr>
        <w:t>here is a limit on the maximum value of stakes and prizes used in gaming machines. The policy increased this limit, allowing businesses to make greater profits from higher value machines. As it would be reasonably straightforward for businesses to move to higher-value machines it was accepted that the regulation was the only thing that prevented businesses from gaining these benefits. The benefits were</w:t>
      </w:r>
      <w:r w:rsidR="00BA6D02">
        <w:rPr>
          <w:rFonts w:eastAsia="Times New Roman" w:cstheme="minorHAnsi"/>
          <w:sz w:val="24"/>
          <w:szCs w:val="24"/>
          <w:lang w:eastAsia="en-GB"/>
        </w:rPr>
        <w:t>,</w:t>
      </w:r>
      <w:r w:rsidRPr="00FC09EC">
        <w:rPr>
          <w:rFonts w:eastAsia="Times New Roman" w:cstheme="minorHAnsi"/>
          <w:sz w:val="24"/>
          <w:szCs w:val="24"/>
          <w:lang w:eastAsia="en-GB"/>
        </w:rPr>
        <w:t xml:space="preserve"> therefore</w:t>
      </w:r>
      <w:r w:rsidR="00BA6D02">
        <w:rPr>
          <w:rFonts w:eastAsia="Times New Roman" w:cstheme="minorHAnsi"/>
          <w:sz w:val="24"/>
          <w:szCs w:val="24"/>
          <w:lang w:eastAsia="en-GB"/>
        </w:rPr>
        <w:t>,</w:t>
      </w:r>
      <w:r w:rsidRPr="00FC09EC">
        <w:rPr>
          <w:rFonts w:eastAsia="Times New Roman" w:cstheme="minorHAnsi"/>
          <w:sz w:val="24"/>
          <w:szCs w:val="24"/>
          <w:lang w:eastAsia="en-GB"/>
        </w:rPr>
        <w:t xml:space="preserve"> considered to be direct. (</w:t>
      </w:r>
      <w:hyperlink r:id="rId44" w:history="1">
        <w:r w:rsidRPr="00FC09EC">
          <w:rPr>
            <w:rFonts w:eastAsia="Times New Roman" w:cstheme="minorHAnsi"/>
            <w:color w:val="0000FF"/>
            <w:sz w:val="24"/>
            <w:szCs w:val="24"/>
            <w:u w:val="single"/>
            <w:lang w:eastAsia="en-GB"/>
          </w:rPr>
          <w:t>IA</w:t>
        </w:r>
      </w:hyperlink>
      <w:r w:rsidRPr="00FC09EC">
        <w:rPr>
          <w:rFonts w:eastAsia="Times New Roman" w:cstheme="minorHAnsi"/>
          <w:sz w:val="24"/>
          <w:szCs w:val="24"/>
          <w:lang w:eastAsia="en-GB"/>
        </w:rPr>
        <w:t>) (</w:t>
      </w:r>
      <w:hyperlink r:id="rId45" w:history="1">
        <w:r w:rsidRPr="00FC09EC">
          <w:rPr>
            <w:rFonts w:eastAsia="Times New Roman" w:cstheme="minorHAnsi"/>
            <w:color w:val="0000FF"/>
            <w:sz w:val="24"/>
            <w:szCs w:val="24"/>
            <w:u w:val="single"/>
            <w:lang w:eastAsia="en-GB"/>
          </w:rPr>
          <w:t>Opinion)</w:t>
        </w:r>
      </w:hyperlink>
      <w:r w:rsidRPr="00FC09EC">
        <w:rPr>
          <w:rFonts w:eastAsia="Times New Roman" w:cstheme="minorHAnsi"/>
          <w:sz w:val="24"/>
          <w:szCs w:val="24"/>
          <w:lang w:eastAsia="en-GB"/>
        </w:rPr>
        <w:t>)</w:t>
      </w:r>
    </w:p>
    <w:p w:rsidR="00E91BD7" w:rsidRDefault="00E91BD7" w:rsidP="00FC09EC">
      <w:pPr>
        <w:spacing w:after="0"/>
        <w:rPr>
          <w:rFonts w:eastAsia="Times New Roman" w:cstheme="minorHAnsi"/>
          <w:sz w:val="24"/>
          <w:szCs w:val="24"/>
          <w:u w:val="single"/>
          <w:lang w:eastAsia="en-GB"/>
        </w:rPr>
      </w:pPr>
    </w:p>
    <w:p w:rsidR="00FC09EC" w:rsidRPr="00FC09EC" w:rsidRDefault="00FC09EC" w:rsidP="00FC09EC">
      <w:pPr>
        <w:spacing w:after="0"/>
        <w:rPr>
          <w:rFonts w:eastAsia="Times New Roman" w:cstheme="minorHAnsi"/>
          <w:sz w:val="24"/>
          <w:szCs w:val="24"/>
          <w:lang w:eastAsia="en-GB"/>
        </w:rPr>
      </w:pPr>
    </w:p>
    <w:p w:rsidR="00A06E43" w:rsidRDefault="00A06E43" w:rsidP="00EB7B0D">
      <w:pPr>
        <w:rPr>
          <w:rFonts w:eastAsiaTheme="majorEastAsia" w:cstheme="minorHAnsi"/>
          <w:b/>
          <w:color w:val="984806" w:themeColor="accent6" w:themeShade="80"/>
          <w:spacing w:val="5"/>
          <w:kern w:val="28"/>
          <w:sz w:val="28"/>
          <w:szCs w:val="28"/>
        </w:rPr>
      </w:pPr>
      <w:bookmarkStart w:id="7" w:name="Inefficient"/>
      <w:bookmarkEnd w:id="7"/>
    </w:p>
    <w:p w:rsidR="005C4054" w:rsidRPr="00D32B05" w:rsidRDefault="005C4054" w:rsidP="005C4054">
      <w:pPr>
        <w:rPr>
          <w:rFonts w:eastAsia="Times New Roman" w:cstheme="minorHAnsi"/>
          <w:b/>
          <w:sz w:val="24"/>
          <w:szCs w:val="24"/>
          <w:lang w:eastAsia="en-GB"/>
        </w:rPr>
      </w:pPr>
      <w:r w:rsidRPr="003C4C3C">
        <w:rPr>
          <w:rFonts w:eastAsiaTheme="majorEastAsia" w:cstheme="minorHAnsi"/>
          <w:b/>
          <w:color w:val="984806" w:themeColor="accent6" w:themeShade="80"/>
          <w:spacing w:val="5"/>
          <w:kern w:val="28"/>
          <w:sz w:val="28"/>
          <w:szCs w:val="28"/>
        </w:rPr>
        <w:t>4.</w:t>
      </w:r>
      <w:r>
        <w:rPr>
          <w:rFonts w:eastAsiaTheme="majorEastAsia" w:cstheme="minorHAnsi"/>
          <w:b/>
          <w:color w:val="984806" w:themeColor="accent6" w:themeShade="80"/>
          <w:spacing w:val="5"/>
          <w:kern w:val="28"/>
          <w:sz w:val="28"/>
          <w:szCs w:val="28"/>
        </w:rPr>
        <w:t>2</w:t>
      </w:r>
      <w:r w:rsidRPr="003C4C3C">
        <w:rPr>
          <w:rFonts w:eastAsiaTheme="majorEastAsia" w:cstheme="minorHAnsi"/>
          <w:b/>
          <w:color w:val="984806" w:themeColor="accent6" w:themeShade="80"/>
          <w:spacing w:val="5"/>
          <w:kern w:val="28"/>
          <w:sz w:val="28"/>
          <w:szCs w:val="28"/>
        </w:rPr>
        <w:t xml:space="preserve"> Guidance on the calculation of profit for the purposes of determining the impact on business</w:t>
      </w:r>
    </w:p>
    <w:p w:rsidR="005C4054" w:rsidRPr="00FE58B1" w:rsidRDefault="005C4054" w:rsidP="005C4054">
      <w:pPr>
        <w:rPr>
          <w:b/>
          <w:color w:val="000000" w:themeColor="text1"/>
          <w:sz w:val="24"/>
          <w:szCs w:val="24"/>
        </w:rPr>
      </w:pPr>
      <w:r w:rsidRPr="00FE58B1">
        <w:rPr>
          <w:b/>
          <w:color w:val="000000" w:themeColor="text1"/>
          <w:sz w:val="24"/>
          <w:szCs w:val="24"/>
        </w:rPr>
        <w:t>4.</w:t>
      </w:r>
      <w:r>
        <w:rPr>
          <w:b/>
          <w:color w:val="000000" w:themeColor="text1"/>
          <w:sz w:val="24"/>
          <w:szCs w:val="24"/>
        </w:rPr>
        <w:t>2</w:t>
      </w:r>
      <w:r w:rsidRPr="00FE58B1">
        <w:rPr>
          <w:b/>
          <w:color w:val="000000" w:themeColor="text1"/>
          <w:sz w:val="24"/>
          <w:szCs w:val="24"/>
        </w:rPr>
        <w:t xml:space="preserve">.1 </w:t>
      </w:r>
      <w:r>
        <w:rPr>
          <w:b/>
          <w:color w:val="000000" w:themeColor="text1"/>
          <w:sz w:val="24"/>
          <w:szCs w:val="24"/>
        </w:rPr>
        <w:tab/>
      </w:r>
      <w:r w:rsidRPr="00FE58B1">
        <w:rPr>
          <w:b/>
          <w:color w:val="000000" w:themeColor="text1"/>
          <w:sz w:val="24"/>
          <w:szCs w:val="24"/>
        </w:rPr>
        <w:t>Gross v. net profit methodology</w:t>
      </w:r>
    </w:p>
    <w:p w:rsidR="005C4054" w:rsidRPr="00BF1F5F" w:rsidRDefault="005C4054" w:rsidP="005C4054">
      <w:pPr>
        <w:rPr>
          <w:rFonts w:cstheme="minorHAnsi"/>
          <w:color w:val="000000" w:themeColor="text1"/>
          <w:sz w:val="24"/>
          <w:szCs w:val="24"/>
        </w:rPr>
      </w:pPr>
      <w:r w:rsidRPr="00BF1F5F">
        <w:rPr>
          <w:rFonts w:cstheme="minorHAnsi"/>
          <w:color w:val="000000" w:themeColor="text1"/>
          <w:sz w:val="24"/>
          <w:szCs w:val="24"/>
        </w:rPr>
        <w:t>When assessing the impact of a regulatory or deregulatory proposal on business, departments can use either:</w:t>
      </w:r>
    </w:p>
    <w:p w:rsidR="005C4054" w:rsidRPr="00BF1F5F" w:rsidRDefault="005C4054" w:rsidP="005C4054">
      <w:pPr>
        <w:pStyle w:val="ListParagraph"/>
        <w:numPr>
          <w:ilvl w:val="0"/>
          <w:numId w:val="36"/>
        </w:numPr>
        <w:spacing w:after="120"/>
        <w:ind w:left="714" w:hanging="357"/>
        <w:contextualSpacing w:val="0"/>
        <w:rPr>
          <w:rFonts w:cstheme="minorHAnsi"/>
          <w:color w:val="000000" w:themeColor="text1"/>
          <w:sz w:val="24"/>
          <w:szCs w:val="24"/>
        </w:rPr>
      </w:pPr>
      <w:proofErr w:type="gramStart"/>
      <w:r w:rsidRPr="00BF1F5F">
        <w:rPr>
          <w:rFonts w:cstheme="minorHAnsi"/>
          <w:color w:val="000000" w:themeColor="text1"/>
          <w:sz w:val="24"/>
          <w:szCs w:val="24"/>
        </w:rPr>
        <w:t>a</w:t>
      </w:r>
      <w:proofErr w:type="gramEnd"/>
      <w:r w:rsidRPr="00BF1F5F">
        <w:rPr>
          <w:rFonts w:cstheme="minorHAnsi"/>
          <w:color w:val="000000" w:themeColor="text1"/>
          <w:sz w:val="24"/>
          <w:szCs w:val="24"/>
        </w:rPr>
        <w:t xml:space="preserve"> </w:t>
      </w:r>
      <w:r w:rsidRPr="00BF1F5F">
        <w:rPr>
          <w:rFonts w:cstheme="minorHAnsi"/>
          <w:color w:val="000000" w:themeColor="text1"/>
          <w:sz w:val="24"/>
          <w:szCs w:val="24"/>
          <w:u w:val="single"/>
        </w:rPr>
        <w:t>gross profit</w:t>
      </w:r>
      <w:r w:rsidRPr="00BF1F5F">
        <w:rPr>
          <w:rFonts w:cstheme="minorHAnsi"/>
          <w:color w:val="000000" w:themeColor="text1"/>
          <w:sz w:val="24"/>
          <w:szCs w:val="24"/>
        </w:rPr>
        <w:t xml:space="preserve"> measure. This essentially requires any change in demand for a product or service to be multiplied by the difference between the wholesale and retail price</w:t>
      </w:r>
      <w:r w:rsidRPr="00BF1F5F">
        <w:rPr>
          <w:rStyle w:val="FootnoteReference"/>
          <w:rFonts w:cstheme="minorHAnsi"/>
          <w:color w:val="000000" w:themeColor="text1"/>
          <w:sz w:val="24"/>
          <w:szCs w:val="24"/>
        </w:rPr>
        <w:footnoteReference w:id="7"/>
      </w:r>
      <w:r w:rsidRPr="00BF1F5F">
        <w:rPr>
          <w:rFonts w:cstheme="minorHAnsi"/>
          <w:color w:val="000000" w:themeColor="text1"/>
          <w:sz w:val="24"/>
          <w:szCs w:val="24"/>
        </w:rPr>
        <w:t>. Or</w:t>
      </w:r>
    </w:p>
    <w:p w:rsidR="005C4054" w:rsidRPr="00BF1F5F" w:rsidRDefault="005C4054" w:rsidP="005C4054">
      <w:pPr>
        <w:pStyle w:val="ListParagraph"/>
        <w:numPr>
          <w:ilvl w:val="0"/>
          <w:numId w:val="36"/>
        </w:numPr>
        <w:rPr>
          <w:rFonts w:cstheme="minorHAnsi"/>
          <w:color w:val="000000" w:themeColor="text1"/>
          <w:sz w:val="24"/>
          <w:szCs w:val="24"/>
        </w:rPr>
      </w:pPr>
      <w:proofErr w:type="gramStart"/>
      <w:r w:rsidRPr="00BF1F5F">
        <w:rPr>
          <w:rFonts w:cstheme="minorHAnsi"/>
          <w:color w:val="000000" w:themeColor="text1"/>
          <w:sz w:val="24"/>
          <w:szCs w:val="24"/>
        </w:rPr>
        <w:t>a</w:t>
      </w:r>
      <w:proofErr w:type="gramEnd"/>
      <w:r w:rsidRPr="00BF1F5F">
        <w:rPr>
          <w:rFonts w:cstheme="minorHAnsi"/>
          <w:color w:val="000000" w:themeColor="text1"/>
          <w:sz w:val="24"/>
          <w:szCs w:val="24"/>
        </w:rPr>
        <w:t xml:space="preserve"> </w:t>
      </w:r>
      <w:r w:rsidRPr="00BF1F5F">
        <w:rPr>
          <w:rFonts w:cstheme="minorHAnsi"/>
          <w:color w:val="000000" w:themeColor="text1"/>
          <w:sz w:val="24"/>
          <w:szCs w:val="24"/>
          <w:u w:val="single"/>
        </w:rPr>
        <w:t>net profit</w:t>
      </w:r>
      <w:r w:rsidRPr="00BF1F5F">
        <w:rPr>
          <w:rFonts w:cstheme="minorHAnsi"/>
          <w:color w:val="000000" w:themeColor="text1"/>
          <w:sz w:val="24"/>
          <w:szCs w:val="24"/>
        </w:rPr>
        <w:t xml:space="preserve"> measure. This would involve a further step of deducting certain business expenses, such as employment costs, running costs and/or the cost of financing and </w:t>
      </w:r>
      <w:r w:rsidRPr="00BF1F5F">
        <w:rPr>
          <w:rFonts w:cstheme="minorHAnsi"/>
          <w:color w:val="000000" w:themeColor="text1"/>
          <w:sz w:val="24"/>
          <w:szCs w:val="24"/>
          <w:lang w:val="en"/>
        </w:rPr>
        <w:t>depreciation/amortization</w:t>
      </w:r>
      <w:r w:rsidRPr="00BF1F5F">
        <w:rPr>
          <w:rFonts w:cstheme="minorHAnsi"/>
          <w:color w:val="000000" w:themeColor="text1"/>
          <w:sz w:val="24"/>
          <w:szCs w:val="24"/>
        </w:rPr>
        <w:t>.</w:t>
      </w:r>
    </w:p>
    <w:p w:rsidR="005C4054" w:rsidRDefault="005C4054" w:rsidP="005C4054">
      <w:pPr>
        <w:rPr>
          <w:rFonts w:cstheme="minorHAnsi"/>
          <w:color w:val="000000" w:themeColor="text1"/>
          <w:sz w:val="24"/>
          <w:szCs w:val="24"/>
        </w:rPr>
      </w:pPr>
      <w:r w:rsidRPr="008117C9">
        <w:rPr>
          <w:rFonts w:cstheme="minorHAnsi"/>
          <w:color w:val="000000" w:themeColor="text1"/>
          <w:sz w:val="24"/>
          <w:szCs w:val="24"/>
        </w:rPr>
        <w:t>In IAs of measures expected to have impacts on business profits, departments most commonly appear to use the gross profit measure. This simpler method often provides a reasonable and proportionate estimate of the impact. However, departments have occasionally used a net profit measure</w:t>
      </w:r>
      <w:r>
        <w:rPr>
          <w:rFonts w:cstheme="minorHAnsi"/>
          <w:color w:val="000000" w:themeColor="text1"/>
          <w:sz w:val="24"/>
          <w:szCs w:val="24"/>
        </w:rPr>
        <w:t xml:space="preserve"> (see box below)</w:t>
      </w:r>
      <w:r w:rsidRPr="008117C9">
        <w:rPr>
          <w:rFonts w:cstheme="minorHAnsi"/>
          <w:color w:val="000000" w:themeColor="text1"/>
          <w:sz w:val="24"/>
          <w:szCs w:val="24"/>
        </w:rPr>
        <w:t>.</w:t>
      </w:r>
    </w:p>
    <w:p w:rsidR="00BA6D02" w:rsidRDefault="00BA6D02" w:rsidP="005C4054">
      <w:pPr>
        <w:rPr>
          <w:rFonts w:cstheme="minorHAnsi"/>
          <w:color w:val="000000"/>
          <w:sz w:val="24"/>
          <w:szCs w:val="24"/>
        </w:rPr>
      </w:pPr>
    </w:p>
    <w:p w:rsidR="005C4054" w:rsidRPr="00C414DA" w:rsidRDefault="005C4054" w:rsidP="005C4054">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sz w:val="24"/>
          <w:szCs w:val="24"/>
          <w:lang w:eastAsia="en-GB"/>
        </w:rPr>
      </w:pPr>
      <w:r w:rsidRPr="004409D4">
        <w:rPr>
          <w:rFonts w:eastAsia="Times New Roman" w:cstheme="minorHAnsi"/>
          <w:b/>
          <w:sz w:val="24"/>
          <w:szCs w:val="24"/>
          <w:lang w:eastAsia="en-GB"/>
        </w:rPr>
        <w:lastRenderedPageBreak/>
        <w:t xml:space="preserve">RPC14-FT-DFT-2242(2) The Electrically Assisted Pedal Cycles (Amendment) Regulations 2015: </w:t>
      </w:r>
      <w:r w:rsidRPr="004409D4">
        <w:rPr>
          <w:rFonts w:eastAsia="Times New Roman" w:cstheme="minorHAnsi"/>
          <w:sz w:val="24"/>
          <w:szCs w:val="24"/>
          <w:lang w:eastAsia="en-GB"/>
        </w:rPr>
        <w:t>This measure increase permitted power and top speeds and remove restrictions on weight and the use of three-wheeled EAPCs. In calculating increased profits to retailers, the Department calculated the increase in gross profit (sales revenue less purchasing costs), but then deducted employment and capital costs. Due to a lack of clarity surrounding the appropriate approach, in what was a new and technical issue, the RPC validated the EANDCB of -£0.6 million but noted that “</w:t>
      </w:r>
      <w:r w:rsidRPr="004409D4">
        <w:rPr>
          <w:rFonts w:eastAsia="Times New Roman" w:cstheme="minorHAnsi"/>
          <w:i/>
          <w:sz w:val="24"/>
          <w:szCs w:val="24"/>
          <w:lang w:eastAsia="en-GB"/>
        </w:rPr>
        <w:t>the methodology for determining any change in business profits would benefit from further consideration by the relevant</w:t>
      </w:r>
      <w:r w:rsidRPr="004409D4">
        <w:rPr>
          <w:i/>
        </w:rPr>
        <w:t xml:space="preserve"> </w:t>
      </w:r>
      <w:r w:rsidRPr="004409D4">
        <w:rPr>
          <w:rFonts w:eastAsia="Times New Roman" w:cstheme="minorHAnsi"/>
          <w:i/>
          <w:sz w:val="24"/>
          <w:szCs w:val="24"/>
          <w:lang w:eastAsia="en-GB"/>
        </w:rPr>
        <w:t>cross-Whitehall methodology groups</w:t>
      </w:r>
      <w:r w:rsidRPr="004409D4">
        <w:rPr>
          <w:rFonts w:eastAsia="Times New Roman" w:cstheme="minorHAnsi"/>
          <w:sz w:val="24"/>
          <w:szCs w:val="24"/>
          <w:lang w:eastAsia="en-GB"/>
        </w:rPr>
        <w:t>.”</w:t>
      </w:r>
    </w:p>
    <w:p w:rsidR="005C4054" w:rsidRDefault="005C4054" w:rsidP="005C4054">
      <w:pPr>
        <w:rPr>
          <w:color w:val="1F497D"/>
          <w:sz w:val="24"/>
          <w:szCs w:val="24"/>
          <w:lang w:eastAsia="en-GB"/>
        </w:rPr>
      </w:pPr>
    </w:p>
    <w:p w:rsidR="005C4054" w:rsidRPr="00BF1F5F" w:rsidRDefault="005C4054" w:rsidP="005C4054">
      <w:pPr>
        <w:rPr>
          <w:rFonts w:cstheme="minorHAnsi"/>
          <w:color w:val="000000" w:themeColor="text1"/>
          <w:sz w:val="24"/>
          <w:szCs w:val="24"/>
          <w:u w:val="single"/>
        </w:rPr>
      </w:pPr>
      <w:r w:rsidRPr="008117C9">
        <w:rPr>
          <w:rFonts w:cstheme="minorHAnsi"/>
          <w:color w:val="000000" w:themeColor="text1"/>
          <w:sz w:val="24"/>
          <w:szCs w:val="24"/>
        </w:rPr>
        <w:t xml:space="preserve">As a result, the RPC asked the Cross-Whitehall Group </w:t>
      </w:r>
      <w:r>
        <w:rPr>
          <w:rFonts w:cstheme="minorHAnsi"/>
          <w:color w:val="000000" w:themeColor="text1"/>
          <w:sz w:val="24"/>
          <w:szCs w:val="24"/>
        </w:rPr>
        <w:t xml:space="preserve">on the Economics of Regulation </w:t>
      </w:r>
      <w:r w:rsidRPr="008117C9">
        <w:rPr>
          <w:rFonts w:cstheme="minorHAnsi"/>
          <w:color w:val="000000" w:themeColor="text1"/>
          <w:sz w:val="24"/>
          <w:szCs w:val="24"/>
        </w:rPr>
        <w:t>and</w:t>
      </w:r>
      <w:r>
        <w:rPr>
          <w:rFonts w:cstheme="minorHAnsi"/>
          <w:color w:val="000000" w:themeColor="text1"/>
          <w:sz w:val="24"/>
          <w:szCs w:val="24"/>
        </w:rPr>
        <w:t xml:space="preserve"> the</w:t>
      </w:r>
      <w:r w:rsidRPr="008117C9">
        <w:rPr>
          <w:rFonts w:cstheme="minorHAnsi"/>
          <w:color w:val="000000" w:themeColor="text1"/>
          <w:sz w:val="24"/>
          <w:szCs w:val="24"/>
        </w:rPr>
        <w:t xml:space="preserve"> RFG secretariat to consider the criteria for judging which measure is appropriate. The outcome was that if the </w:t>
      </w:r>
      <w:r w:rsidRPr="00BF1F5F">
        <w:rPr>
          <w:color w:val="000000" w:themeColor="text1"/>
          <w:sz w:val="24"/>
          <w:szCs w:val="24"/>
          <w:lang w:eastAsia="en-GB"/>
        </w:rPr>
        <w:t xml:space="preserve">costs or savings are a direct and unavoidable part of realising the change in profit they should be deducted, resulting in a net profit approach. </w:t>
      </w:r>
      <w:r w:rsidRPr="00BF1F5F">
        <w:rPr>
          <w:rFonts w:cstheme="minorHAnsi"/>
          <w:color w:val="000000" w:themeColor="text1"/>
          <w:sz w:val="24"/>
          <w:szCs w:val="24"/>
          <w:u w:val="single"/>
        </w:rPr>
        <w:t xml:space="preserve"> </w:t>
      </w:r>
    </w:p>
    <w:p w:rsidR="005C4054" w:rsidRPr="00BF1F5F" w:rsidRDefault="005C4054" w:rsidP="005C4054">
      <w:pPr>
        <w:rPr>
          <w:rFonts w:cstheme="minorHAnsi"/>
          <w:color w:val="000000" w:themeColor="text1"/>
          <w:sz w:val="24"/>
          <w:szCs w:val="24"/>
          <w:u w:val="single"/>
        </w:rPr>
      </w:pPr>
      <w:r w:rsidRPr="00BF1F5F">
        <w:rPr>
          <w:rFonts w:cstheme="minorHAnsi"/>
          <w:color w:val="000000" w:themeColor="text1"/>
          <w:sz w:val="24"/>
          <w:szCs w:val="24"/>
          <w:u w:val="single"/>
        </w:rPr>
        <w:t xml:space="preserve">The key consideration for departments in deciding which method to use is, therefore, whether the change in business costs is unavoidable and incremental. </w:t>
      </w:r>
    </w:p>
    <w:p w:rsidR="005C4054" w:rsidRPr="00BF1F5F" w:rsidRDefault="005C4054" w:rsidP="005C4054">
      <w:pPr>
        <w:rPr>
          <w:color w:val="000000" w:themeColor="text1"/>
          <w:sz w:val="24"/>
          <w:szCs w:val="24"/>
          <w:lang w:eastAsia="en-GB"/>
        </w:rPr>
      </w:pPr>
      <w:r w:rsidRPr="00BF1F5F">
        <w:rPr>
          <w:rFonts w:cstheme="minorHAnsi"/>
          <w:color w:val="000000" w:themeColor="text1"/>
          <w:sz w:val="24"/>
          <w:szCs w:val="24"/>
        </w:rPr>
        <w:t>The change in costs would be unavoidable if it was a direct effect on business. When calculating the impact on profit, generally only first round effects in the regulated market should be included in the calculation of the cost to business, second round effects in the regulated market or effects in other markets are likely to be considered to be indirect impacts.</w:t>
      </w:r>
      <w:r w:rsidRPr="00BF1F5F">
        <w:rPr>
          <w:color w:val="000000" w:themeColor="text1"/>
          <w:sz w:val="24"/>
          <w:szCs w:val="24"/>
          <w:lang w:eastAsia="en-GB"/>
        </w:rPr>
        <w:t xml:space="preserve"> If a business incurs a cost as a direct result of the proposal, i.e. there is no separate business decision to change the level of labour or capital, a net approach would generally be more appropriate.</w:t>
      </w:r>
    </w:p>
    <w:p w:rsidR="005C4054" w:rsidRPr="00BF1F5F" w:rsidRDefault="005C4054" w:rsidP="005C4054">
      <w:pPr>
        <w:rPr>
          <w:color w:val="000000" w:themeColor="text1"/>
          <w:sz w:val="24"/>
          <w:szCs w:val="24"/>
          <w:lang w:eastAsia="en-GB"/>
        </w:rPr>
      </w:pPr>
      <w:r w:rsidRPr="00BF1F5F">
        <w:rPr>
          <w:color w:val="000000" w:themeColor="text1"/>
          <w:sz w:val="24"/>
          <w:szCs w:val="24"/>
          <w:lang w:eastAsia="en-GB"/>
        </w:rPr>
        <w:t>In addition, if there is a clear and unavoidable impact on business costs, then the impact on profits should reflect the incremental change attributable to the measure, i.e. the change in marginal costs multiplied by the change in sales.</w:t>
      </w:r>
    </w:p>
    <w:p w:rsidR="005C4054" w:rsidRPr="00BF1F5F" w:rsidRDefault="005C4054" w:rsidP="005C4054">
      <w:pPr>
        <w:rPr>
          <w:rFonts w:cstheme="minorHAnsi"/>
          <w:color w:val="000000" w:themeColor="text1"/>
          <w:sz w:val="24"/>
          <w:szCs w:val="24"/>
        </w:rPr>
      </w:pPr>
      <w:r w:rsidRPr="00BF1F5F">
        <w:rPr>
          <w:rFonts w:cstheme="minorHAnsi"/>
          <w:color w:val="000000" w:themeColor="text1"/>
          <w:sz w:val="24"/>
          <w:szCs w:val="24"/>
        </w:rPr>
        <w:t>As noted above, it is more common for departments to use a gross profit method in impact assessments.  However, it would generally be more appropriate to use a net measure of profit if there is an incremental impact on costs that is clear and unavoidable. In either case, departments should clearly communicate the rationale and justification for using their preferred method to the RPC.</w:t>
      </w:r>
    </w:p>
    <w:p w:rsidR="005C4054" w:rsidRPr="0076003C" w:rsidRDefault="005C4054" w:rsidP="005C4054">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sz w:val="24"/>
          <w:szCs w:val="24"/>
          <w:lang w:eastAsia="en-GB"/>
        </w:rPr>
      </w:pPr>
      <w:r>
        <w:rPr>
          <w:rFonts w:eastAsia="Times New Roman" w:cstheme="minorHAnsi"/>
          <w:b/>
          <w:sz w:val="24"/>
          <w:szCs w:val="24"/>
          <w:lang w:eastAsia="en-GB"/>
        </w:rPr>
        <w:t>Devolving Sunday Trading Rules (RPC15-BIS-FT-2411</w:t>
      </w:r>
      <w:r w:rsidRPr="00834F2E">
        <w:rPr>
          <w:rFonts w:eastAsia="Times New Roman" w:cstheme="minorHAnsi"/>
          <w:b/>
          <w:sz w:val="24"/>
          <w:szCs w:val="24"/>
          <w:lang w:eastAsia="en-GB"/>
        </w:rPr>
        <w:t>)</w:t>
      </w:r>
      <w:r>
        <w:rPr>
          <w:rFonts w:eastAsia="Times New Roman" w:cstheme="minorHAnsi"/>
          <w:b/>
          <w:sz w:val="24"/>
          <w:szCs w:val="24"/>
          <w:lang w:eastAsia="en-GB"/>
        </w:rPr>
        <w:t>.</w:t>
      </w:r>
      <w:r w:rsidRPr="00834F2E">
        <w:rPr>
          <w:rFonts w:eastAsia="Times New Roman" w:cstheme="minorHAnsi"/>
          <w:b/>
          <w:sz w:val="24"/>
          <w:szCs w:val="24"/>
          <w:lang w:eastAsia="en-GB"/>
        </w:rPr>
        <w:t xml:space="preserve"> </w:t>
      </w:r>
      <w:r w:rsidRPr="00B36634">
        <w:rPr>
          <w:rFonts w:ascii="Calibri" w:hAnsi="Calibri" w:cs="Calibri"/>
          <w:sz w:val="24"/>
          <w:szCs w:val="24"/>
        </w:rPr>
        <w:t xml:space="preserve">The Sunday Trading Act 1994 limits Sunday trading hours of certain large stores in England and Wales to a single period of six hours between 10:00 </w:t>
      </w:r>
      <w:proofErr w:type="spellStart"/>
      <w:r w:rsidRPr="00B36634">
        <w:rPr>
          <w:rFonts w:ascii="Calibri" w:hAnsi="Calibri" w:cs="Calibri"/>
          <w:sz w:val="24"/>
          <w:szCs w:val="24"/>
        </w:rPr>
        <w:t>hrs</w:t>
      </w:r>
      <w:proofErr w:type="spellEnd"/>
      <w:r w:rsidRPr="00B36634">
        <w:rPr>
          <w:rFonts w:ascii="Calibri" w:hAnsi="Calibri" w:cs="Calibri"/>
          <w:sz w:val="24"/>
          <w:szCs w:val="24"/>
        </w:rPr>
        <w:t xml:space="preserve"> and 18:00 hrs.  The proposal </w:t>
      </w:r>
      <w:r>
        <w:rPr>
          <w:rFonts w:ascii="Calibri" w:hAnsi="Calibri" w:cs="Calibri"/>
          <w:sz w:val="24"/>
          <w:szCs w:val="24"/>
        </w:rPr>
        <w:t>was</w:t>
      </w:r>
      <w:r w:rsidRPr="00B36634">
        <w:rPr>
          <w:rFonts w:ascii="Calibri" w:hAnsi="Calibri" w:cs="Calibri"/>
          <w:sz w:val="24"/>
          <w:szCs w:val="24"/>
        </w:rPr>
        <w:t xml:space="preserve"> to devolve powers to local areas (e.g. </w:t>
      </w:r>
      <w:r>
        <w:rPr>
          <w:rFonts w:ascii="Calibri" w:hAnsi="Calibri" w:cs="Calibri"/>
          <w:sz w:val="24"/>
          <w:szCs w:val="24"/>
        </w:rPr>
        <w:t>c</w:t>
      </w:r>
      <w:r w:rsidRPr="00B36634">
        <w:rPr>
          <w:rFonts w:ascii="Calibri" w:hAnsi="Calibri" w:cs="Calibri"/>
          <w:sz w:val="24"/>
          <w:szCs w:val="24"/>
        </w:rPr>
        <w:t>ity mayors and/or local authorities) permitting them to determine retail opening hours.</w:t>
      </w:r>
      <w:r>
        <w:rPr>
          <w:rFonts w:ascii="Calibri" w:hAnsi="Calibri" w:cs="Calibri"/>
          <w:sz w:val="24"/>
          <w:szCs w:val="24"/>
        </w:rPr>
        <w:t xml:space="preserve"> In its confirmation of the proposal as deregulatory, the RPC flagged up the need for the Department to demonstrate that its method was calculating the additional profit to </w:t>
      </w:r>
      <w:r>
        <w:rPr>
          <w:rFonts w:ascii="Calibri" w:hAnsi="Calibri" w:cs="Calibri"/>
          <w:sz w:val="24"/>
          <w:szCs w:val="24"/>
        </w:rPr>
        <w:lastRenderedPageBreak/>
        <w:t>large stores was appropriate. In subsequent discussion with the Department, it was clear that the Department planned</w:t>
      </w:r>
      <w:r w:rsidRPr="00DB7606">
        <w:rPr>
          <w:rFonts w:eastAsia="Times New Roman" w:cstheme="minorHAnsi"/>
          <w:sz w:val="24"/>
          <w:szCs w:val="24"/>
          <w:lang w:eastAsia="en-GB"/>
        </w:rPr>
        <w:t xml:space="preserve"> to </w:t>
      </w:r>
      <w:r>
        <w:rPr>
          <w:rFonts w:eastAsia="Times New Roman" w:cstheme="minorHAnsi"/>
          <w:sz w:val="24"/>
          <w:szCs w:val="24"/>
          <w:lang w:eastAsia="en-GB"/>
        </w:rPr>
        <w:t xml:space="preserve">adopt a ‘net profit’ approach by </w:t>
      </w:r>
      <w:r w:rsidRPr="00DB7606">
        <w:rPr>
          <w:rFonts w:eastAsia="Times New Roman" w:cstheme="minorHAnsi"/>
          <w:sz w:val="24"/>
          <w:szCs w:val="24"/>
          <w:lang w:eastAsia="en-GB"/>
        </w:rPr>
        <w:t>deduct</w:t>
      </w:r>
      <w:r>
        <w:rPr>
          <w:rFonts w:eastAsia="Times New Roman" w:cstheme="minorHAnsi"/>
          <w:sz w:val="24"/>
          <w:szCs w:val="24"/>
          <w:lang w:eastAsia="en-GB"/>
        </w:rPr>
        <w:t>ing</w:t>
      </w:r>
      <w:r w:rsidRPr="00DB7606">
        <w:rPr>
          <w:rFonts w:eastAsia="Times New Roman" w:cstheme="minorHAnsi"/>
          <w:sz w:val="24"/>
          <w:szCs w:val="24"/>
          <w:lang w:eastAsia="en-GB"/>
        </w:rPr>
        <w:t xml:space="preserve"> variable labour costs from the additional gross profits of large stores. (It was already agreed </w:t>
      </w:r>
      <w:r>
        <w:rPr>
          <w:rFonts w:eastAsia="Times New Roman" w:cstheme="minorHAnsi"/>
          <w:sz w:val="24"/>
          <w:szCs w:val="24"/>
          <w:lang w:eastAsia="en-GB"/>
        </w:rPr>
        <w:t xml:space="preserve">with the Department </w:t>
      </w:r>
      <w:r w:rsidRPr="00DB7606">
        <w:rPr>
          <w:rFonts w:eastAsia="Times New Roman" w:cstheme="minorHAnsi"/>
          <w:sz w:val="24"/>
          <w:szCs w:val="24"/>
          <w:lang w:eastAsia="en-GB"/>
        </w:rPr>
        <w:t xml:space="preserve">that other variable costs, such as heating and lighting, should be deducted.) </w:t>
      </w:r>
      <w:r>
        <w:rPr>
          <w:rFonts w:eastAsia="Times New Roman" w:cstheme="minorHAnsi"/>
          <w:sz w:val="24"/>
          <w:szCs w:val="24"/>
          <w:lang w:eastAsia="en-GB"/>
        </w:rPr>
        <w:t xml:space="preserve"> On the basis that the additional labour costs were an unavoidable consequence of taking advantage of the longer opening hours, and not a separate business decision, these costs met the RFG secretariat criterion. It was, therefore, appropriate to deduct them and use a net profit measure.</w:t>
      </w:r>
      <w:r w:rsidRPr="00DB7606">
        <w:rPr>
          <w:rFonts w:eastAsia="Times New Roman" w:cstheme="minorHAnsi"/>
          <w:sz w:val="24"/>
          <w:szCs w:val="24"/>
          <w:lang w:eastAsia="en-GB"/>
        </w:rPr>
        <w:t xml:space="preserve"> </w:t>
      </w:r>
    </w:p>
    <w:p w:rsidR="005C4054" w:rsidRDefault="005C4054" w:rsidP="005C4054">
      <w:pPr>
        <w:rPr>
          <w:rFonts w:cstheme="minorHAnsi"/>
          <w:color w:val="000000"/>
          <w:sz w:val="24"/>
          <w:szCs w:val="24"/>
        </w:rPr>
      </w:pPr>
    </w:p>
    <w:p w:rsidR="005C4054" w:rsidRPr="0076003C" w:rsidRDefault="005C4054" w:rsidP="005C4054">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sz w:val="24"/>
          <w:szCs w:val="24"/>
          <w:lang w:eastAsia="en-GB"/>
        </w:rPr>
      </w:pPr>
      <w:r>
        <w:rPr>
          <w:rFonts w:eastAsia="Times New Roman" w:cstheme="minorHAnsi"/>
          <w:b/>
          <w:sz w:val="24"/>
          <w:szCs w:val="24"/>
          <w:lang w:eastAsia="en-GB"/>
        </w:rPr>
        <w:t>Psychoactive Substances Bill (RPC15-</w:t>
      </w:r>
      <w:r w:rsidRPr="00834F2E">
        <w:rPr>
          <w:rFonts w:eastAsia="Times New Roman" w:cstheme="minorHAnsi"/>
          <w:b/>
          <w:sz w:val="24"/>
          <w:szCs w:val="24"/>
          <w:lang w:eastAsia="en-GB"/>
        </w:rPr>
        <w:t>H</w:t>
      </w:r>
      <w:r>
        <w:rPr>
          <w:rFonts w:eastAsia="Times New Roman" w:cstheme="minorHAnsi"/>
          <w:b/>
          <w:sz w:val="24"/>
          <w:szCs w:val="24"/>
          <w:lang w:eastAsia="en-GB"/>
        </w:rPr>
        <w:t>O-2379</w:t>
      </w:r>
      <w:r w:rsidRPr="00834F2E">
        <w:rPr>
          <w:rFonts w:eastAsia="Times New Roman" w:cstheme="minorHAnsi"/>
          <w:b/>
          <w:sz w:val="24"/>
          <w:szCs w:val="24"/>
          <w:lang w:eastAsia="en-GB"/>
        </w:rPr>
        <w:t xml:space="preserve">): </w:t>
      </w:r>
      <w:r>
        <w:rPr>
          <w:rFonts w:eastAsia="Times New Roman" w:cstheme="minorHAnsi"/>
          <w:sz w:val="24"/>
          <w:szCs w:val="24"/>
          <w:lang w:eastAsia="en-GB"/>
        </w:rPr>
        <w:t>T</w:t>
      </w:r>
      <w:r w:rsidRPr="00834F2E">
        <w:rPr>
          <w:rFonts w:eastAsia="Times New Roman" w:cstheme="minorHAnsi"/>
          <w:sz w:val="24"/>
          <w:szCs w:val="24"/>
          <w:lang w:eastAsia="en-GB"/>
        </w:rPr>
        <w:t xml:space="preserve">his </w:t>
      </w:r>
      <w:r w:rsidRPr="0076003C">
        <w:rPr>
          <w:rFonts w:eastAsia="Times New Roman" w:cstheme="minorHAnsi"/>
          <w:sz w:val="24"/>
          <w:szCs w:val="24"/>
          <w:lang w:eastAsia="en-GB"/>
        </w:rPr>
        <w:t xml:space="preserve">measure </w:t>
      </w:r>
      <w:r w:rsidRPr="0076003C">
        <w:rPr>
          <w:sz w:val="24"/>
          <w:szCs w:val="24"/>
        </w:rPr>
        <w:t xml:space="preserve">introduced a general ban on the sale, import, export and production of products with psychoactive effects. </w:t>
      </w:r>
      <w:r>
        <w:rPr>
          <w:sz w:val="24"/>
          <w:szCs w:val="24"/>
        </w:rPr>
        <w:t>The IA set out that this would reduce the sales of certain retailers, both</w:t>
      </w:r>
      <w:r w:rsidRPr="0076003C">
        <w:rPr>
          <w:sz w:val="24"/>
          <w:szCs w:val="24"/>
        </w:rPr>
        <w:t xml:space="preserve"> online and through retailers known as ‘head-shops’</w:t>
      </w:r>
      <w:r>
        <w:rPr>
          <w:sz w:val="24"/>
          <w:szCs w:val="24"/>
        </w:rPr>
        <w:t>. The original IA used a net profit approach, offsetting the total sales lost with reductions in costs such as wages and rent. This received an initial review notice from the RPC on the basis that the loss in profits had not been calculated correctly. The RPC believed that, in this case, a gross profit measure should be used because the change in costs could not be directly attributed to the sale of psychoactive substances. In particular there was no clear evidence that costs would be reduced.</w:t>
      </w:r>
    </w:p>
    <w:p w:rsidR="00BF6A5F" w:rsidRDefault="00BF6A5F" w:rsidP="00BF6A5F">
      <w:pPr>
        <w:rPr>
          <w:color w:val="1F497D"/>
          <w:sz w:val="24"/>
          <w:szCs w:val="24"/>
          <w:lang w:eastAsia="en-GB"/>
        </w:rPr>
      </w:pPr>
    </w:p>
    <w:p w:rsidR="00BF6A5F" w:rsidRDefault="00BF6A5F" w:rsidP="00BF6A5F">
      <w:pPr>
        <w:rPr>
          <w:b/>
          <w:color w:val="984806" w:themeColor="accent6" w:themeShade="80"/>
          <w:sz w:val="28"/>
          <w:szCs w:val="28"/>
        </w:rPr>
      </w:pPr>
      <w:r w:rsidRPr="00293A7D">
        <w:rPr>
          <w:b/>
          <w:color w:val="984806" w:themeColor="accent6" w:themeShade="80"/>
          <w:sz w:val="28"/>
          <w:szCs w:val="28"/>
        </w:rPr>
        <w:t>4.</w:t>
      </w:r>
      <w:r>
        <w:rPr>
          <w:b/>
          <w:color w:val="984806" w:themeColor="accent6" w:themeShade="80"/>
          <w:sz w:val="28"/>
          <w:szCs w:val="28"/>
        </w:rPr>
        <w:t xml:space="preserve">3 </w:t>
      </w:r>
      <w:r w:rsidRPr="00293A7D">
        <w:rPr>
          <w:b/>
          <w:color w:val="984806" w:themeColor="accent6" w:themeShade="80"/>
          <w:sz w:val="28"/>
          <w:szCs w:val="28"/>
        </w:rPr>
        <w:t>Other issues</w:t>
      </w:r>
      <w:r>
        <w:rPr>
          <w:b/>
          <w:color w:val="984806" w:themeColor="accent6" w:themeShade="80"/>
          <w:sz w:val="28"/>
          <w:szCs w:val="28"/>
        </w:rPr>
        <w:t xml:space="preserve"> </w:t>
      </w:r>
    </w:p>
    <w:p w:rsidR="00BF6A5F" w:rsidRPr="009362C0" w:rsidRDefault="00BF6A5F" w:rsidP="00BF6A5F">
      <w:pPr>
        <w:keepNext/>
        <w:keepLines/>
        <w:spacing w:before="200" w:after="0"/>
        <w:outlineLvl w:val="1"/>
        <w:rPr>
          <w:rFonts w:eastAsiaTheme="majorEastAsia" w:cstheme="minorHAnsi"/>
          <w:b/>
          <w:bCs/>
          <w:color w:val="000000" w:themeColor="text1"/>
          <w:sz w:val="24"/>
          <w:szCs w:val="24"/>
        </w:rPr>
      </w:pPr>
      <w:bookmarkStart w:id="8" w:name="_Toc469485881"/>
      <w:r w:rsidRPr="009362C0">
        <w:rPr>
          <w:rFonts w:eastAsiaTheme="majorEastAsia" w:cstheme="minorHAnsi"/>
          <w:b/>
          <w:bCs/>
          <w:color w:val="000000" w:themeColor="text1"/>
          <w:sz w:val="24"/>
          <w:szCs w:val="24"/>
        </w:rPr>
        <w:t>4.</w:t>
      </w:r>
      <w:r>
        <w:rPr>
          <w:rFonts w:eastAsiaTheme="majorEastAsia" w:cstheme="minorHAnsi"/>
          <w:b/>
          <w:bCs/>
          <w:color w:val="000000" w:themeColor="text1"/>
          <w:sz w:val="24"/>
          <w:szCs w:val="24"/>
        </w:rPr>
        <w:t>3.</w:t>
      </w:r>
      <w:r w:rsidRPr="009362C0">
        <w:rPr>
          <w:rFonts w:eastAsiaTheme="majorEastAsia" w:cstheme="minorHAnsi"/>
          <w:b/>
          <w:bCs/>
          <w:color w:val="000000" w:themeColor="text1"/>
          <w:sz w:val="24"/>
          <w:szCs w:val="24"/>
        </w:rPr>
        <w:t>1 Permissive Regulation</w:t>
      </w:r>
      <w:bookmarkEnd w:id="8"/>
    </w:p>
    <w:p w:rsidR="00BF6A5F" w:rsidRPr="00BB0884" w:rsidRDefault="00BF6A5F" w:rsidP="00BF6A5F">
      <w:pPr>
        <w:spacing w:after="0" w:line="240" w:lineRule="auto"/>
        <w:rPr>
          <w:rFonts w:cstheme="minorHAnsi"/>
          <w:sz w:val="24"/>
          <w:szCs w:val="24"/>
        </w:rPr>
      </w:pPr>
    </w:p>
    <w:p w:rsidR="00BF6A5F" w:rsidRPr="00BB0884" w:rsidRDefault="00BF6A5F" w:rsidP="00BF6A5F">
      <w:pPr>
        <w:rPr>
          <w:rFonts w:cstheme="minorHAnsi"/>
          <w:sz w:val="24"/>
          <w:szCs w:val="24"/>
        </w:rPr>
      </w:pPr>
      <w:r w:rsidRPr="00BB0884">
        <w:rPr>
          <w:rFonts w:cstheme="minorHAnsi"/>
          <w:sz w:val="24"/>
          <w:szCs w:val="24"/>
        </w:rPr>
        <w:t>A permissive regulation allows business</w:t>
      </w:r>
      <w:r>
        <w:rPr>
          <w:rFonts w:cstheme="minorHAnsi"/>
          <w:sz w:val="24"/>
          <w:szCs w:val="24"/>
        </w:rPr>
        <w:t>es</w:t>
      </w:r>
      <w:r w:rsidRPr="00BB0884">
        <w:rPr>
          <w:rFonts w:cstheme="minorHAnsi"/>
          <w:sz w:val="24"/>
          <w:szCs w:val="24"/>
        </w:rPr>
        <w:t xml:space="preserve"> to do something they previously couldn’t, but does not force them to do so. In these situations</w:t>
      </w:r>
      <w:r>
        <w:rPr>
          <w:rFonts w:cstheme="minorHAnsi"/>
          <w:sz w:val="24"/>
          <w:szCs w:val="24"/>
        </w:rPr>
        <w:t>,</w:t>
      </w:r>
      <w:r w:rsidRPr="00BB0884">
        <w:rPr>
          <w:rFonts w:cstheme="minorHAnsi"/>
          <w:sz w:val="24"/>
          <w:szCs w:val="24"/>
        </w:rPr>
        <w:t xml:space="preserve"> </w:t>
      </w:r>
      <w:r>
        <w:rPr>
          <w:rFonts w:cstheme="minorHAnsi"/>
          <w:sz w:val="24"/>
          <w:szCs w:val="24"/>
        </w:rPr>
        <w:t>a</w:t>
      </w:r>
      <w:r w:rsidRPr="00BB0884">
        <w:rPr>
          <w:rFonts w:cstheme="minorHAnsi"/>
          <w:sz w:val="24"/>
          <w:szCs w:val="24"/>
        </w:rPr>
        <w:t xml:space="preserve"> key </w:t>
      </w:r>
      <w:r>
        <w:rPr>
          <w:rFonts w:cstheme="minorHAnsi"/>
          <w:sz w:val="24"/>
          <w:szCs w:val="24"/>
        </w:rPr>
        <w:t>issue</w:t>
      </w:r>
      <w:r w:rsidRPr="00BB0884">
        <w:rPr>
          <w:rFonts w:cstheme="minorHAnsi"/>
          <w:sz w:val="24"/>
          <w:szCs w:val="24"/>
        </w:rPr>
        <w:t xml:space="preserve"> for </w:t>
      </w:r>
      <w:r>
        <w:rPr>
          <w:rFonts w:cstheme="minorHAnsi"/>
          <w:sz w:val="24"/>
          <w:szCs w:val="24"/>
        </w:rPr>
        <w:t>d</w:t>
      </w:r>
      <w:r w:rsidRPr="00BB0884">
        <w:rPr>
          <w:rFonts w:cstheme="minorHAnsi"/>
          <w:sz w:val="24"/>
          <w:szCs w:val="24"/>
        </w:rPr>
        <w:t xml:space="preserve">epartments </w:t>
      </w:r>
      <w:r>
        <w:rPr>
          <w:rFonts w:cstheme="minorHAnsi"/>
          <w:sz w:val="24"/>
          <w:szCs w:val="24"/>
        </w:rPr>
        <w:t xml:space="preserve">is </w:t>
      </w:r>
      <w:r w:rsidRPr="00BB0884">
        <w:rPr>
          <w:rFonts w:cstheme="minorHAnsi"/>
          <w:sz w:val="24"/>
          <w:szCs w:val="24"/>
        </w:rPr>
        <w:t>to establish the likely level of take up. If possible</w:t>
      </w:r>
      <w:r>
        <w:rPr>
          <w:rFonts w:cstheme="minorHAnsi"/>
          <w:sz w:val="24"/>
          <w:szCs w:val="24"/>
        </w:rPr>
        <w:t>,</w:t>
      </w:r>
      <w:r w:rsidRPr="00BB0884">
        <w:rPr>
          <w:rFonts w:cstheme="minorHAnsi"/>
          <w:sz w:val="24"/>
          <w:szCs w:val="24"/>
        </w:rPr>
        <w:t xml:space="preserve"> the costs and benefits to business of taking up the newly allowed action should be monetised. Where the benefits can be shown to exceed the costs</w:t>
      </w:r>
      <w:r>
        <w:rPr>
          <w:rFonts w:cstheme="minorHAnsi"/>
          <w:sz w:val="24"/>
          <w:szCs w:val="24"/>
        </w:rPr>
        <w:t>,</w:t>
      </w:r>
      <w:r w:rsidRPr="00BB0884">
        <w:rPr>
          <w:rFonts w:cstheme="minorHAnsi"/>
          <w:sz w:val="24"/>
          <w:szCs w:val="24"/>
        </w:rPr>
        <w:t xml:space="preserve"> it can </w:t>
      </w:r>
      <w:r>
        <w:rPr>
          <w:rFonts w:cstheme="minorHAnsi"/>
          <w:sz w:val="24"/>
          <w:szCs w:val="24"/>
        </w:rPr>
        <w:t xml:space="preserve">normally </w:t>
      </w:r>
      <w:r w:rsidRPr="00BB0884">
        <w:rPr>
          <w:rFonts w:cstheme="minorHAnsi"/>
          <w:sz w:val="24"/>
          <w:szCs w:val="24"/>
        </w:rPr>
        <w:t xml:space="preserve">be assumed that </w:t>
      </w:r>
      <w:r>
        <w:rPr>
          <w:rFonts w:cstheme="minorHAnsi"/>
          <w:sz w:val="24"/>
          <w:szCs w:val="24"/>
        </w:rPr>
        <w:t xml:space="preserve">at least some </w:t>
      </w:r>
      <w:r w:rsidRPr="00BB0884">
        <w:rPr>
          <w:rFonts w:cstheme="minorHAnsi"/>
          <w:sz w:val="24"/>
          <w:szCs w:val="24"/>
        </w:rPr>
        <w:t>firms will take up the new opportunity. Where the costs are shown to exceed the benefits</w:t>
      </w:r>
      <w:r>
        <w:rPr>
          <w:rFonts w:cstheme="minorHAnsi"/>
          <w:sz w:val="24"/>
          <w:szCs w:val="24"/>
        </w:rPr>
        <w:t>,</w:t>
      </w:r>
      <w:r w:rsidRPr="00BB0884">
        <w:rPr>
          <w:rFonts w:cstheme="minorHAnsi"/>
          <w:sz w:val="24"/>
          <w:szCs w:val="24"/>
        </w:rPr>
        <w:t xml:space="preserve"> it can be assumed that </w:t>
      </w:r>
      <w:r>
        <w:rPr>
          <w:rFonts w:cstheme="minorHAnsi"/>
          <w:sz w:val="24"/>
          <w:szCs w:val="24"/>
        </w:rPr>
        <w:t xml:space="preserve">no </w:t>
      </w:r>
      <w:r w:rsidRPr="00BB0884">
        <w:rPr>
          <w:rFonts w:cstheme="minorHAnsi"/>
          <w:sz w:val="24"/>
          <w:szCs w:val="24"/>
        </w:rPr>
        <w:t>firm will take up the opportunity and</w:t>
      </w:r>
      <w:r>
        <w:rPr>
          <w:rFonts w:cstheme="minorHAnsi"/>
          <w:sz w:val="24"/>
          <w:szCs w:val="24"/>
        </w:rPr>
        <w:t xml:space="preserve"> there will, therefore, be</w:t>
      </w:r>
      <w:r w:rsidRPr="00BB0884">
        <w:rPr>
          <w:rFonts w:cstheme="minorHAnsi"/>
          <w:sz w:val="24"/>
          <w:szCs w:val="24"/>
        </w:rPr>
        <w:t xml:space="preserve"> no additional cost or benefit.</w:t>
      </w:r>
      <w:r>
        <w:rPr>
          <w:rFonts w:cstheme="minorHAnsi"/>
          <w:sz w:val="24"/>
          <w:szCs w:val="24"/>
        </w:rPr>
        <w:t xml:space="preserve"> </w:t>
      </w:r>
      <w:r w:rsidRPr="00BB0884">
        <w:rPr>
          <w:rFonts w:cstheme="minorHAnsi"/>
          <w:sz w:val="24"/>
          <w:szCs w:val="24"/>
        </w:rPr>
        <w:t>Where it is not possible to monetise the costs and benefits</w:t>
      </w:r>
      <w:r>
        <w:rPr>
          <w:rFonts w:cstheme="minorHAnsi"/>
          <w:sz w:val="24"/>
          <w:szCs w:val="24"/>
        </w:rPr>
        <w:t>,</w:t>
      </w:r>
      <w:r w:rsidRPr="00BB0884">
        <w:rPr>
          <w:rFonts w:cstheme="minorHAnsi"/>
          <w:sz w:val="24"/>
          <w:szCs w:val="24"/>
        </w:rPr>
        <w:t xml:space="preserve"> it is reasonable to assume </w:t>
      </w:r>
      <w:r>
        <w:rPr>
          <w:rFonts w:cstheme="minorHAnsi"/>
          <w:sz w:val="24"/>
          <w:szCs w:val="24"/>
        </w:rPr>
        <w:t>that, for any business taking up the opportunity,</w:t>
      </w:r>
      <w:r w:rsidRPr="00BB0884">
        <w:rPr>
          <w:rFonts w:cstheme="minorHAnsi"/>
          <w:sz w:val="24"/>
          <w:szCs w:val="24"/>
        </w:rPr>
        <w:t xml:space="preserve"> the benefit will be at least equal to the cost</w:t>
      </w:r>
      <w:r>
        <w:rPr>
          <w:rFonts w:cstheme="minorHAnsi"/>
          <w:sz w:val="24"/>
          <w:szCs w:val="24"/>
        </w:rPr>
        <w:t xml:space="preserve">. The </w:t>
      </w:r>
      <w:r w:rsidRPr="00BB0884">
        <w:rPr>
          <w:rFonts w:cstheme="minorHAnsi"/>
          <w:sz w:val="24"/>
          <w:szCs w:val="24"/>
        </w:rPr>
        <w:t xml:space="preserve">measure </w:t>
      </w:r>
      <w:r>
        <w:rPr>
          <w:rFonts w:cstheme="minorHAnsi"/>
          <w:sz w:val="24"/>
          <w:szCs w:val="24"/>
        </w:rPr>
        <w:t>would then be scored as</w:t>
      </w:r>
      <w:r w:rsidRPr="00BB0884">
        <w:rPr>
          <w:rFonts w:cstheme="minorHAnsi"/>
          <w:sz w:val="24"/>
          <w:szCs w:val="24"/>
        </w:rPr>
        <w:t xml:space="preserve"> zero. </w:t>
      </w:r>
    </w:p>
    <w:p w:rsidR="00BF6A5F" w:rsidRPr="00BB0884" w:rsidRDefault="00BF6A5F" w:rsidP="00BF6A5F">
      <w:pPr>
        <w:rPr>
          <w:rFonts w:cstheme="minorHAnsi"/>
          <w:sz w:val="24"/>
          <w:szCs w:val="24"/>
        </w:rPr>
      </w:pPr>
      <w:r w:rsidRPr="00BB0884">
        <w:rPr>
          <w:rFonts w:cstheme="minorHAnsi"/>
          <w:sz w:val="24"/>
          <w:szCs w:val="24"/>
        </w:rPr>
        <w:t>There may be exceptions to the logic outlined above. For example</w:t>
      </w:r>
      <w:r>
        <w:rPr>
          <w:rFonts w:cstheme="minorHAnsi"/>
          <w:sz w:val="24"/>
          <w:szCs w:val="24"/>
        </w:rPr>
        <w:t>,</w:t>
      </w:r>
      <w:r w:rsidRPr="00BB0884">
        <w:rPr>
          <w:rFonts w:cstheme="minorHAnsi"/>
          <w:sz w:val="24"/>
          <w:szCs w:val="24"/>
        </w:rPr>
        <w:t xml:space="preserve"> where taking advantage of a permissive measure is costly but provides some competitive </w:t>
      </w:r>
      <w:r>
        <w:rPr>
          <w:rFonts w:cstheme="minorHAnsi"/>
          <w:sz w:val="24"/>
          <w:szCs w:val="24"/>
        </w:rPr>
        <w:t xml:space="preserve">(first mover) </w:t>
      </w:r>
      <w:r w:rsidRPr="00BB0884">
        <w:rPr>
          <w:rFonts w:cstheme="minorHAnsi"/>
          <w:sz w:val="24"/>
          <w:szCs w:val="24"/>
        </w:rPr>
        <w:t>advantage. In such a situation and in the absence of coordination</w:t>
      </w:r>
      <w:r>
        <w:rPr>
          <w:rFonts w:cstheme="minorHAnsi"/>
          <w:sz w:val="24"/>
          <w:szCs w:val="24"/>
        </w:rPr>
        <w:t>, other firm</w:t>
      </w:r>
      <w:r w:rsidRPr="00BB0884">
        <w:rPr>
          <w:rFonts w:cstheme="minorHAnsi"/>
          <w:sz w:val="24"/>
          <w:szCs w:val="24"/>
        </w:rPr>
        <w:t>s</w:t>
      </w:r>
      <w:r>
        <w:rPr>
          <w:rFonts w:cstheme="minorHAnsi"/>
          <w:sz w:val="24"/>
          <w:szCs w:val="24"/>
        </w:rPr>
        <w:t>’</w:t>
      </w:r>
      <w:r w:rsidRPr="00BB0884">
        <w:rPr>
          <w:rFonts w:cstheme="minorHAnsi"/>
          <w:sz w:val="24"/>
          <w:szCs w:val="24"/>
        </w:rPr>
        <w:t xml:space="preserve"> best response might be to take up the new option, even if is net costly (compared to the situation where no firm changes their behaviour). </w:t>
      </w:r>
      <w:r>
        <w:rPr>
          <w:rFonts w:cstheme="minorHAnsi"/>
          <w:sz w:val="24"/>
          <w:szCs w:val="24"/>
        </w:rPr>
        <w:t xml:space="preserve">Hence, in this instance a permissive measure could be net costly </w:t>
      </w:r>
      <w:r>
        <w:rPr>
          <w:rFonts w:cstheme="minorHAnsi"/>
          <w:sz w:val="24"/>
          <w:szCs w:val="24"/>
        </w:rPr>
        <w:lastRenderedPageBreak/>
        <w:t xml:space="preserve">to business overall. </w:t>
      </w:r>
      <w:r w:rsidRPr="00BB0884">
        <w:rPr>
          <w:rFonts w:cstheme="minorHAnsi"/>
          <w:sz w:val="24"/>
          <w:szCs w:val="24"/>
        </w:rPr>
        <w:t xml:space="preserve">Departments should consider whether this particular circumstance applies to their proposal. </w:t>
      </w:r>
    </w:p>
    <w:p w:rsidR="00BF6A5F" w:rsidRPr="009362C0" w:rsidRDefault="00BF6A5F" w:rsidP="00BF6A5F">
      <w:pPr>
        <w:numPr>
          <w:ilvl w:val="1"/>
          <w:numId w:val="0"/>
        </w:numPr>
        <w:rPr>
          <w:rFonts w:eastAsiaTheme="majorEastAsia" w:cstheme="minorHAnsi"/>
          <w:iCs/>
          <w:color w:val="000000" w:themeColor="text1"/>
          <w:spacing w:val="15"/>
          <w:sz w:val="24"/>
          <w:szCs w:val="24"/>
          <w:u w:val="single"/>
        </w:rPr>
      </w:pPr>
      <w:r w:rsidRPr="009362C0">
        <w:rPr>
          <w:rFonts w:eastAsiaTheme="majorEastAsia" w:cstheme="minorHAnsi"/>
          <w:iCs/>
          <w:color w:val="000000" w:themeColor="text1"/>
          <w:spacing w:val="15"/>
          <w:sz w:val="24"/>
          <w:szCs w:val="24"/>
          <w:u w:val="single"/>
        </w:rPr>
        <w:t xml:space="preserve">Application of permissive regulation to civil society organisations </w:t>
      </w:r>
    </w:p>
    <w:p w:rsidR="00BF6A5F" w:rsidRPr="009362C0" w:rsidRDefault="00BF6A5F" w:rsidP="00BF6A5F">
      <w:pPr>
        <w:rPr>
          <w:rFonts w:cstheme="minorHAnsi"/>
          <w:sz w:val="24"/>
          <w:szCs w:val="24"/>
        </w:rPr>
      </w:pPr>
      <w:r w:rsidRPr="00BB0884">
        <w:rPr>
          <w:rFonts w:cstheme="minorHAnsi"/>
          <w:sz w:val="24"/>
          <w:szCs w:val="24"/>
        </w:rPr>
        <w:t xml:space="preserve">A similar logic to the above can be applied to civil society organisations, such as charities. Here it can be assumed that civil society organisations would only take advantage of a new option if they consider it the most cost effective way of delivering their objectives.  </w:t>
      </w:r>
    </w:p>
    <w:p w:rsidR="00BF6A5F" w:rsidRPr="00F23F6B" w:rsidRDefault="00BF6A5F" w:rsidP="00BF6A5F">
      <w:pPr>
        <w:keepNext/>
        <w:keepLines/>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before="200" w:after="0"/>
        <w:outlineLvl w:val="3"/>
        <w:rPr>
          <w:rFonts w:cstheme="minorHAnsi"/>
          <w:sz w:val="24"/>
          <w:szCs w:val="24"/>
        </w:rPr>
      </w:pPr>
      <w:r w:rsidRPr="009362C0">
        <w:rPr>
          <w:rFonts w:eastAsiaTheme="majorEastAsia" w:cstheme="minorHAnsi"/>
          <w:b/>
          <w:bCs/>
          <w:iCs/>
          <w:color w:val="000000" w:themeColor="text1"/>
          <w:sz w:val="24"/>
          <w:szCs w:val="24"/>
        </w:rPr>
        <w:t>Access to intermediary services by descendants of adopted people (RPC14-FT-DfE-2042)</w:t>
      </w:r>
      <w:r>
        <w:rPr>
          <w:rFonts w:eastAsiaTheme="majorEastAsia" w:cstheme="minorHAnsi"/>
          <w:b/>
          <w:bCs/>
          <w:iCs/>
          <w:color w:val="000000" w:themeColor="text1"/>
          <w:sz w:val="24"/>
          <w:szCs w:val="24"/>
        </w:rPr>
        <w:t>:</w:t>
      </w:r>
      <w:r w:rsidRPr="009362C0">
        <w:rPr>
          <w:rFonts w:cstheme="minorHAnsi"/>
          <w:sz w:val="24"/>
          <w:szCs w:val="24"/>
        </w:rPr>
        <w:t xml:space="preserve"> This measure increased the number of people eligible to use adoption agencies</w:t>
      </w:r>
      <w:r>
        <w:rPr>
          <w:rFonts w:cstheme="minorHAnsi"/>
          <w:sz w:val="24"/>
          <w:szCs w:val="24"/>
        </w:rPr>
        <w:t>,</w:t>
      </w:r>
      <w:r w:rsidRPr="009362C0">
        <w:rPr>
          <w:rFonts w:cstheme="minorHAnsi"/>
          <w:sz w:val="24"/>
          <w:szCs w:val="24"/>
        </w:rPr>
        <w:t xml:space="preserve"> to facilitate contact of an adopted person</w:t>
      </w:r>
      <w:r w:rsidRPr="00FC3264">
        <w:rPr>
          <w:rFonts w:cstheme="minorHAnsi"/>
          <w:sz w:val="24"/>
          <w:szCs w:val="24"/>
        </w:rPr>
        <w:t xml:space="preserve"> </w:t>
      </w:r>
      <w:r w:rsidRPr="009362C0">
        <w:rPr>
          <w:rFonts w:cstheme="minorHAnsi"/>
          <w:sz w:val="24"/>
          <w:szCs w:val="24"/>
        </w:rPr>
        <w:t>with the</w:t>
      </w:r>
      <w:r>
        <w:rPr>
          <w:rFonts w:cstheme="minorHAnsi"/>
          <w:sz w:val="24"/>
          <w:szCs w:val="24"/>
        </w:rPr>
        <w:t>ir</w:t>
      </w:r>
      <w:r w:rsidRPr="009362C0">
        <w:rPr>
          <w:rFonts w:cstheme="minorHAnsi"/>
          <w:sz w:val="24"/>
          <w:szCs w:val="24"/>
        </w:rPr>
        <w:t xml:space="preserve"> birth parent. The OITO section of the RTA put this forward as a permissive measure: "[</w:t>
      </w:r>
      <w:r w:rsidRPr="009362C0">
        <w:rPr>
          <w:rFonts w:cstheme="minorHAnsi"/>
          <w:iCs/>
          <w:sz w:val="24"/>
          <w:szCs w:val="24"/>
        </w:rPr>
        <w:t xml:space="preserve">adoption] </w:t>
      </w:r>
      <w:r w:rsidRPr="00210DBB">
        <w:rPr>
          <w:rFonts w:cstheme="minorHAnsi"/>
          <w:i/>
          <w:iCs/>
          <w:sz w:val="24"/>
          <w:szCs w:val="24"/>
        </w:rPr>
        <w:t>agencies can supply the service if they wish and can also charge, therefore, by definition, they will only do so if the benefits to them are at least equal to the costs</w:t>
      </w:r>
      <w:r w:rsidRPr="009362C0">
        <w:rPr>
          <w:rFonts w:cstheme="minorHAnsi"/>
          <w:sz w:val="24"/>
          <w:szCs w:val="24"/>
        </w:rPr>
        <w:t>". This argument lends itself more readily to businesses, where benefits take the form of revenue or profit.  The RTC set out the reasoning for why it can also be applied to charitable organisations. This was: "</w:t>
      </w:r>
      <w:r w:rsidRPr="00210DBB">
        <w:rPr>
          <w:rFonts w:cstheme="minorHAnsi"/>
          <w:i/>
          <w:iCs/>
          <w:sz w:val="24"/>
          <w:szCs w:val="24"/>
        </w:rPr>
        <w:t>While these agencies may feel obliged to provide the service requested, often without charge, it is reasonable to assume that this will be of benefit to them in terms of furthering their objectives</w:t>
      </w:r>
      <w:r w:rsidRPr="009362C0">
        <w:rPr>
          <w:rFonts w:cstheme="minorHAnsi"/>
          <w:sz w:val="24"/>
          <w:szCs w:val="24"/>
        </w:rPr>
        <w:t>". In the opinion following the validat</w:t>
      </w:r>
      <w:r w:rsidR="0018656B">
        <w:rPr>
          <w:rFonts w:cstheme="minorHAnsi"/>
          <w:sz w:val="24"/>
          <w:szCs w:val="24"/>
        </w:rPr>
        <w:t>ion IA for this measure the RPC</w:t>
      </w:r>
      <w:r>
        <w:rPr>
          <w:rFonts w:cstheme="minorHAnsi"/>
          <w:sz w:val="24"/>
          <w:szCs w:val="24"/>
        </w:rPr>
        <w:t xml:space="preserve"> accepted </w:t>
      </w:r>
      <w:r w:rsidRPr="009362C0">
        <w:rPr>
          <w:rFonts w:cstheme="minorHAnsi"/>
          <w:sz w:val="24"/>
          <w:szCs w:val="24"/>
        </w:rPr>
        <w:t>that the benefits to voluntary adoption agencies of the proposal will at least equal the costs.</w:t>
      </w:r>
      <w:r>
        <w:rPr>
          <w:rFonts w:cstheme="minorHAnsi"/>
          <w:sz w:val="24"/>
          <w:szCs w:val="24"/>
        </w:rPr>
        <w:t xml:space="preserve"> </w:t>
      </w:r>
      <w:r w:rsidRPr="009362C0">
        <w:rPr>
          <w:rFonts w:cstheme="minorHAnsi"/>
          <w:sz w:val="24"/>
          <w:szCs w:val="24"/>
        </w:rPr>
        <w:t>(</w:t>
      </w:r>
      <w:hyperlink r:id="rId46" w:history="1">
        <w:r w:rsidRPr="009362C0">
          <w:rPr>
            <w:rFonts w:cstheme="minorHAnsi"/>
            <w:color w:val="0000FF"/>
            <w:sz w:val="24"/>
            <w:szCs w:val="24"/>
          </w:rPr>
          <w:t>IA</w:t>
        </w:r>
      </w:hyperlink>
      <w:r w:rsidR="00C3680D">
        <w:rPr>
          <w:rFonts w:cstheme="minorHAnsi"/>
          <w:sz w:val="24"/>
          <w:szCs w:val="24"/>
        </w:rPr>
        <w:t>)</w:t>
      </w:r>
    </w:p>
    <w:p w:rsidR="00BF6A5F" w:rsidRDefault="00BF6A5F" w:rsidP="00BF6A5F">
      <w:pPr>
        <w:spacing w:after="0"/>
        <w:rPr>
          <w:rFonts w:eastAsia="Times New Roman" w:cstheme="minorHAnsi"/>
          <w:b/>
          <w:color w:val="000000" w:themeColor="text1"/>
          <w:sz w:val="24"/>
          <w:szCs w:val="24"/>
          <w:lang w:eastAsia="en-GB"/>
        </w:rPr>
      </w:pPr>
    </w:p>
    <w:p w:rsidR="00BF6A5F" w:rsidRPr="00B30582" w:rsidRDefault="00BF6A5F" w:rsidP="00BF6A5F">
      <w:pPr>
        <w:spacing w:after="0"/>
        <w:rPr>
          <w:rFonts w:eastAsia="Times New Roman" w:cstheme="minorHAnsi"/>
          <w:b/>
          <w:color w:val="000000" w:themeColor="text1"/>
          <w:sz w:val="24"/>
          <w:szCs w:val="24"/>
          <w:lang w:eastAsia="en-GB"/>
        </w:rPr>
      </w:pPr>
      <w:r w:rsidRPr="00B30582">
        <w:rPr>
          <w:rFonts w:eastAsia="Times New Roman" w:cstheme="minorHAnsi"/>
          <w:b/>
          <w:color w:val="000000" w:themeColor="text1"/>
          <w:sz w:val="24"/>
          <w:szCs w:val="24"/>
          <w:lang w:eastAsia="en-GB"/>
        </w:rPr>
        <w:t>4.</w:t>
      </w:r>
      <w:r>
        <w:rPr>
          <w:rFonts w:eastAsia="Times New Roman" w:cstheme="minorHAnsi"/>
          <w:b/>
          <w:color w:val="000000" w:themeColor="text1"/>
          <w:sz w:val="24"/>
          <w:szCs w:val="24"/>
          <w:lang w:eastAsia="en-GB"/>
        </w:rPr>
        <w:t>3</w:t>
      </w:r>
      <w:r w:rsidRPr="00B30582">
        <w:rPr>
          <w:rFonts w:eastAsia="Times New Roman" w:cstheme="minorHAnsi"/>
          <w:b/>
          <w:color w:val="000000" w:themeColor="text1"/>
          <w:sz w:val="24"/>
          <w:szCs w:val="24"/>
          <w:lang w:eastAsia="en-GB"/>
        </w:rPr>
        <w:t>.2 Enforcement and compliance levels</w:t>
      </w:r>
    </w:p>
    <w:p w:rsidR="00BF6A5F" w:rsidRPr="00B30582" w:rsidRDefault="00BF6A5F" w:rsidP="00BF6A5F">
      <w:pPr>
        <w:spacing w:after="0"/>
        <w:rPr>
          <w:rFonts w:eastAsia="Times New Roman" w:cstheme="minorHAnsi"/>
          <w:b/>
          <w:sz w:val="24"/>
          <w:szCs w:val="24"/>
          <w:u w:val="single"/>
          <w:lang w:eastAsia="en-GB"/>
        </w:rPr>
      </w:pPr>
    </w:p>
    <w:p w:rsidR="007630CA" w:rsidRPr="0018656B" w:rsidRDefault="00BF6A5F" w:rsidP="00BF6A5F">
      <w:pPr>
        <w:spacing w:after="0"/>
        <w:rPr>
          <w:rFonts w:eastAsia="Times New Roman" w:cstheme="minorHAnsi"/>
          <w:sz w:val="24"/>
          <w:szCs w:val="24"/>
          <w:lang w:eastAsia="en-GB"/>
        </w:rPr>
      </w:pPr>
      <w:r w:rsidRPr="00B30582">
        <w:rPr>
          <w:rFonts w:eastAsia="Times New Roman" w:cstheme="minorHAnsi"/>
          <w:sz w:val="24"/>
          <w:szCs w:val="24"/>
          <w:lang w:eastAsia="en-GB"/>
        </w:rPr>
        <w:t xml:space="preserve">Normally, an IA should assume 100% compliance when calculating </w:t>
      </w:r>
      <w:r>
        <w:rPr>
          <w:rFonts w:eastAsia="Times New Roman" w:cstheme="minorHAnsi"/>
          <w:sz w:val="24"/>
          <w:szCs w:val="24"/>
          <w:lang w:eastAsia="en-GB"/>
        </w:rPr>
        <w:t xml:space="preserve">the </w:t>
      </w:r>
      <w:r w:rsidRPr="00B30582">
        <w:rPr>
          <w:rFonts w:eastAsia="Times New Roman" w:cstheme="minorHAnsi"/>
          <w:sz w:val="24"/>
          <w:szCs w:val="24"/>
          <w:lang w:eastAsia="en-GB"/>
        </w:rPr>
        <w:t>costs and benefits of regulation. However, if a department has specific evidence that compliance is</w:t>
      </w:r>
      <w:r>
        <w:rPr>
          <w:rFonts w:eastAsia="Times New Roman" w:cstheme="minorHAnsi"/>
          <w:sz w:val="24"/>
          <w:szCs w:val="24"/>
          <w:lang w:eastAsia="en-GB"/>
        </w:rPr>
        <w:t xml:space="preserve"> unlikely to be 100% then it</w:t>
      </w:r>
      <w:r w:rsidRPr="00B30582">
        <w:rPr>
          <w:rFonts w:eastAsia="Times New Roman" w:cstheme="minorHAnsi"/>
          <w:sz w:val="24"/>
          <w:szCs w:val="24"/>
          <w:lang w:eastAsia="en-GB"/>
        </w:rPr>
        <w:t xml:space="preserve"> should </w:t>
      </w:r>
      <w:r>
        <w:rPr>
          <w:rFonts w:eastAsia="Times New Roman" w:cstheme="minorHAnsi"/>
          <w:sz w:val="24"/>
          <w:szCs w:val="24"/>
          <w:lang w:eastAsia="en-GB"/>
        </w:rPr>
        <w:t xml:space="preserve">use that evidence to potentially </w:t>
      </w:r>
      <w:r w:rsidRPr="00B30582">
        <w:rPr>
          <w:rFonts w:eastAsia="Times New Roman" w:cstheme="minorHAnsi"/>
          <w:sz w:val="24"/>
          <w:szCs w:val="24"/>
          <w:lang w:eastAsia="en-GB"/>
        </w:rPr>
        <w:t xml:space="preserve">assume </w:t>
      </w:r>
      <w:r>
        <w:rPr>
          <w:rFonts w:eastAsia="Times New Roman" w:cstheme="minorHAnsi"/>
          <w:sz w:val="24"/>
          <w:szCs w:val="24"/>
          <w:lang w:eastAsia="en-GB"/>
        </w:rPr>
        <w:t xml:space="preserve">a </w:t>
      </w:r>
      <w:r w:rsidRPr="00B30582">
        <w:rPr>
          <w:rFonts w:eastAsia="Times New Roman" w:cstheme="minorHAnsi"/>
          <w:sz w:val="24"/>
          <w:szCs w:val="24"/>
          <w:lang w:eastAsia="en-GB"/>
        </w:rPr>
        <w:t>lower level</w:t>
      </w:r>
      <w:r>
        <w:rPr>
          <w:rFonts w:eastAsia="Times New Roman" w:cstheme="minorHAnsi"/>
          <w:sz w:val="24"/>
          <w:szCs w:val="24"/>
          <w:lang w:eastAsia="en-GB"/>
        </w:rPr>
        <w:t xml:space="preserve"> of compliance</w:t>
      </w:r>
      <w:r w:rsidRPr="00B30582">
        <w:rPr>
          <w:rFonts w:eastAsia="Times New Roman" w:cstheme="minorHAnsi"/>
          <w:sz w:val="24"/>
          <w:szCs w:val="24"/>
          <w:lang w:eastAsia="en-GB"/>
        </w:rPr>
        <w:t>. When a department assumes low levels of compliance</w:t>
      </w:r>
      <w:r>
        <w:rPr>
          <w:rFonts w:eastAsia="Times New Roman" w:cstheme="minorHAnsi"/>
          <w:sz w:val="24"/>
          <w:szCs w:val="24"/>
          <w:lang w:eastAsia="en-GB"/>
        </w:rPr>
        <w:t>, it</w:t>
      </w:r>
      <w:r w:rsidRPr="00B30582">
        <w:rPr>
          <w:rFonts w:eastAsia="Times New Roman" w:cstheme="minorHAnsi"/>
          <w:sz w:val="24"/>
          <w:szCs w:val="24"/>
          <w:lang w:eastAsia="en-GB"/>
        </w:rPr>
        <w:t xml:space="preserve"> should still set out the potential costs </w:t>
      </w:r>
      <w:r w:rsidR="00BA6D02">
        <w:rPr>
          <w:rFonts w:eastAsia="Times New Roman" w:cstheme="minorHAnsi"/>
          <w:sz w:val="24"/>
          <w:szCs w:val="24"/>
          <w:lang w:eastAsia="en-GB"/>
        </w:rPr>
        <w:t xml:space="preserve">and benefits </w:t>
      </w:r>
      <w:r w:rsidRPr="00B30582">
        <w:rPr>
          <w:rFonts w:eastAsia="Times New Roman" w:cstheme="minorHAnsi"/>
          <w:sz w:val="24"/>
          <w:szCs w:val="24"/>
          <w:lang w:eastAsia="en-GB"/>
        </w:rPr>
        <w:t>of full compliance.</w:t>
      </w:r>
    </w:p>
    <w:p w:rsidR="007630CA" w:rsidRPr="00B30582" w:rsidRDefault="007630CA" w:rsidP="00BF6A5F">
      <w:pPr>
        <w:spacing w:after="0"/>
        <w:rPr>
          <w:rFonts w:eastAsia="Times New Roman" w:cstheme="minorHAnsi"/>
          <w:b/>
          <w:sz w:val="24"/>
          <w:szCs w:val="24"/>
          <w:lang w:eastAsia="en-GB"/>
        </w:rPr>
      </w:pPr>
    </w:p>
    <w:p w:rsidR="00BF6A5F" w:rsidRPr="00B30582" w:rsidRDefault="00BF6A5F" w:rsidP="00BF6A5F">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b/>
          <w:sz w:val="24"/>
          <w:szCs w:val="24"/>
          <w:lang w:eastAsia="en-GB"/>
        </w:rPr>
      </w:pPr>
      <w:r w:rsidRPr="00B30582">
        <w:rPr>
          <w:rFonts w:eastAsia="Times New Roman" w:cstheme="minorHAnsi"/>
          <w:b/>
          <w:sz w:val="24"/>
          <w:szCs w:val="24"/>
          <w:lang w:eastAsia="en-GB"/>
        </w:rPr>
        <w:t xml:space="preserve">Construction (Design and Management) Regulations 2015 (CDM 2015) (RPC13-HSE-1824): </w:t>
      </w:r>
      <w:r w:rsidRPr="00B30582">
        <w:rPr>
          <w:rFonts w:eastAsia="Times New Roman" w:cstheme="minorHAnsi"/>
          <w:sz w:val="24"/>
          <w:szCs w:val="24"/>
          <w:lang w:eastAsia="en-GB"/>
        </w:rPr>
        <w:t>this was an EU-driven policy to improve health and safety in construction. HSE took the view that its existing outcome-focussed approach meant that the more prescriptive EU regulations would have no benefits</w:t>
      </w:r>
      <w:r>
        <w:rPr>
          <w:rFonts w:eastAsia="Times New Roman" w:cstheme="minorHAnsi"/>
          <w:sz w:val="24"/>
          <w:szCs w:val="24"/>
          <w:lang w:eastAsia="en-GB"/>
        </w:rPr>
        <w:t>.</w:t>
      </w:r>
      <w:r w:rsidRPr="00B30582">
        <w:rPr>
          <w:rFonts w:eastAsia="Times New Roman" w:cstheme="minorHAnsi"/>
          <w:sz w:val="24"/>
          <w:szCs w:val="24"/>
          <w:lang w:eastAsia="en-GB"/>
        </w:rPr>
        <w:t xml:space="preserve">  </w:t>
      </w:r>
      <w:r>
        <w:rPr>
          <w:rFonts w:eastAsia="Times New Roman" w:cstheme="minorHAnsi"/>
          <w:sz w:val="24"/>
          <w:szCs w:val="24"/>
          <w:lang w:eastAsia="en-GB"/>
        </w:rPr>
        <w:t xml:space="preserve">There was also a widespread acceptance across the EU that the directive was flawed and needed changing.  </w:t>
      </w:r>
      <w:r w:rsidRPr="00B30582">
        <w:rPr>
          <w:rFonts w:eastAsia="Times New Roman" w:cstheme="minorHAnsi"/>
          <w:sz w:val="24"/>
          <w:szCs w:val="24"/>
          <w:lang w:eastAsia="en-GB"/>
        </w:rPr>
        <w:t>HSE, therefore, assumed 12 per cent compliance and provided evidence to support this.</w:t>
      </w:r>
      <w:r w:rsidRPr="00B30582">
        <w:rPr>
          <w:rFonts w:eastAsia="Times New Roman" w:cstheme="minorHAnsi"/>
          <w:i/>
          <w:sz w:val="24"/>
          <w:szCs w:val="24"/>
          <w:lang w:eastAsia="en-GB"/>
        </w:rPr>
        <w:t xml:space="preserve"> </w:t>
      </w:r>
      <w:r w:rsidRPr="00B30582">
        <w:rPr>
          <w:rFonts w:eastAsia="Times New Roman" w:cstheme="minorHAnsi"/>
          <w:sz w:val="24"/>
          <w:szCs w:val="24"/>
          <w:lang w:eastAsia="en-GB"/>
        </w:rPr>
        <w:t>(</w:t>
      </w:r>
      <w:hyperlink r:id="rId47" w:history="1">
        <w:r w:rsidRPr="00B30582">
          <w:rPr>
            <w:rFonts w:eastAsia="Times New Roman" w:cstheme="minorHAnsi"/>
            <w:color w:val="0000FF"/>
            <w:sz w:val="24"/>
            <w:szCs w:val="24"/>
            <w:u w:val="single"/>
            <w:lang w:eastAsia="en-GB"/>
          </w:rPr>
          <w:t>IA</w:t>
        </w:r>
      </w:hyperlink>
      <w:r w:rsidRPr="00B30582">
        <w:rPr>
          <w:rFonts w:eastAsia="Times New Roman" w:cstheme="minorHAnsi"/>
          <w:sz w:val="24"/>
          <w:szCs w:val="24"/>
          <w:lang w:eastAsia="en-GB"/>
        </w:rPr>
        <w:t>)</w:t>
      </w:r>
    </w:p>
    <w:p w:rsidR="00BF6A5F" w:rsidRPr="00B30582" w:rsidRDefault="00BF6A5F" w:rsidP="00BF6A5F">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i/>
          <w:sz w:val="24"/>
          <w:szCs w:val="24"/>
          <w:lang w:eastAsia="en-GB"/>
        </w:rPr>
      </w:pPr>
    </w:p>
    <w:p w:rsidR="00BF6A5F" w:rsidRPr="00B30582" w:rsidRDefault="00BF6A5F" w:rsidP="00BF6A5F">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autoSpaceDE w:val="0"/>
        <w:autoSpaceDN w:val="0"/>
        <w:adjustRightInd w:val="0"/>
        <w:spacing w:after="0"/>
        <w:rPr>
          <w:rFonts w:eastAsia="Times New Roman" w:cstheme="minorHAnsi"/>
          <w:color w:val="000000"/>
          <w:sz w:val="24"/>
          <w:szCs w:val="24"/>
          <w:lang w:eastAsia="en-GB"/>
        </w:rPr>
      </w:pPr>
      <w:r w:rsidRPr="00B30582">
        <w:rPr>
          <w:rFonts w:eastAsia="Times New Roman" w:cstheme="minorHAnsi"/>
          <w:b/>
          <w:color w:val="000000"/>
          <w:sz w:val="24"/>
          <w:szCs w:val="24"/>
          <w:lang w:eastAsia="en-GB"/>
        </w:rPr>
        <w:t xml:space="preserve">The </w:t>
      </w:r>
      <w:proofErr w:type="spellStart"/>
      <w:r w:rsidRPr="00B30582">
        <w:rPr>
          <w:rFonts w:eastAsia="Times New Roman" w:cstheme="minorHAnsi"/>
          <w:b/>
          <w:color w:val="000000"/>
          <w:sz w:val="24"/>
          <w:szCs w:val="24"/>
          <w:lang w:eastAsia="en-GB"/>
        </w:rPr>
        <w:t>Transfrontier</w:t>
      </w:r>
      <w:proofErr w:type="spellEnd"/>
      <w:r w:rsidRPr="00B30582">
        <w:rPr>
          <w:rFonts w:eastAsia="Times New Roman" w:cstheme="minorHAnsi"/>
          <w:b/>
          <w:color w:val="000000"/>
          <w:sz w:val="24"/>
          <w:szCs w:val="24"/>
          <w:lang w:eastAsia="en-GB"/>
        </w:rPr>
        <w:t xml:space="preserve"> Shipment of Waste (Amendment) Regulations 2012 (RPC12-DEFRA-1648):</w:t>
      </w:r>
      <w:r w:rsidRPr="00B30582">
        <w:rPr>
          <w:rFonts w:eastAsia="Times New Roman" w:cstheme="minorHAnsi"/>
          <w:color w:val="000000"/>
          <w:sz w:val="24"/>
          <w:szCs w:val="24"/>
          <w:lang w:eastAsia="en-GB"/>
        </w:rPr>
        <w:t xml:space="preserve"> This proposal included a number of elements intended to improve the ability of public bodies to monitor and regulate effectively the movement of waste. The impact on businesses of any increased detection of non-compliance was considered out of scope. The only elements of the proposal that were thought to impact on compliant businesses were an </w:t>
      </w:r>
      <w:r w:rsidRPr="00B30582">
        <w:rPr>
          <w:rFonts w:eastAsia="Times New Roman" w:cstheme="minorHAnsi"/>
          <w:color w:val="000000"/>
          <w:sz w:val="24"/>
          <w:szCs w:val="24"/>
          <w:lang w:eastAsia="en-GB"/>
        </w:rPr>
        <w:lastRenderedPageBreak/>
        <w:t>increase in fees and charges with no change in the scope of regulation. On this basis, the proposal was assessed as being outside the scope of one-in, two-out.  (</w:t>
      </w:r>
      <w:hyperlink r:id="rId48" w:history="1">
        <w:r w:rsidRPr="00B30582">
          <w:rPr>
            <w:rFonts w:eastAsia="Times New Roman" w:cstheme="minorHAnsi"/>
            <w:color w:val="0000FF"/>
            <w:sz w:val="24"/>
            <w:szCs w:val="24"/>
            <w:u w:val="single"/>
            <w:lang w:eastAsia="en-GB"/>
          </w:rPr>
          <w:t>Opinion and IA</w:t>
        </w:r>
      </w:hyperlink>
      <w:r w:rsidRPr="00B30582">
        <w:rPr>
          <w:rFonts w:eastAsia="Times New Roman" w:cstheme="minorHAnsi"/>
          <w:color w:val="000000"/>
          <w:sz w:val="24"/>
          <w:szCs w:val="24"/>
          <w:lang w:eastAsia="en-GB"/>
        </w:rPr>
        <w:t>)</w:t>
      </w:r>
    </w:p>
    <w:p w:rsidR="00BF6A5F" w:rsidRPr="00F23F6B" w:rsidRDefault="00BF6A5F" w:rsidP="00BF6A5F">
      <w:pPr>
        <w:tabs>
          <w:tab w:val="left" w:pos="709"/>
        </w:tabs>
        <w:spacing w:after="0"/>
        <w:rPr>
          <w:b/>
          <w:sz w:val="24"/>
          <w:szCs w:val="24"/>
        </w:rPr>
      </w:pPr>
    </w:p>
    <w:p w:rsidR="00BF6A5F" w:rsidRPr="00834F2E" w:rsidRDefault="00BF6A5F" w:rsidP="00BF6A5F">
      <w:pPr>
        <w:tabs>
          <w:tab w:val="left" w:pos="709"/>
        </w:tabs>
        <w:rPr>
          <w:b/>
          <w:sz w:val="24"/>
          <w:szCs w:val="24"/>
        </w:rPr>
      </w:pPr>
      <w:r>
        <w:rPr>
          <w:b/>
          <w:sz w:val="24"/>
          <w:szCs w:val="24"/>
        </w:rPr>
        <w:t>4.3.3</w:t>
      </w:r>
      <w:r w:rsidRPr="00834F2E">
        <w:rPr>
          <w:b/>
          <w:sz w:val="24"/>
          <w:szCs w:val="24"/>
        </w:rPr>
        <w:t xml:space="preserve"> </w:t>
      </w:r>
      <w:r>
        <w:rPr>
          <w:b/>
          <w:sz w:val="24"/>
          <w:szCs w:val="24"/>
        </w:rPr>
        <w:tab/>
      </w:r>
      <w:r w:rsidRPr="00834F2E">
        <w:rPr>
          <w:b/>
          <w:sz w:val="24"/>
          <w:szCs w:val="24"/>
        </w:rPr>
        <w:t>Proposals containing both regulatory and deregulatory elements</w:t>
      </w:r>
    </w:p>
    <w:p w:rsidR="00BF6A5F" w:rsidRDefault="00BF6A5F" w:rsidP="00BF6A5F">
      <w:pPr>
        <w:spacing w:after="0"/>
        <w:rPr>
          <w:rFonts w:eastAsia="Times New Roman" w:cstheme="minorHAnsi"/>
          <w:sz w:val="24"/>
          <w:szCs w:val="28"/>
          <w:lang w:eastAsia="en-GB"/>
        </w:rPr>
      </w:pPr>
      <w:r>
        <w:rPr>
          <w:rFonts w:eastAsia="Times New Roman" w:cstheme="minorHAnsi"/>
          <w:sz w:val="24"/>
          <w:szCs w:val="28"/>
          <w:lang w:eastAsia="en-GB"/>
        </w:rPr>
        <w:t xml:space="preserve">Under the BIT, net beneficial regulation scores in the same way as deregulation. However, there are two particular reasons for why policy proposals containing both regulatory and deregulatory measures require careful scrutiny. First, regulatory measures on their own would score x3 under OI3O but only effectively x1 if part of an overall net beneficial package.  Departments should, therefore, demonstrate clearly that the regulatory and deregulatory </w:t>
      </w:r>
      <w:r w:rsidRPr="00922E32">
        <w:rPr>
          <w:rFonts w:eastAsia="Times New Roman" w:cstheme="minorHAnsi"/>
          <w:sz w:val="24"/>
          <w:szCs w:val="28"/>
          <w:lang w:eastAsia="en-GB"/>
        </w:rPr>
        <w:t xml:space="preserve">elements </w:t>
      </w:r>
      <w:r>
        <w:rPr>
          <w:rFonts w:eastAsia="Times New Roman" w:cstheme="minorHAnsi"/>
          <w:sz w:val="24"/>
          <w:szCs w:val="28"/>
          <w:lang w:eastAsia="en-GB"/>
        </w:rPr>
        <w:t>are</w:t>
      </w:r>
      <w:r w:rsidRPr="00922E32">
        <w:rPr>
          <w:rFonts w:eastAsia="Times New Roman" w:cstheme="minorHAnsi"/>
          <w:sz w:val="24"/>
          <w:szCs w:val="28"/>
          <w:lang w:eastAsia="en-GB"/>
        </w:rPr>
        <w:t xml:space="preserve"> logically part of the same package of reforms. Second</w:t>
      </w:r>
      <w:r>
        <w:rPr>
          <w:rFonts w:eastAsia="Times New Roman" w:cstheme="minorHAnsi"/>
          <w:sz w:val="24"/>
          <w:szCs w:val="28"/>
          <w:lang w:eastAsia="en-GB"/>
        </w:rPr>
        <w:t>, regulatory measures (unless low cost) would not qualify for the f</w:t>
      </w:r>
      <w:r w:rsidRPr="00922E32">
        <w:rPr>
          <w:rFonts w:eastAsia="Times New Roman" w:cstheme="minorHAnsi"/>
          <w:sz w:val="24"/>
          <w:szCs w:val="28"/>
          <w:lang w:eastAsia="en-GB"/>
        </w:rPr>
        <w:t>ast track</w:t>
      </w:r>
      <w:r>
        <w:rPr>
          <w:rFonts w:eastAsia="Times New Roman" w:cstheme="minorHAnsi"/>
          <w:sz w:val="24"/>
          <w:szCs w:val="28"/>
          <w:lang w:eastAsia="en-GB"/>
        </w:rPr>
        <w:t xml:space="preserve">. </w:t>
      </w:r>
      <w:r w:rsidRPr="00922E32">
        <w:rPr>
          <w:rFonts w:eastAsia="Times New Roman" w:cstheme="minorHAnsi"/>
          <w:sz w:val="24"/>
          <w:szCs w:val="28"/>
          <w:lang w:eastAsia="en-GB"/>
        </w:rPr>
        <w:t xml:space="preserve"> </w:t>
      </w:r>
      <w:r>
        <w:rPr>
          <w:rFonts w:eastAsia="Times New Roman" w:cstheme="minorHAnsi"/>
          <w:sz w:val="24"/>
          <w:szCs w:val="28"/>
          <w:lang w:eastAsia="en-GB"/>
        </w:rPr>
        <w:t>D</w:t>
      </w:r>
      <w:r w:rsidRPr="00922E32">
        <w:rPr>
          <w:rFonts w:eastAsia="Times New Roman" w:cstheme="minorHAnsi"/>
          <w:sz w:val="24"/>
          <w:szCs w:val="28"/>
          <w:lang w:eastAsia="en-GB"/>
        </w:rPr>
        <w:t xml:space="preserve">eregulatory cases with regulatory elements will normally </w:t>
      </w:r>
      <w:r>
        <w:rPr>
          <w:rFonts w:eastAsia="Times New Roman" w:cstheme="minorHAnsi"/>
          <w:sz w:val="24"/>
          <w:szCs w:val="28"/>
          <w:lang w:eastAsia="en-GB"/>
        </w:rPr>
        <w:t>only qualify for the fast track if</w:t>
      </w:r>
      <w:r w:rsidRPr="00922E32">
        <w:rPr>
          <w:rFonts w:eastAsia="Times New Roman" w:cstheme="minorHAnsi"/>
          <w:sz w:val="24"/>
          <w:szCs w:val="28"/>
          <w:lang w:eastAsia="en-GB"/>
        </w:rPr>
        <w:t xml:space="preserve"> </w:t>
      </w:r>
      <w:r>
        <w:rPr>
          <w:rFonts w:eastAsia="Times New Roman" w:cstheme="minorHAnsi"/>
          <w:sz w:val="24"/>
          <w:szCs w:val="28"/>
          <w:lang w:eastAsia="en-GB"/>
        </w:rPr>
        <w:t>it</w:t>
      </w:r>
      <w:r w:rsidRPr="00922E32">
        <w:rPr>
          <w:rFonts w:eastAsia="Times New Roman" w:cstheme="minorHAnsi"/>
          <w:sz w:val="24"/>
          <w:szCs w:val="28"/>
          <w:lang w:eastAsia="en-GB"/>
        </w:rPr>
        <w:t xml:space="preserve"> can be shown that the regulatory element is necessary to deliver the deregulation</w:t>
      </w:r>
      <w:r>
        <w:rPr>
          <w:rFonts w:eastAsia="Times New Roman" w:cstheme="minorHAnsi"/>
          <w:sz w:val="24"/>
          <w:szCs w:val="28"/>
          <w:lang w:eastAsia="en-GB"/>
        </w:rPr>
        <w:t xml:space="preserve"> or if the whole proposal is, in any case, low cost</w:t>
      </w:r>
      <w:r w:rsidRPr="00922E32">
        <w:rPr>
          <w:rFonts w:eastAsia="Times New Roman" w:cstheme="minorHAnsi"/>
          <w:sz w:val="24"/>
          <w:szCs w:val="28"/>
          <w:lang w:eastAsia="en-GB"/>
        </w:rPr>
        <w:t>.</w:t>
      </w:r>
    </w:p>
    <w:p w:rsidR="0018656B" w:rsidRDefault="0018656B" w:rsidP="00BF6A5F">
      <w:pPr>
        <w:spacing w:after="0"/>
        <w:rPr>
          <w:rFonts w:eastAsia="Times New Roman" w:cstheme="minorHAnsi"/>
          <w:sz w:val="24"/>
          <w:szCs w:val="28"/>
          <w:lang w:eastAsia="en-GB"/>
        </w:rPr>
      </w:pPr>
    </w:p>
    <w:p w:rsidR="00BF6A5F" w:rsidRPr="00922E32" w:rsidRDefault="00BF6A5F" w:rsidP="00BF6A5F">
      <w:pPr>
        <w:spacing w:after="0"/>
        <w:rPr>
          <w:rFonts w:eastAsia="Times New Roman" w:cstheme="minorHAnsi"/>
          <w:b/>
          <w:sz w:val="24"/>
          <w:szCs w:val="28"/>
          <w:u w:val="single"/>
          <w:lang w:eastAsia="en-GB"/>
        </w:rPr>
      </w:pPr>
    </w:p>
    <w:p w:rsidR="00BF6A5F" w:rsidRPr="00922E32" w:rsidRDefault="00BF6A5F" w:rsidP="00BF6A5F">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b/>
          <w:bCs/>
          <w:color w:val="000000"/>
          <w:sz w:val="24"/>
          <w:szCs w:val="24"/>
          <w:lang w:eastAsia="en-GB"/>
        </w:rPr>
      </w:pPr>
      <w:r w:rsidRPr="00922E32">
        <w:rPr>
          <w:rFonts w:eastAsia="Times New Roman" w:cstheme="minorHAnsi"/>
          <w:b/>
          <w:bCs/>
          <w:color w:val="000000"/>
          <w:sz w:val="24"/>
          <w:szCs w:val="24"/>
          <w:lang w:eastAsia="en-GB"/>
        </w:rPr>
        <w:t xml:space="preserve">Reforming the regulatory framework for employment agencies and employment businesses’ (RPC14-BIS-2150): </w:t>
      </w:r>
      <w:r w:rsidRPr="00922E32">
        <w:rPr>
          <w:rFonts w:eastAsia="Calibri" w:cstheme="minorHAnsi"/>
          <w:sz w:val="24"/>
          <w:szCs w:val="24"/>
        </w:rPr>
        <w:t>the</w:t>
      </w:r>
      <w:r w:rsidRPr="00922E32">
        <w:rPr>
          <w:rFonts w:eastAsia="Calibri" w:cstheme="minorHAnsi"/>
          <w:b/>
          <w:sz w:val="24"/>
          <w:szCs w:val="24"/>
        </w:rPr>
        <w:t xml:space="preserve"> </w:t>
      </w:r>
      <w:r w:rsidRPr="00922E32">
        <w:rPr>
          <w:rFonts w:eastAsia="Calibri" w:cstheme="minorHAnsi"/>
          <w:sz w:val="24"/>
          <w:szCs w:val="24"/>
        </w:rPr>
        <w:t xml:space="preserve">employment agencies </w:t>
      </w:r>
      <w:r w:rsidRPr="00922E32">
        <w:rPr>
          <w:rFonts w:eastAsia="Times New Roman" w:cstheme="minorHAnsi"/>
          <w:sz w:val="24"/>
          <w:szCs w:val="24"/>
          <w:lang w:eastAsia="en-GB"/>
        </w:rPr>
        <w:t xml:space="preserve">case included both deregulatory (redefining employment agency to exclude job boards) and regulatory (prohibiting employment agencies advertising jobs exclusively overseas) elements.  A much smaller number of organisations would be affected by the regulatory element. The RPC opinion, therefore, accepted that the policy package could be seen as deregulatory overall. The net cost of the regulatory element could be deducted from the net savings to business from the deregulatory elements to leave a likely net OUT. </w:t>
      </w:r>
      <w:r w:rsidRPr="00922E32">
        <w:rPr>
          <w:rFonts w:eastAsia="Calibri" w:cstheme="minorHAnsi"/>
          <w:sz w:val="24"/>
          <w:szCs w:val="24"/>
        </w:rPr>
        <w:t>H</w:t>
      </w:r>
      <w:r w:rsidRPr="00922E32">
        <w:rPr>
          <w:rFonts w:eastAsia="Times New Roman" w:cstheme="minorHAnsi"/>
          <w:sz w:val="24"/>
          <w:szCs w:val="24"/>
          <w:lang w:eastAsia="en-GB"/>
        </w:rPr>
        <w:t>aving a regulatory component d</w:t>
      </w:r>
      <w:r>
        <w:rPr>
          <w:rFonts w:eastAsia="Times New Roman" w:cstheme="minorHAnsi"/>
          <w:sz w:val="24"/>
          <w:szCs w:val="24"/>
          <w:lang w:eastAsia="en-GB"/>
        </w:rPr>
        <w:t>id</w:t>
      </w:r>
      <w:r w:rsidRPr="00922E32">
        <w:rPr>
          <w:rFonts w:eastAsia="Times New Roman" w:cstheme="minorHAnsi"/>
          <w:sz w:val="24"/>
          <w:szCs w:val="24"/>
          <w:lang w:eastAsia="en-GB"/>
        </w:rPr>
        <w:t xml:space="preserve"> not, therefore, automatically classify a measure as zero net cost</w:t>
      </w:r>
      <w:r>
        <w:rPr>
          <w:rFonts w:eastAsia="Times New Roman" w:cstheme="minorHAnsi"/>
          <w:sz w:val="24"/>
          <w:szCs w:val="24"/>
          <w:lang w:eastAsia="en-GB"/>
        </w:rPr>
        <w:t xml:space="preserve"> under OIOO/OITO</w:t>
      </w:r>
      <w:r w:rsidRPr="00922E32">
        <w:rPr>
          <w:rFonts w:eastAsia="Times New Roman" w:cstheme="minorHAnsi"/>
          <w:sz w:val="24"/>
          <w:szCs w:val="24"/>
          <w:lang w:eastAsia="en-GB"/>
        </w:rPr>
        <w:t>. (</w:t>
      </w:r>
      <w:hyperlink r:id="rId49" w:history="1">
        <w:r w:rsidRPr="00922E32">
          <w:rPr>
            <w:rFonts w:eastAsia="Times New Roman" w:cstheme="minorHAnsi"/>
            <w:color w:val="0000FF"/>
            <w:sz w:val="24"/>
            <w:szCs w:val="24"/>
            <w:u w:val="single"/>
            <w:lang w:eastAsia="en-GB"/>
          </w:rPr>
          <w:t>IA</w:t>
        </w:r>
      </w:hyperlink>
      <w:r w:rsidRPr="00922E32">
        <w:rPr>
          <w:rFonts w:eastAsia="Times New Roman" w:cstheme="minorHAnsi"/>
          <w:sz w:val="24"/>
          <w:szCs w:val="24"/>
          <w:lang w:eastAsia="en-GB"/>
        </w:rPr>
        <w:t>)</w:t>
      </w:r>
    </w:p>
    <w:p w:rsidR="00BF6A5F" w:rsidRDefault="00BF6A5F" w:rsidP="00BF6A5F">
      <w:pPr>
        <w:spacing w:after="0"/>
        <w:rPr>
          <w:b/>
          <w:sz w:val="24"/>
          <w:szCs w:val="24"/>
        </w:rPr>
      </w:pPr>
    </w:p>
    <w:p w:rsidR="007630CA" w:rsidRDefault="007630CA" w:rsidP="00BF6A5F">
      <w:pPr>
        <w:spacing w:after="0"/>
        <w:rPr>
          <w:b/>
          <w:sz w:val="24"/>
          <w:szCs w:val="24"/>
        </w:rPr>
      </w:pPr>
    </w:p>
    <w:p w:rsidR="00BF6A5F" w:rsidRPr="006047FB" w:rsidRDefault="00BF6A5F" w:rsidP="00BF6A5F">
      <w:pPr>
        <w:spacing w:after="0"/>
        <w:rPr>
          <w:rFonts w:eastAsia="Times New Roman" w:cstheme="minorHAnsi"/>
          <w:b/>
          <w:sz w:val="24"/>
          <w:szCs w:val="24"/>
          <w:lang w:eastAsia="en-GB"/>
        </w:rPr>
      </w:pPr>
      <w:r>
        <w:rPr>
          <w:b/>
          <w:sz w:val="24"/>
          <w:szCs w:val="24"/>
        </w:rPr>
        <w:t>4.3.4</w:t>
      </w:r>
      <w:r w:rsidRPr="00834F2E">
        <w:rPr>
          <w:b/>
          <w:sz w:val="24"/>
          <w:szCs w:val="24"/>
        </w:rPr>
        <w:t xml:space="preserve"> </w:t>
      </w:r>
      <w:r>
        <w:rPr>
          <w:b/>
          <w:sz w:val="24"/>
          <w:szCs w:val="24"/>
        </w:rPr>
        <w:tab/>
        <w:t>‘</w:t>
      </w:r>
      <w:r w:rsidRPr="002849B4">
        <w:rPr>
          <w:b/>
          <w:i/>
          <w:sz w:val="24"/>
          <w:szCs w:val="24"/>
        </w:rPr>
        <w:t>R</w:t>
      </w:r>
      <w:r w:rsidRPr="002849B4">
        <w:rPr>
          <w:rFonts w:ascii="Arial" w:hAnsi="Arial" w:cs="Arial"/>
          <w:b/>
          <w:i/>
          <w:color w:val="000000"/>
        </w:rPr>
        <w:t>esources used in complying with regulation</w:t>
      </w:r>
      <w:r w:rsidRPr="006047FB">
        <w:rPr>
          <w:rFonts w:eastAsia="Times New Roman" w:cstheme="minorHAnsi"/>
          <w:b/>
          <w:sz w:val="24"/>
          <w:szCs w:val="24"/>
          <w:lang w:eastAsia="en-GB"/>
        </w:rPr>
        <w:t xml:space="preserve"> ‘</w:t>
      </w:r>
    </w:p>
    <w:p w:rsidR="00BF6A5F" w:rsidRDefault="00BF6A5F" w:rsidP="00BF6A5F">
      <w:pPr>
        <w:spacing w:after="0"/>
        <w:rPr>
          <w:rFonts w:eastAsia="Times New Roman" w:cstheme="minorHAnsi"/>
          <w:b/>
          <w:sz w:val="24"/>
          <w:szCs w:val="24"/>
          <w:u w:val="single"/>
          <w:lang w:eastAsia="en-GB"/>
        </w:rPr>
      </w:pPr>
    </w:p>
    <w:p w:rsidR="00BF6A5F" w:rsidRPr="006047FB" w:rsidRDefault="00BF6A5F" w:rsidP="00BF6A5F">
      <w:pPr>
        <w:rPr>
          <w:rFonts w:cstheme="minorHAnsi"/>
          <w:color w:val="000000"/>
          <w:sz w:val="24"/>
          <w:szCs w:val="24"/>
        </w:rPr>
      </w:pPr>
      <w:r w:rsidRPr="002730C5">
        <w:rPr>
          <w:rFonts w:eastAsia="Times New Roman" w:cstheme="minorHAnsi"/>
          <w:color w:val="000000" w:themeColor="text1"/>
          <w:sz w:val="24"/>
          <w:szCs w:val="24"/>
          <w:lang w:eastAsia="en-GB"/>
        </w:rPr>
        <w:t>In order to comply with regulation, businesses may feel the need to buy services from other businesses. This can take different forms. These may be “</w:t>
      </w:r>
      <w:r w:rsidRPr="002730C5">
        <w:rPr>
          <w:rFonts w:cstheme="minorHAnsi"/>
          <w:color w:val="000000"/>
          <w:sz w:val="24"/>
          <w:szCs w:val="24"/>
        </w:rPr>
        <w:t>pure administrative costs”, such as</w:t>
      </w:r>
      <w:r>
        <w:rPr>
          <w:rFonts w:cstheme="minorHAnsi"/>
          <w:color w:val="000000"/>
          <w:sz w:val="24"/>
          <w:szCs w:val="24"/>
        </w:rPr>
        <w:t xml:space="preserve"> having to use the services of legal firms. In these cases</w:t>
      </w:r>
      <w:r w:rsidRPr="002730C5">
        <w:rPr>
          <w:rFonts w:cstheme="minorHAnsi"/>
          <w:color w:val="000000"/>
          <w:sz w:val="24"/>
          <w:szCs w:val="24"/>
        </w:rPr>
        <w:t xml:space="preserve"> </w:t>
      </w:r>
      <w:r>
        <w:rPr>
          <w:rFonts w:cstheme="minorHAnsi"/>
          <w:color w:val="000000"/>
          <w:sz w:val="24"/>
          <w:szCs w:val="24"/>
        </w:rPr>
        <w:t xml:space="preserve">it is clear that </w:t>
      </w:r>
      <w:r w:rsidRPr="002730C5">
        <w:rPr>
          <w:rFonts w:cstheme="minorHAnsi"/>
          <w:color w:val="000000"/>
          <w:sz w:val="24"/>
          <w:szCs w:val="24"/>
        </w:rPr>
        <w:t>society’s resources are being absorbed into activity</w:t>
      </w:r>
      <w:r>
        <w:rPr>
          <w:rFonts w:cstheme="minorHAnsi"/>
          <w:color w:val="000000"/>
          <w:sz w:val="24"/>
          <w:szCs w:val="24"/>
        </w:rPr>
        <w:t xml:space="preserve"> to comply with regulation</w:t>
      </w:r>
      <w:r w:rsidRPr="002730C5">
        <w:rPr>
          <w:rFonts w:cstheme="minorHAnsi"/>
          <w:color w:val="000000"/>
          <w:sz w:val="24"/>
          <w:szCs w:val="24"/>
        </w:rPr>
        <w:t xml:space="preserve">. </w:t>
      </w:r>
      <w:r>
        <w:rPr>
          <w:rFonts w:cstheme="minorHAnsi"/>
          <w:color w:val="000000"/>
          <w:sz w:val="24"/>
          <w:szCs w:val="24"/>
        </w:rPr>
        <w:t xml:space="preserve">Alternatively, there will be instances where, </w:t>
      </w:r>
      <w:r w:rsidRPr="006047FB">
        <w:rPr>
          <w:rFonts w:cstheme="minorHAnsi"/>
          <w:color w:val="000000"/>
          <w:sz w:val="24"/>
          <w:szCs w:val="24"/>
        </w:rPr>
        <w:t xml:space="preserve">as with the first category, businesses need to purchase services/products from other businesses, but where the service/product may be under-provided by the market. Possible examples include insulation and financial advice. </w:t>
      </w:r>
    </w:p>
    <w:p w:rsidR="00BF6A5F" w:rsidRDefault="00BF6A5F" w:rsidP="00BF6A5F">
      <w:pPr>
        <w:rPr>
          <w:rFonts w:eastAsia="Times New Roman" w:cstheme="minorHAnsi"/>
          <w:color w:val="000000" w:themeColor="text1"/>
          <w:sz w:val="24"/>
          <w:szCs w:val="24"/>
          <w:lang w:eastAsia="en-GB"/>
        </w:rPr>
      </w:pPr>
      <w:r w:rsidRPr="00CF3D71">
        <w:rPr>
          <w:rFonts w:cstheme="minorHAnsi"/>
          <w:color w:val="000000"/>
          <w:sz w:val="24"/>
          <w:szCs w:val="24"/>
        </w:rPr>
        <w:t>In the first case, it</w:t>
      </w:r>
      <w:r w:rsidRPr="00CF3D71">
        <w:rPr>
          <w:rFonts w:eastAsia="Times New Roman" w:cstheme="minorHAnsi"/>
          <w:color w:val="000000"/>
          <w:sz w:val="24"/>
          <w:szCs w:val="24"/>
          <w:lang w:eastAsia="en-GB"/>
        </w:rPr>
        <w:t xml:space="preserve"> is absolutely clear that the benefits to service providers, such as legal firms, should not be included in the EANDCB. The EAN</w:t>
      </w:r>
      <w:r>
        <w:rPr>
          <w:rFonts w:eastAsia="Times New Roman" w:cstheme="minorHAnsi"/>
          <w:color w:val="000000"/>
          <w:sz w:val="24"/>
          <w:szCs w:val="24"/>
          <w:lang w:eastAsia="en-GB"/>
        </w:rPr>
        <w:t>D</w:t>
      </w:r>
      <w:r w:rsidRPr="00CF3D71">
        <w:rPr>
          <w:rFonts w:eastAsia="Times New Roman" w:cstheme="minorHAnsi"/>
          <w:color w:val="000000"/>
          <w:sz w:val="24"/>
          <w:szCs w:val="24"/>
          <w:lang w:eastAsia="en-GB"/>
        </w:rPr>
        <w:t xml:space="preserve">CB should only consist of the cost to businesses subject to the regulatory requirement. The RPC considered whether there should </w:t>
      </w:r>
      <w:r w:rsidRPr="00CF3D71">
        <w:rPr>
          <w:rFonts w:eastAsia="Times New Roman" w:cstheme="minorHAnsi"/>
          <w:color w:val="000000"/>
          <w:sz w:val="24"/>
          <w:szCs w:val="24"/>
          <w:lang w:eastAsia="en-GB"/>
        </w:rPr>
        <w:lastRenderedPageBreak/>
        <w:t xml:space="preserve">be any different treatment in respect to the second type of case. </w:t>
      </w:r>
      <w:r w:rsidRPr="00CF3D71">
        <w:rPr>
          <w:rFonts w:cstheme="minorHAnsi"/>
          <w:color w:val="000000"/>
          <w:sz w:val="24"/>
          <w:szCs w:val="24"/>
        </w:rPr>
        <w:t xml:space="preserve">The benefits to society of the additional provision, e.g. reduced carbon emissions or better use of financial advice, should, of course, be reflected in the NPV.  However, it was agreed that the benefits to providers should </w:t>
      </w:r>
      <w:r>
        <w:rPr>
          <w:rFonts w:cstheme="minorHAnsi"/>
          <w:color w:val="000000"/>
          <w:sz w:val="24"/>
          <w:szCs w:val="24"/>
        </w:rPr>
        <w:t xml:space="preserve">also here </w:t>
      </w:r>
      <w:r w:rsidRPr="00CF3D71">
        <w:rPr>
          <w:rFonts w:cstheme="minorHAnsi"/>
          <w:color w:val="000000"/>
          <w:sz w:val="24"/>
          <w:szCs w:val="24"/>
        </w:rPr>
        <w:t xml:space="preserve">not score in the EANDCB.  </w:t>
      </w:r>
      <w:r w:rsidRPr="006047FB">
        <w:rPr>
          <w:rFonts w:eastAsia="Times New Roman" w:cstheme="minorHAnsi"/>
          <w:color w:val="000000" w:themeColor="text1"/>
          <w:sz w:val="24"/>
          <w:szCs w:val="24"/>
          <w:lang w:eastAsia="en-GB"/>
        </w:rPr>
        <w:t xml:space="preserve">The key principle </w:t>
      </w:r>
      <w:r w:rsidRPr="00CF3D71">
        <w:rPr>
          <w:rFonts w:eastAsia="Times New Roman" w:cstheme="minorHAnsi"/>
          <w:color w:val="000000" w:themeColor="text1"/>
          <w:sz w:val="24"/>
          <w:szCs w:val="24"/>
          <w:lang w:eastAsia="en-GB"/>
        </w:rPr>
        <w:t xml:space="preserve">is </w:t>
      </w:r>
      <w:r w:rsidRPr="006047FB">
        <w:rPr>
          <w:rFonts w:eastAsia="Times New Roman" w:cstheme="minorHAnsi"/>
          <w:color w:val="000000" w:themeColor="text1"/>
          <w:sz w:val="24"/>
          <w:szCs w:val="24"/>
          <w:lang w:eastAsia="en-GB"/>
        </w:rPr>
        <w:t xml:space="preserve">that, if a regulation imposes a cost on business, then that cost should be scored in the BIT. If these costs are a benefit to other businesses, this should not be scored, otherwise the true cost of regulation is not being captured. </w:t>
      </w:r>
    </w:p>
    <w:p w:rsidR="00BF6A5F" w:rsidRDefault="00BF6A5F" w:rsidP="00BF6A5F">
      <w:pPr>
        <w:spacing w:after="0"/>
        <w:rPr>
          <w:rFonts w:eastAsia="Times New Roman" w:cstheme="minorHAnsi"/>
          <w:sz w:val="24"/>
          <w:szCs w:val="24"/>
          <w:lang w:eastAsia="en-GB"/>
        </w:rPr>
      </w:pPr>
      <w:r>
        <w:rPr>
          <w:rFonts w:eastAsia="Times New Roman" w:cstheme="minorHAnsi"/>
          <w:sz w:val="24"/>
          <w:szCs w:val="24"/>
          <w:lang w:eastAsia="en-GB"/>
        </w:rPr>
        <w:t xml:space="preserve">The best way to understand the RPC’s position on this is that the resources of the providers, e.g. legal firms, are being used solely to comply with regulation.  In the absence of the regulation, there is </w:t>
      </w:r>
      <w:r w:rsidRPr="007F711B">
        <w:rPr>
          <w:rFonts w:eastAsia="Times New Roman" w:cstheme="minorHAnsi"/>
          <w:sz w:val="24"/>
          <w:szCs w:val="24"/>
          <w:lang w:eastAsia="en-GB"/>
        </w:rPr>
        <w:t xml:space="preserve">a </w:t>
      </w:r>
      <w:r>
        <w:rPr>
          <w:rFonts w:eastAsia="Times New Roman" w:cstheme="minorHAnsi"/>
          <w:sz w:val="24"/>
          <w:szCs w:val="24"/>
          <w:lang w:eastAsia="en-GB"/>
        </w:rPr>
        <w:t xml:space="preserve">potential </w:t>
      </w:r>
      <w:r w:rsidRPr="007F711B">
        <w:rPr>
          <w:rFonts w:eastAsia="Times New Roman" w:cstheme="minorHAnsi"/>
          <w:sz w:val="24"/>
          <w:szCs w:val="24"/>
          <w:lang w:eastAsia="en-GB"/>
        </w:rPr>
        <w:t xml:space="preserve">saving to society </w:t>
      </w:r>
      <w:r>
        <w:rPr>
          <w:rFonts w:eastAsia="Times New Roman" w:cstheme="minorHAnsi"/>
          <w:sz w:val="24"/>
          <w:szCs w:val="24"/>
          <w:lang w:eastAsia="en-GB"/>
        </w:rPr>
        <w:t>from</w:t>
      </w:r>
      <w:r w:rsidRPr="007F711B">
        <w:rPr>
          <w:rFonts w:eastAsia="Times New Roman" w:cstheme="minorHAnsi"/>
          <w:sz w:val="24"/>
          <w:szCs w:val="24"/>
          <w:lang w:eastAsia="en-GB"/>
        </w:rPr>
        <w:t xml:space="preserve"> resources previously devoted to regulation </w:t>
      </w:r>
      <w:r>
        <w:rPr>
          <w:rFonts w:eastAsia="Times New Roman" w:cstheme="minorHAnsi"/>
          <w:sz w:val="24"/>
          <w:szCs w:val="24"/>
          <w:lang w:eastAsia="en-GB"/>
        </w:rPr>
        <w:t>being</w:t>
      </w:r>
      <w:r w:rsidRPr="007F711B">
        <w:rPr>
          <w:rFonts w:eastAsia="Times New Roman" w:cstheme="minorHAnsi"/>
          <w:sz w:val="24"/>
          <w:szCs w:val="24"/>
          <w:lang w:eastAsia="en-GB"/>
        </w:rPr>
        <w:t xml:space="preserve"> available for productive use elsewhere in the economy. </w:t>
      </w:r>
    </w:p>
    <w:p w:rsidR="0018656B" w:rsidRDefault="0018656B" w:rsidP="00BF6A5F">
      <w:pPr>
        <w:spacing w:after="0"/>
        <w:rPr>
          <w:rFonts w:eastAsia="Times New Roman" w:cstheme="minorHAnsi"/>
          <w:sz w:val="24"/>
          <w:szCs w:val="24"/>
          <w:lang w:eastAsia="en-GB"/>
        </w:rPr>
      </w:pPr>
    </w:p>
    <w:p w:rsidR="00BF6A5F" w:rsidRPr="00FC09EC" w:rsidRDefault="00BF6A5F" w:rsidP="00BF6A5F">
      <w:pPr>
        <w:spacing w:after="0"/>
        <w:rPr>
          <w:rFonts w:eastAsia="Times New Roman" w:cstheme="minorHAnsi"/>
          <w:b/>
          <w:sz w:val="24"/>
          <w:szCs w:val="24"/>
          <w:lang w:eastAsia="en-GB"/>
        </w:rPr>
      </w:pPr>
    </w:p>
    <w:p w:rsidR="00BF6A5F" w:rsidRPr="00FC09EC" w:rsidRDefault="00BF6A5F" w:rsidP="00BF6A5F">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sz w:val="24"/>
          <w:szCs w:val="24"/>
          <w:lang w:eastAsia="en-GB"/>
        </w:rPr>
      </w:pPr>
      <w:r w:rsidRPr="00FC09EC">
        <w:rPr>
          <w:rFonts w:eastAsia="Times New Roman" w:cstheme="minorHAnsi"/>
          <w:b/>
          <w:sz w:val="24"/>
          <w:szCs w:val="24"/>
          <w:lang w:eastAsia="en-GB"/>
        </w:rPr>
        <w:t xml:space="preserve">Enabling digital by default (RPC13-MOJ-1867): </w:t>
      </w:r>
      <w:r w:rsidRPr="00FC09EC">
        <w:rPr>
          <w:rFonts w:eastAsia="Times New Roman" w:cstheme="minorHAnsi"/>
          <w:color w:val="000000"/>
          <w:sz w:val="24"/>
          <w:szCs w:val="24"/>
          <w:lang w:eastAsia="en-GB"/>
        </w:rPr>
        <w:t xml:space="preserve">this measure simplified the process of applying for </w:t>
      </w:r>
      <w:r w:rsidRPr="00FC09EC">
        <w:rPr>
          <w:rFonts w:eastAsia="Times New Roman" w:cstheme="minorHAnsi"/>
          <w:sz w:val="24"/>
          <w:szCs w:val="24"/>
          <w:lang w:eastAsia="en-GB"/>
        </w:rPr>
        <w:t>lasting power of attorney, which</w:t>
      </w:r>
      <w:r w:rsidRPr="00FC09EC">
        <w:rPr>
          <w:rFonts w:eastAsia="Times New Roman" w:cstheme="minorHAnsi"/>
          <w:color w:val="000000"/>
          <w:sz w:val="24"/>
          <w:szCs w:val="24"/>
          <w:lang w:eastAsia="en-GB"/>
        </w:rPr>
        <w:t xml:space="preserve"> resulted in a loss of income to solicitors. The RPC was clear that</w:t>
      </w:r>
      <w:r w:rsidRPr="00FC09EC">
        <w:rPr>
          <w:rFonts w:eastAsia="Times New Roman" w:cstheme="minorHAnsi"/>
          <w:color w:val="000000"/>
          <w:lang w:eastAsia="en-GB"/>
        </w:rPr>
        <w:t xml:space="preserve"> </w:t>
      </w:r>
      <w:r w:rsidRPr="00FC09EC">
        <w:rPr>
          <w:rFonts w:eastAsia="Times New Roman" w:cstheme="minorHAnsi"/>
          <w:color w:val="000000"/>
          <w:sz w:val="24"/>
          <w:szCs w:val="24"/>
          <w:lang w:eastAsia="en-GB"/>
        </w:rPr>
        <w:t>loss of income to solicitors (whether direct or indirect) resulting from deregulation or simplification of regulation should not be counted as a cost to business as it remove</w:t>
      </w:r>
      <w:r>
        <w:rPr>
          <w:rFonts w:eastAsia="Times New Roman" w:cstheme="minorHAnsi"/>
          <w:color w:val="000000"/>
          <w:sz w:val="24"/>
          <w:szCs w:val="24"/>
          <w:lang w:eastAsia="en-GB"/>
        </w:rPr>
        <w:t>d</w:t>
      </w:r>
      <w:r w:rsidRPr="00FC09EC">
        <w:rPr>
          <w:rFonts w:eastAsia="Times New Roman" w:cstheme="minorHAnsi"/>
          <w:color w:val="000000"/>
          <w:sz w:val="24"/>
          <w:szCs w:val="24"/>
          <w:lang w:eastAsia="en-GB"/>
        </w:rPr>
        <w:t xml:space="preserve"> the </w:t>
      </w:r>
      <w:r>
        <w:rPr>
          <w:rFonts w:eastAsia="Times New Roman" w:cstheme="minorHAnsi"/>
          <w:color w:val="000000"/>
          <w:sz w:val="24"/>
          <w:szCs w:val="24"/>
          <w:lang w:eastAsia="en-GB"/>
        </w:rPr>
        <w:t>‘</w:t>
      </w:r>
      <w:r w:rsidRPr="00FC09EC">
        <w:rPr>
          <w:rFonts w:eastAsia="Times New Roman" w:cstheme="minorHAnsi"/>
          <w:color w:val="000000"/>
          <w:sz w:val="24"/>
          <w:szCs w:val="24"/>
          <w:lang w:eastAsia="en-GB"/>
        </w:rPr>
        <w:t>inefficient use of resources</w:t>
      </w:r>
      <w:r>
        <w:rPr>
          <w:rFonts w:eastAsia="Times New Roman" w:cstheme="minorHAnsi"/>
          <w:color w:val="000000"/>
          <w:sz w:val="24"/>
          <w:szCs w:val="24"/>
          <w:lang w:eastAsia="en-GB"/>
        </w:rPr>
        <w:t>’</w:t>
      </w:r>
      <w:r w:rsidRPr="00FC09EC">
        <w:rPr>
          <w:rFonts w:eastAsia="Times New Roman" w:cstheme="minorHAnsi"/>
          <w:color w:val="000000"/>
          <w:sz w:val="24"/>
          <w:szCs w:val="24"/>
          <w:lang w:eastAsia="en-GB"/>
        </w:rPr>
        <w:t>.</w:t>
      </w:r>
      <w:r w:rsidRPr="00FC09EC">
        <w:rPr>
          <w:rFonts w:eastAsia="Times New Roman" w:cstheme="minorHAnsi"/>
          <w:sz w:val="24"/>
          <w:szCs w:val="24"/>
          <w:lang w:eastAsia="en-GB"/>
        </w:rPr>
        <w:t xml:space="preserve"> (</w:t>
      </w:r>
      <w:hyperlink r:id="rId50" w:history="1">
        <w:r w:rsidRPr="00FC09EC">
          <w:rPr>
            <w:rFonts w:eastAsia="Times New Roman" w:cstheme="minorHAnsi"/>
            <w:color w:val="0000FF"/>
            <w:sz w:val="24"/>
            <w:szCs w:val="24"/>
            <w:u w:val="single"/>
            <w:lang w:eastAsia="en-GB"/>
          </w:rPr>
          <w:t>IA</w:t>
        </w:r>
      </w:hyperlink>
      <w:r w:rsidRPr="00FC09EC">
        <w:rPr>
          <w:rFonts w:eastAsia="Times New Roman" w:cstheme="minorHAnsi"/>
          <w:sz w:val="24"/>
          <w:szCs w:val="24"/>
          <w:lang w:eastAsia="en-GB"/>
        </w:rPr>
        <w:t>) (</w:t>
      </w:r>
      <w:hyperlink r:id="rId51" w:history="1">
        <w:r w:rsidRPr="00FC09EC">
          <w:rPr>
            <w:rFonts w:eastAsia="Times New Roman" w:cstheme="minorHAnsi"/>
            <w:color w:val="0000FF"/>
            <w:sz w:val="24"/>
            <w:szCs w:val="24"/>
            <w:u w:val="single"/>
            <w:lang w:eastAsia="en-GB"/>
          </w:rPr>
          <w:t>Opinion</w:t>
        </w:r>
      </w:hyperlink>
      <w:r w:rsidRPr="00FC09EC">
        <w:rPr>
          <w:rFonts w:eastAsia="Times New Roman" w:cstheme="minorHAnsi"/>
          <w:sz w:val="24"/>
          <w:szCs w:val="24"/>
          <w:lang w:eastAsia="en-GB"/>
        </w:rPr>
        <w:t>)</w:t>
      </w:r>
    </w:p>
    <w:p w:rsidR="00BF6A5F" w:rsidRPr="00FC09EC" w:rsidRDefault="00BF6A5F" w:rsidP="00BF6A5F">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sz w:val="24"/>
          <w:szCs w:val="24"/>
          <w:lang w:eastAsia="en-GB"/>
        </w:rPr>
      </w:pPr>
    </w:p>
    <w:p w:rsidR="00BF6A5F" w:rsidRDefault="00BF6A5F" w:rsidP="00BF6A5F">
      <w:pPr>
        <w:spacing w:after="0"/>
        <w:rPr>
          <w:rFonts w:eastAsia="Times New Roman" w:cstheme="minorHAnsi"/>
          <w:b/>
          <w:sz w:val="24"/>
          <w:szCs w:val="24"/>
          <w:lang w:eastAsia="en-GB"/>
        </w:rPr>
      </w:pPr>
    </w:p>
    <w:p w:rsidR="007630CA" w:rsidRPr="00FC09EC" w:rsidRDefault="007630CA" w:rsidP="00BF6A5F">
      <w:pPr>
        <w:spacing w:after="0"/>
        <w:rPr>
          <w:rFonts w:eastAsia="Times New Roman" w:cstheme="minorHAnsi"/>
          <w:b/>
          <w:sz w:val="24"/>
          <w:szCs w:val="24"/>
          <w:lang w:eastAsia="en-GB"/>
        </w:rPr>
      </w:pPr>
    </w:p>
    <w:p w:rsidR="00BF6A5F" w:rsidRPr="00FC09EC" w:rsidRDefault="00BF6A5F" w:rsidP="00BF6A5F">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sz w:val="24"/>
          <w:szCs w:val="24"/>
          <w:lang w:eastAsia="en-GB"/>
        </w:rPr>
      </w:pPr>
    </w:p>
    <w:p w:rsidR="00BF6A5F" w:rsidRPr="00FC09EC" w:rsidRDefault="00BF6A5F" w:rsidP="00BF6A5F">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sz w:val="24"/>
          <w:szCs w:val="24"/>
          <w:lang w:eastAsia="en-GB"/>
        </w:rPr>
      </w:pPr>
      <w:r w:rsidRPr="00FC09EC">
        <w:rPr>
          <w:rFonts w:eastAsia="Times New Roman" w:cstheme="minorHAnsi"/>
          <w:b/>
          <w:sz w:val="24"/>
          <w:szCs w:val="24"/>
          <w:lang w:eastAsia="en-GB"/>
        </w:rPr>
        <w:t>Amendments to the Pension Schemes Bill (private sector defined benefit transfers) (RPC14-HMT-2212):</w:t>
      </w:r>
      <w:r w:rsidRPr="00FC09EC">
        <w:rPr>
          <w:rFonts w:eastAsia="Times New Roman" w:cstheme="minorHAnsi"/>
          <w:sz w:val="24"/>
          <w:szCs w:val="24"/>
          <w:lang w:eastAsia="en-GB"/>
        </w:rPr>
        <w:t xml:space="preserve"> the proposal required employers to pay for independent financial advice for employees who are moved from a defined benefit to defined contribution pension scheme. The Treasury had counted the additional income to independent financial advisers (IFAs) as a direct benefit, offsetting the costs to employers. The RPC decided that the income to IFAs was simply the equivalent of the compliance cost to employers and should not be used to offset it. By way of illustration, the RPC noted that if an employer had its own in-house financial advice service, and could use it to meet the requirement; it would seem perverse to conclude that the regulatory requirement had no net cost to that business.</w:t>
      </w:r>
    </w:p>
    <w:p w:rsidR="00BF6A5F" w:rsidRPr="006047FB" w:rsidRDefault="00BF6A5F" w:rsidP="00BF6A5F">
      <w:pPr>
        <w:spacing w:after="0"/>
        <w:rPr>
          <w:rFonts w:eastAsia="Times New Roman" w:cstheme="minorHAnsi"/>
          <w:sz w:val="24"/>
          <w:szCs w:val="24"/>
          <w:lang w:eastAsia="en-GB"/>
        </w:rPr>
      </w:pPr>
    </w:p>
    <w:p w:rsidR="00BF6A5F" w:rsidRPr="00FC09EC" w:rsidRDefault="00BF6A5F" w:rsidP="00BF6A5F">
      <w:pPr>
        <w:spacing w:after="0"/>
        <w:rPr>
          <w:rFonts w:eastAsia="Times New Roman" w:cstheme="minorHAnsi"/>
          <w:b/>
          <w:sz w:val="24"/>
          <w:szCs w:val="24"/>
          <w:lang w:eastAsia="en-GB"/>
        </w:rPr>
      </w:pPr>
    </w:p>
    <w:p w:rsidR="00BF6A5F" w:rsidRPr="00FC09EC" w:rsidRDefault="00BF6A5F" w:rsidP="00BF6A5F">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sz w:val="24"/>
          <w:szCs w:val="24"/>
          <w:lang w:eastAsia="en-GB"/>
        </w:rPr>
      </w:pPr>
      <w:r>
        <w:rPr>
          <w:rFonts w:eastAsia="Times New Roman" w:cstheme="minorHAnsi"/>
          <w:b/>
          <w:sz w:val="24"/>
          <w:szCs w:val="24"/>
          <w:lang w:eastAsia="en-GB"/>
        </w:rPr>
        <w:t>Abolition of the tax disc</w:t>
      </w:r>
      <w:r w:rsidRPr="00FC09EC">
        <w:rPr>
          <w:rFonts w:eastAsia="Times New Roman" w:cstheme="minorHAnsi"/>
          <w:b/>
          <w:sz w:val="24"/>
          <w:szCs w:val="24"/>
          <w:lang w:eastAsia="en-GB"/>
        </w:rPr>
        <w:t xml:space="preserve"> (RPC13-</w:t>
      </w:r>
      <w:r>
        <w:rPr>
          <w:rFonts w:eastAsia="Times New Roman" w:cstheme="minorHAnsi"/>
          <w:b/>
          <w:sz w:val="24"/>
          <w:szCs w:val="24"/>
          <w:lang w:eastAsia="en-GB"/>
        </w:rPr>
        <w:t>DfT</w:t>
      </w:r>
      <w:r w:rsidRPr="00FC09EC">
        <w:rPr>
          <w:rFonts w:eastAsia="Times New Roman" w:cstheme="minorHAnsi"/>
          <w:b/>
          <w:sz w:val="24"/>
          <w:szCs w:val="24"/>
          <w:lang w:eastAsia="en-GB"/>
        </w:rPr>
        <w:t>-</w:t>
      </w:r>
      <w:r>
        <w:rPr>
          <w:rFonts w:eastAsia="Times New Roman" w:cstheme="minorHAnsi"/>
          <w:b/>
          <w:sz w:val="24"/>
          <w:szCs w:val="24"/>
          <w:lang w:eastAsia="en-GB"/>
        </w:rPr>
        <w:t>2127</w:t>
      </w:r>
      <w:r w:rsidRPr="00FC09EC">
        <w:rPr>
          <w:rFonts w:eastAsia="Times New Roman" w:cstheme="minorHAnsi"/>
          <w:b/>
          <w:sz w:val="24"/>
          <w:szCs w:val="24"/>
          <w:lang w:eastAsia="en-GB"/>
        </w:rPr>
        <w:t xml:space="preserve">): </w:t>
      </w:r>
      <w:r w:rsidRPr="00FC09EC">
        <w:rPr>
          <w:rFonts w:eastAsia="Times New Roman" w:cstheme="minorHAnsi"/>
          <w:color w:val="000000"/>
          <w:sz w:val="24"/>
          <w:szCs w:val="24"/>
          <w:lang w:eastAsia="en-GB"/>
        </w:rPr>
        <w:t xml:space="preserve">this measure </w:t>
      </w:r>
      <w:r>
        <w:rPr>
          <w:rFonts w:eastAsia="Times New Roman" w:cstheme="minorHAnsi"/>
          <w:color w:val="000000"/>
          <w:sz w:val="24"/>
          <w:szCs w:val="24"/>
          <w:lang w:eastAsia="en-GB"/>
        </w:rPr>
        <w:t>abolished the paper tax disc which was displayed in vehicles to show that the owner had paid vehicle excise duty. These discs were obtained through post offices. The EANDCB did not include lost revenue or profit to the Post Office because this benefit came from providing a service that businesses (and individuals) needed to comply with regulation.</w:t>
      </w:r>
    </w:p>
    <w:p w:rsidR="00DB59F0" w:rsidRPr="00CD10DA" w:rsidRDefault="00DB59F0" w:rsidP="00DB59F0">
      <w:pPr>
        <w:pStyle w:val="ListParagraph"/>
        <w:spacing w:after="120"/>
        <w:ind w:left="0"/>
        <w:rPr>
          <w:rFonts w:eastAsia="Times New Roman" w:cstheme="minorHAnsi"/>
          <w:b/>
          <w:color w:val="E36C0A" w:themeColor="accent6" w:themeShade="BF"/>
          <w:sz w:val="24"/>
          <w:szCs w:val="24"/>
        </w:rPr>
      </w:pPr>
      <w:r w:rsidRPr="00CD10DA">
        <w:rPr>
          <w:b/>
          <w:color w:val="E36C0A" w:themeColor="accent6" w:themeShade="BF"/>
          <w:sz w:val="32"/>
          <w:szCs w:val="32"/>
        </w:rPr>
        <w:lastRenderedPageBreak/>
        <w:t>Section 5: Non-qualifying regulatory provisions</w:t>
      </w:r>
    </w:p>
    <w:p w:rsidR="00DB59F0" w:rsidRPr="00781998" w:rsidRDefault="00DB59F0" w:rsidP="00DB59F0">
      <w:pPr>
        <w:pStyle w:val="ListParagraph"/>
        <w:spacing w:after="120"/>
        <w:ind w:left="0"/>
        <w:rPr>
          <w:rFonts w:eastAsia="Times New Roman" w:cstheme="minorHAnsi"/>
          <w:sz w:val="24"/>
          <w:szCs w:val="24"/>
        </w:rPr>
      </w:pPr>
    </w:p>
    <w:p w:rsidR="00DB59F0" w:rsidRDefault="00DB59F0" w:rsidP="00DB59F0">
      <w:pPr>
        <w:pStyle w:val="ListParagraph"/>
        <w:spacing w:after="120"/>
        <w:ind w:left="0"/>
        <w:rPr>
          <w:rFonts w:eastAsia="Times New Roman" w:cstheme="minorHAnsi"/>
          <w:sz w:val="24"/>
          <w:szCs w:val="24"/>
        </w:rPr>
      </w:pPr>
      <w:r>
        <w:rPr>
          <w:rFonts w:eastAsia="Times New Roman" w:cstheme="minorHAnsi"/>
          <w:sz w:val="24"/>
          <w:szCs w:val="24"/>
        </w:rPr>
        <w:t xml:space="preserve">The statutory and administrative exclusions from the BIT are presented at annex 1 of the BRFM. Measures covered by these exclusions do not score against the BIT. </w:t>
      </w:r>
      <w:r w:rsidRPr="00532A2B">
        <w:rPr>
          <w:rFonts w:eastAsia="Times New Roman" w:cstheme="minorHAnsi"/>
          <w:b/>
          <w:sz w:val="24"/>
          <w:szCs w:val="24"/>
        </w:rPr>
        <w:t>Statutory exclusions</w:t>
      </w:r>
      <w:r>
        <w:rPr>
          <w:rFonts w:eastAsia="Times New Roman" w:cstheme="minorHAnsi"/>
          <w:sz w:val="24"/>
          <w:szCs w:val="24"/>
        </w:rPr>
        <w:t xml:space="preserve"> refer to measures that are defined by t</w:t>
      </w:r>
      <w:r w:rsidRPr="00165D14">
        <w:rPr>
          <w:rFonts w:eastAsia="Times New Roman" w:cstheme="minorHAnsi"/>
          <w:sz w:val="24"/>
          <w:szCs w:val="24"/>
        </w:rPr>
        <w:t xml:space="preserve">he SBEE Act (2015) </w:t>
      </w:r>
      <w:r>
        <w:rPr>
          <w:rFonts w:eastAsia="Times New Roman" w:cstheme="minorHAnsi"/>
          <w:sz w:val="24"/>
          <w:szCs w:val="24"/>
        </w:rPr>
        <w:t xml:space="preserve">as not being regulatory provisions. These include regulations changing the level of regulator fees/charges where there is no increase in regulator activity and regulations in connection with the giving of financial assistance by, or on behalf of, a public authority. </w:t>
      </w:r>
      <w:r w:rsidRPr="00A25788">
        <w:rPr>
          <w:rFonts w:eastAsia="Times New Roman" w:cstheme="minorHAnsi"/>
          <w:b/>
          <w:sz w:val="24"/>
          <w:szCs w:val="24"/>
        </w:rPr>
        <w:t>Administrative exclusions</w:t>
      </w:r>
      <w:r w:rsidRPr="00165D14">
        <w:rPr>
          <w:rFonts w:eastAsia="Times New Roman" w:cstheme="minorHAnsi"/>
          <w:sz w:val="24"/>
          <w:szCs w:val="24"/>
        </w:rPr>
        <w:t xml:space="preserve"> </w:t>
      </w:r>
      <w:r>
        <w:rPr>
          <w:rFonts w:eastAsia="Times New Roman" w:cstheme="minorHAnsi"/>
          <w:sz w:val="24"/>
          <w:szCs w:val="24"/>
        </w:rPr>
        <w:t xml:space="preserve">are set by the Secretary of State using powers granted under the SBEE Act. These are listed as exclusions A to J in the BRFM, with K and L1-4 being additional exclusions relating to activities of regulators. Unlike statutory exclusions, measures covered by administrative exclusions are regulatory provisions. However, in common with statutory exclusions, they do not score against the BIT and are termed </w:t>
      </w:r>
      <w:r w:rsidRPr="00532A2B">
        <w:rPr>
          <w:rFonts w:eastAsia="Times New Roman" w:cstheme="minorHAnsi"/>
          <w:sz w:val="24"/>
          <w:szCs w:val="24"/>
        </w:rPr>
        <w:t>‘</w:t>
      </w:r>
      <w:r w:rsidRPr="00A25788">
        <w:rPr>
          <w:rFonts w:eastAsia="Times New Roman" w:cstheme="minorHAnsi"/>
          <w:b/>
          <w:sz w:val="24"/>
          <w:szCs w:val="24"/>
        </w:rPr>
        <w:t>non-qualifying regulatory provisions’</w:t>
      </w:r>
      <w:r>
        <w:rPr>
          <w:rFonts w:eastAsia="Times New Roman" w:cstheme="minorHAnsi"/>
          <w:b/>
          <w:sz w:val="24"/>
          <w:szCs w:val="24"/>
        </w:rPr>
        <w:t xml:space="preserve"> (NQRPs)</w:t>
      </w:r>
      <w:r w:rsidRPr="00165D14">
        <w:rPr>
          <w:rFonts w:eastAsia="Times New Roman" w:cstheme="minorHAnsi"/>
          <w:sz w:val="24"/>
          <w:szCs w:val="24"/>
        </w:rPr>
        <w:t>.</w:t>
      </w:r>
    </w:p>
    <w:p w:rsidR="00DB59F0" w:rsidRDefault="00DB59F0" w:rsidP="00DB59F0">
      <w:pPr>
        <w:pStyle w:val="ListParagraph"/>
        <w:spacing w:after="120"/>
        <w:ind w:left="0"/>
        <w:rPr>
          <w:rFonts w:eastAsia="Times New Roman" w:cstheme="minorHAnsi"/>
          <w:sz w:val="24"/>
          <w:szCs w:val="24"/>
        </w:rPr>
      </w:pPr>
    </w:p>
    <w:p w:rsidR="00DB59F0" w:rsidRDefault="00DB59F0" w:rsidP="00DB59F0">
      <w:pPr>
        <w:pStyle w:val="ListParagraph"/>
        <w:spacing w:after="120"/>
        <w:ind w:left="0"/>
        <w:rPr>
          <w:rFonts w:eastAsia="Times New Roman" w:cstheme="minorHAnsi"/>
          <w:sz w:val="24"/>
          <w:szCs w:val="24"/>
        </w:rPr>
      </w:pPr>
      <w:r w:rsidRPr="004409D4">
        <w:rPr>
          <w:rFonts w:eastAsia="Times New Roman" w:cstheme="minorHAnsi"/>
          <w:sz w:val="24"/>
          <w:szCs w:val="24"/>
        </w:rPr>
        <w:t>Departments may wish to refer to flowchart 1.1.A on page 13 of the BRFM for a ‘decision tree’ guide to working through the potential application of BIT exclusions to their policy.</w:t>
      </w:r>
      <w:r>
        <w:rPr>
          <w:rFonts w:eastAsia="Times New Roman" w:cstheme="minorHAnsi"/>
          <w:sz w:val="24"/>
          <w:szCs w:val="24"/>
        </w:rPr>
        <w:t xml:space="preserve"> </w:t>
      </w:r>
    </w:p>
    <w:p w:rsidR="00DB59F0" w:rsidRDefault="00DB59F0" w:rsidP="00DB59F0">
      <w:pPr>
        <w:pStyle w:val="ListParagraph"/>
        <w:spacing w:after="120"/>
        <w:ind w:left="0"/>
        <w:rPr>
          <w:rFonts w:eastAsia="Times New Roman" w:cstheme="minorHAnsi"/>
          <w:sz w:val="24"/>
          <w:szCs w:val="24"/>
        </w:rPr>
      </w:pPr>
    </w:p>
    <w:p w:rsidR="00F97169" w:rsidRDefault="00DB59F0" w:rsidP="00F97169">
      <w:pPr>
        <w:pStyle w:val="ListParagraph"/>
        <w:spacing w:after="120"/>
        <w:ind w:left="0"/>
        <w:rPr>
          <w:rFonts w:eastAsia="Times New Roman" w:cstheme="minorHAnsi"/>
          <w:sz w:val="24"/>
          <w:szCs w:val="24"/>
        </w:rPr>
      </w:pPr>
      <w:r>
        <w:rPr>
          <w:rFonts w:eastAsia="Times New Roman" w:cstheme="minorHAnsi"/>
          <w:sz w:val="24"/>
          <w:szCs w:val="24"/>
        </w:rPr>
        <w:t>Departments are still required to produce an EANDCB for NQRPs and this figure needs to be validated by the RPC. The aim of this section is to provide examples of how the RPC has treated cases covered by exclusions under OIOO/OITO and the BIT.  (Note that we do not have an example as yet for every one of the exclusions under the BIT.)</w:t>
      </w:r>
    </w:p>
    <w:p w:rsidR="00F97169" w:rsidRDefault="00F97169" w:rsidP="00F97169">
      <w:pPr>
        <w:pStyle w:val="ListParagraph"/>
        <w:spacing w:after="120"/>
        <w:ind w:left="0"/>
        <w:rPr>
          <w:rFonts w:eastAsia="Times New Roman" w:cstheme="minorHAnsi"/>
          <w:sz w:val="24"/>
          <w:szCs w:val="24"/>
        </w:rPr>
      </w:pPr>
    </w:p>
    <w:p w:rsidR="00DB59F0" w:rsidRPr="00F97169" w:rsidRDefault="00DB59F0" w:rsidP="00F97169">
      <w:pPr>
        <w:pStyle w:val="ListParagraph"/>
        <w:spacing w:after="120"/>
        <w:ind w:left="0"/>
        <w:rPr>
          <w:rFonts w:eastAsia="Times New Roman" w:cstheme="minorHAnsi"/>
          <w:sz w:val="24"/>
          <w:szCs w:val="24"/>
        </w:rPr>
      </w:pPr>
      <w:r w:rsidRPr="00F5332B">
        <w:rPr>
          <w:rFonts w:eastAsiaTheme="majorEastAsia" w:cstheme="minorHAnsi"/>
          <w:b/>
          <w:color w:val="E36C0A" w:themeColor="accent6" w:themeShade="BF"/>
          <w:spacing w:val="5"/>
          <w:kern w:val="28"/>
          <w:sz w:val="32"/>
          <w:szCs w:val="32"/>
        </w:rPr>
        <w:t>Statutory exclusions</w:t>
      </w:r>
    </w:p>
    <w:p w:rsidR="00DB59F0" w:rsidRDefault="00DB59F0" w:rsidP="00DB59F0">
      <w:pPr>
        <w:rPr>
          <w:b/>
          <w:color w:val="984806" w:themeColor="accent6" w:themeShade="80"/>
          <w:sz w:val="28"/>
          <w:szCs w:val="28"/>
        </w:rPr>
      </w:pPr>
      <w:r>
        <w:rPr>
          <w:b/>
          <w:color w:val="984806" w:themeColor="accent6" w:themeShade="80"/>
          <w:sz w:val="28"/>
          <w:szCs w:val="28"/>
        </w:rPr>
        <w:t>5.1</w:t>
      </w:r>
      <w:r w:rsidRPr="00293A7D">
        <w:rPr>
          <w:b/>
          <w:color w:val="984806" w:themeColor="accent6" w:themeShade="80"/>
          <w:sz w:val="28"/>
          <w:szCs w:val="28"/>
        </w:rPr>
        <w:t xml:space="preserve"> Fees and charges</w:t>
      </w:r>
      <w:r>
        <w:rPr>
          <w:b/>
          <w:color w:val="984806" w:themeColor="accent6" w:themeShade="80"/>
          <w:sz w:val="28"/>
          <w:szCs w:val="28"/>
        </w:rPr>
        <w:t xml:space="preserve"> </w:t>
      </w:r>
    </w:p>
    <w:p w:rsidR="00DB59F0" w:rsidRPr="00E729E8" w:rsidRDefault="00DB59F0" w:rsidP="00DB59F0">
      <w:pPr>
        <w:rPr>
          <w:rFonts w:eastAsia="Times New Roman" w:cstheme="minorHAnsi"/>
          <w:b/>
          <w:sz w:val="24"/>
          <w:szCs w:val="24"/>
          <w:u w:val="single"/>
          <w:lang w:eastAsia="en-GB"/>
        </w:rPr>
      </w:pPr>
      <w:r>
        <w:rPr>
          <w:rFonts w:eastAsia="Times New Roman" w:cstheme="minorHAnsi"/>
          <w:sz w:val="24"/>
          <w:szCs w:val="24"/>
        </w:rPr>
        <w:t>A measure changing the level of regulator fees/charges with no change in ‘regulator activity’ would fall under the statutory exclusion ‘tax, duty, levy or other charge’. This would be the case even if the increase in the fee went beyond full cost recovery.</w:t>
      </w:r>
      <w:r w:rsidRPr="00C42537">
        <w:rPr>
          <w:rFonts w:eastAsia="Times New Roman" w:cstheme="minorHAnsi"/>
          <w:sz w:val="24"/>
          <w:szCs w:val="24"/>
        </w:rPr>
        <w:t xml:space="preserve"> </w:t>
      </w:r>
      <w:r>
        <w:rPr>
          <w:rFonts w:eastAsia="Times New Roman" w:cstheme="minorHAnsi"/>
          <w:sz w:val="24"/>
          <w:szCs w:val="24"/>
        </w:rPr>
        <w:t xml:space="preserve">Any cost </w:t>
      </w:r>
      <w:r w:rsidRPr="002D67F2">
        <w:rPr>
          <w:rFonts w:eastAsia="Times New Roman" w:cstheme="minorHAnsi"/>
          <w:sz w:val="24"/>
          <w:szCs w:val="24"/>
        </w:rPr>
        <w:t>associated with th</w:t>
      </w:r>
      <w:r>
        <w:rPr>
          <w:rFonts w:eastAsia="Times New Roman" w:cstheme="minorHAnsi"/>
          <w:sz w:val="24"/>
          <w:szCs w:val="24"/>
        </w:rPr>
        <w:t>e</w:t>
      </w:r>
      <w:r w:rsidRPr="002D67F2">
        <w:rPr>
          <w:rFonts w:eastAsia="Times New Roman" w:cstheme="minorHAnsi"/>
          <w:sz w:val="24"/>
          <w:szCs w:val="24"/>
        </w:rPr>
        <w:t xml:space="preserve"> fee</w:t>
      </w:r>
      <w:r>
        <w:rPr>
          <w:rFonts w:eastAsia="Times New Roman" w:cstheme="minorHAnsi"/>
          <w:sz w:val="24"/>
          <w:szCs w:val="24"/>
        </w:rPr>
        <w:t xml:space="preserve"> increase</w:t>
      </w:r>
      <w:r w:rsidRPr="002D67F2">
        <w:rPr>
          <w:rFonts w:eastAsia="Times New Roman" w:cstheme="minorHAnsi"/>
          <w:sz w:val="24"/>
          <w:szCs w:val="24"/>
        </w:rPr>
        <w:t>, such as administrative or familiarisation costs</w:t>
      </w:r>
      <w:r>
        <w:rPr>
          <w:rFonts w:eastAsia="Times New Roman" w:cstheme="minorHAnsi"/>
          <w:sz w:val="24"/>
          <w:szCs w:val="24"/>
        </w:rPr>
        <w:t xml:space="preserve"> would also not score against the BIT.</w:t>
      </w:r>
    </w:p>
    <w:p w:rsidR="00DB59F0" w:rsidRPr="00E729E8" w:rsidRDefault="00DB59F0" w:rsidP="00DB59F0">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sz w:val="24"/>
          <w:szCs w:val="24"/>
          <w:lang w:eastAsia="en-GB"/>
        </w:rPr>
      </w:pPr>
      <w:r w:rsidRPr="00E729E8">
        <w:rPr>
          <w:rFonts w:eastAsia="Times New Roman" w:cstheme="minorHAnsi"/>
          <w:b/>
          <w:sz w:val="24"/>
          <w:szCs w:val="24"/>
          <w:lang w:eastAsia="en-GB"/>
        </w:rPr>
        <w:t xml:space="preserve">Enhanced court fees (RPC13-MOJ-1958): </w:t>
      </w:r>
      <w:r w:rsidRPr="00E729E8">
        <w:rPr>
          <w:rFonts w:eastAsia="Times New Roman" w:cstheme="minorHAnsi"/>
          <w:sz w:val="24"/>
          <w:szCs w:val="24"/>
          <w:lang w:eastAsia="en-GB"/>
        </w:rPr>
        <w:t xml:space="preserve">the proposal was to charge certain users of civil courts a fee that, for equity reasons, went beyond full cost recovery in order to fund other areas of the civil courts system that do not recover costs. HMT considered this and agreed that it was likely to be classified by ONS as a tax. The policy was therefore considered part of the </w:t>
      </w:r>
      <w:r>
        <w:rPr>
          <w:rFonts w:eastAsia="Times New Roman" w:cstheme="minorHAnsi"/>
          <w:sz w:val="24"/>
          <w:szCs w:val="24"/>
          <w:lang w:eastAsia="en-GB"/>
        </w:rPr>
        <w:t>‘m</w:t>
      </w:r>
      <w:r w:rsidRPr="00E729E8">
        <w:rPr>
          <w:rFonts w:eastAsia="Times New Roman" w:cstheme="minorHAnsi"/>
          <w:sz w:val="24"/>
          <w:szCs w:val="24"/>
          <w:lang w:eastAsia="en-GB"/>
        </w:rPr>
        <w:t xml:space="preserve">anaging </w:t>
      </w:r>
      <w:r>
        <w:rPr>
          <w:rFonts w:eastAsia="Times New Roman" w:cstheme="minorHAnsi"/>
          <w:sz w:val="24"/>
          <w:szCs w:val="24"/>
          <w:lang w:eastAsia="en-GB"/>
        </w:rPr>
        <w:t>p</w:t>
      </w:r>
      <w:r w:rsidRPr="00E729E8">
        <w:rPr>
          <w:rFonts w:eastAsia="Times New Roman" w:cstheme="minorHAnsi"/>
          <w:sz w:val="24"/>
          <w:szCs w:val="24"/>
          <w:lang w:eastAsia="en-GB"/>
        </w:rPr>
        <w:t xml:space="preserve">ublic </w:t>
      </w:r>
      <w:r>
        <w:rPr>
          <w:rFonts w:eastAsia="Times New Roman" w:cstheme="minorHAnsi"/>
          <w:sz w:val="24"/>
          <w:szCs w:val="24"/>
          <w:lang w:eastAsia="en-GB"/>
        </w:rPr>
        <w:t>m</w:t>
      </w:r>
      <w:r w:rsidRPr="00E729E8">
        <w:rPr>
          <w:rFonts w:eastAsia="Times New Roman" w:cstheme="minorHAnsi"/>
          <w:sz w:val="24"/>
          <w:szCs w:val="24"/>
          <w:lang w:eastAsia="en-GB"/>
        </w:rPr>
        <w:t>oney</w:t>
      </w:r>
      <w:r>
        <w:rPr>
          <w:rFonts w:eastAsia="Times New Roman" w:cstheme="minorHAnsi"/>
          <w:sz w:val="24"/>
          <w:szCs w:val="24"/>
          <w:lang w:eastAsia="en-GB"/>
        </w:rPr>
        <w:t>’</w:t>
      </w:r>
      <w:r w:rsidRPr="00E729E8">
        <w:rPr>
          <w:rFonts w:eastAsia="Times New Roman" w:cstheme="minorHAnsi"/>
          <w:sz w:val="24"/>
          <w:szCs w:val="24"/>
          <w:lang w:eastAsia="en-GB"/>
        </w:rPr>
        <w:t xml:space="preserve"> framework and not the better regulation framework. (</w:t>
      </w:r>
      <w:hyperlink r:id="rId52" w:history="1">
        <w:r w:rsidRPr="005C5730">
          <w:rPr>
            <w:rFonts w:eastAsia="Times New Roman" w:cstheme="minorHAnsi"/>
            <w:color w:val="0000FF"/>
            <w:sz w:val="24"/>
            <w:szCs w:val="24"/>
            <w:u w:val="single"/>
            <w:lang w:eastAsia="en-GB"/>
          </w:rPr>
          <w:t>IA</w:t>
        </w:r>
      </w:hyperlink>
      <w:r w:rsidRPr="00E729E8">
        <w:rPr>
          <w:rFonts w:eastAsia="Times New Roman" w:cstheme="minorHAnsi"/>
          <w:sz w:val="24"/>
          <w:szCs w:val="24"/>
          <w:lang w:eastAsia="en-GB"/>
        </w:rPr>
        <w:t>) (</w:t>
      </w:r>
      <w:hyperlink r:id="rId53" w:history="1">
        <w:r w:rsidRPr="005C5730">
          <w:rPr>
            <w:rFonts w:eastAsia="Times New Roman" w:cstheme="minorHAnsi"/>
            <w:color w:val="0000FF"/>
            <w:sz w:val="24"/>
            <w:szCs w:val="24"/>
            <w:u w:val="single"/>
            <w:lang w:eastAsia="en-GB"/>
          </w:rPr>
          <w:t>Opinion</w:t>
        </w:r>
      </w:hyperlink>
      <w:r w:rsidRPr="00E729E8">
        <w:rPr>
          <w:rFonts w:eastAsia="Times New Roman" w:cstheme="minorHAnsi"/>
          <w:sz w:val="24"/>
          <w:szCs w:val="24"/>
          <w:lang w:eastAsia="en-GB"/>
        </w:rPr>
        <w:t>)</w:t>
      </w:r>
    </w:p>
    <w:p w:rsidR="00DB59F0" w:rsidRDefault="00DB59F0" w:rsidP="00DB59F0">
      <w:pPr>
        <w:rPr>
          <w:rFonts w:eastAsia="Times New Roman" w:cstheme="minorHAnsi"/>
          <w:sz w:val="24"/>
          <w:szCs w:val="24"/>
        </w:rPr>
      </w:pPr>
    </w:p>
    <w:p w:rsidR="00DB59F0" w:rsidRPr="002D67F2" w:rsidRDefault="00DB59F0" w:rsidP="00DB59F0">
      <w:pPr>
        <w:rPr>
          <w:rFonts w:eastAsia="Times New Roman" w:cstheme="minorHAnsi"/>
          <w:sz w:val="24"/>
          <w:szCs w:val="24"/>
        </w:rPr>
      </w:pPr>
      <w:r>
        <w:rPr>
          <w:rFonts w:eastAsia="Times New Roman" w:cstheme="minorHAnsi"/>
          <w:sz w:val="24"/>
          <w:szCs w:val="24"/>
        </w:rPr>
        <w:t xml:space="preserve">A fees/charges measure that involved a </w:t>
      </w:r>
      <w:r w:rsidRPr="001C6AA6">
        <w:rPr>
          <w:rFonts w:eastAsia="Times New Roman" w:cstheme="minorHAnsi"/>
          <w:b/>
          <w:sz w:val="24"/>
          <w:szCs w:val="24"/>
        </w:rPr>
        <w:t>change in regulator activity</w:t>
      </w:r>
      <w:r w:rsidRPr="002D67F2">
        <w:rPr>
          <w:rFonts w:eastAsia="Times New Roman" w:cstheme="minorHAnsi"/>
          <w:sz w:val="24"/>
          <w:szCs w:val="24"/>
        </w:rPr>
        <w:t xml:space="preserve"> </w:t>
      </w:r>
      <w:r>
        <w:rPr>
          <w:rFonts w:eastAsia="Times New Roman" w:cstheme="minorHAnsi"/>
          <w:sz w:val="24"/>
          <w:szCs w:val="24"/>
        </w:rPr>
        <w:t xml:space="preserve">would, however, be a QRP. </w:t>
      </w:r>
      <w:r w:rsidRPr="002D67F2">
        <w:rPr>
          <w:rFonts w:eastAsia="Times New Roman" w:cstheme="minorHAnsi"/>
          <w:sz w:val="24"/>
          <w:szCs w:val="24"/>
        </w:rPr>
        <w:t xml:space="preserve">For example, </w:t>
      </w:r>
      <w:r>
        <w:rPr>
          <w:rFonts w:eastAsia="Times New Roman" w:cstheme="minorHAnsi"/>
          <w:sz w:val="24"/>
          <w:szCs w:val="24"/>
        </w:rPr>
        <w:t xml:space="preserve">if a measure involved an </w:t>
      </w:r>
      <w:r w:rsidRPr="002D67F2">
        <w:rPr>
          <w:rFonts w:eastAsia="Times New Roman" w:cstheme="minorHAnsi"/>
          <w:sz w:val="24"/>
          <w:szCs w:val="24"/>
        </w:rPr>
        <w:t>increase</w:t>
      </w:r>
      <w:r>
        <w:rPr>
          <w:rFonts w:eastAsia="Times New Roman" w:cstheme="minorHAnsi"/>
          <w:sz w:val="24"/>
          <w:szCs w:val="24"/>
        </w:rPr>
        <w:t xml:space="preserve"> in the</w:t>
      </w:r>
      <w:r w:rsidRPr="002D67F2">
        <w:rPr>
          <w:rFonts w:eastAsia="Times New Roman" w:cstheme="minorHAnsi"/>
          <w:sz w:val="24"/>
          <w:szCs w:val="24"/>
        </w:rPr>
        <w:t xml:space="preserve"> number of </w:t>
      </w:r>
      <w:r>
        <w:rPr>
          <w:rFonts w:eastAsia="Times New Roman" w:cstheme="minorHAnsi"/>
          <w:sz w:val="24"/>
          <w:szCs w:val="24"/>
        </w:rPr>
        <w:t>i</w:t>
      </w:r>
      <w:r w:rsidRPr="002D67F2">
        <w:rPr>
          <w:rFonts w:eastAsia="Times New Roman" w:cstheme="minorHAnsi"/>
          <w:sz w:val="24"/>
          <w:szCs w:val="24"/>
        </w:rPr>
        <w:t>nspections</w:t>
      </w:r>
      <w:r>
        <w:rPr>
          <w:rFonts w:eastAsia="Times New Roman" w:cstheme="minorHAnsi"/>
          <w:sz w:val="24"/>
          <w:szCs w:val="24"/>
        </w:rPr>
        <w:t xml:space="preserve">, the cost </w:t>
      </w:r>
      <w:r>
        <w:rPr>
          <w:rFonts w:eastAsia="Times New Roman" w:cstheme="minorHAnsi"/>
          <w:sz w:val="24"/>
          <w:szCs w:val="24"/>
        </w:rPr>
        <w:lastRenderedPageBreak/>
        <w:t>to business of these additional inspections</w:t>
      </w:r>
      <w:r w:rsidRPr="002D67F2">
        <w:rPr>
          <w:rFonts w:eastAsia="Times New Roman" w:cstheme="minorHAnsi"/>
          <w:sz w:val="24"/>
          <w:szCs w:val="24"/>
        </w:rPr>
        <w:t xml:space="preserve"> </w:t>
      </w:r>
      <w:r>
        <w:rPr>
          <w:rFonts w:eastAsia="Times New Roman" w:cstheme="minorHAnsi"/>
          <w:sz w:val="24"/>
          <w:szCs w:val="24"/>
        </w:rPr>
        <w:t xml:space="preserve">would score against the BIT. This cost would include the time spent by businesses on the additional inspections and, if the regulator recovers inspection costs, the fees charged business to cover the cost to the regulator of the additional inspections. </w:t>
      </w:r>
    </w:p>
    <w:p w:rsidR="00DB59F0" w:rsidRDefault="00DB59F0" w:rsidP="00DB59F0">
      <w:pPr>
        <w:spacing w:after="0"/>
        <w:rPr>
          <w:rFonts w:eastAsia="Times New Roman" w:cstheme="minorHAnsi"/>
          <w:b/>
          <w:color w:val="984806" w:themeColor="accent6" w:themeShade="80"/>
          <w:sz w:val="28"/>
          <w:szCs w:val="28"/>
          <w:lang w:eastAsia="en-GB"/>
        </w:rPr>
      </w:pPr>
      <w:r w:rsidRPr="00ED67EC">
        <w:rPr>
          <w:rFonts w:eastAsia="Times New Roman" w:cstheme="minorHAnsi"/>
          <w:b/>
          <w:color w:val="984806" w:themeColor="accent6" w:themeShade="80"/>
          <w:sz w:val="28"/>
          <w:szCs w:val="28"/>
          <w:lang w:eastAsia="en-GB"/>
        </w:rPr>
        <w:t>5.2</w:t>
      </w:r>
      <w:r w:rsidRPr="001C6AA6">
        <w:rPr>
          <w:rFonts w:eastAsia="Times New Roman" w:cstheme="minorHAnsi"/>
          <w:color w:val="984806" w:themeColor="accent6" w:themeShade="80"/>
          <w:sz w:val="28"/>
          <w:szCs w:val="28"/>
          <w:lang w:eastAsia="en-GB"/>
        </w:rPr>
        <w:t xml:space="preserve"> </w:t>
      </w:r>
      <w:r w:rsidRPr="00ED67EC">
        <w:rPr>
          <w:rFonts w:eastAsia="Times New Roman" w:cstheme="minorHAnsi"/>
          <w:b/>
          <w:color w:val="984806" w:themeColor="accent6" w:themeShade="80"/>
          <w:sz w:val="28"/>
          <w:szCs w:val="28"/>
          <w:lang w:eastAsia="en-GB"/>
        </w:rPr>
        <w:t>Grants or other</w:t>
      </w:r>
      <w:r>
        <w:rPr>
          <w:rFonts w:eastAsia="Times New Roman" w:cstheme="minorHAnsi"/>
          <w:color w:val="984806" w:themeColor="accent6" w:themeShade="80"/>
          <w:sz w:val="28"/>
          <w:szCs w:val="28"/>
          <w:lang w:eastAsia="en-GB"/>
        </w:rPr>
        <w:t xml:space="preserve"> f</w:t>
      </w:r>
      <w:r w:rsidRPr="00424458">
        <w:rPr>
          <w:rFonts w:eastAsia="Times New Roman" w:cstheme="minorHAnsi"/>
          <w:b/>
          <w:color w:val="984806" w:themeColor="accent6" w:themeShade="80"/>
          <w:sz w:val="28"/>
          <w:szCs w:val="28"/>
          <w:lang w:eastAsia="en-GB"/>
        </w:rPr>
        <w:t xml:space="preserve">inancial </w:t>
      </w:r>
      <w:r>
        <w:rPr>
          <w:rFonts w:eastAsia="Times New Roman" w:cstheme="minorHAnsi"/>
          <w:b/>
          <w:color w:val="984806" w:themeColor="accent6" w:themeShade="80"/>
          <w:sz w:val="28"/>
          <w:szCs w:val="28"/>
          <w:lang w:eastAsia="en-GB"/>
        </w:rPr>
        <w:t>a</w:t>
      </w:r>
      <w:r w:rsidRPr="00424458">
        <w:rPr>
          <w:rFonts w:eastAsia="Times New Roman" w:cstheme="minorHAnsi"/>
          <w:b/>
          <w:color w:val="984806" w:themeColor="accent6" w:themeShade="80"/>
          <w:sz w:val="28"/>
          <w:szCs w:val="28"/>
          <w:lang w:eastAsia="en-GB"/>
        </w:rPr>
        <w:t>ssistance on behalf of a public authority</w:t>
      </w:r>
    </w:p>
    <w:p w:rsidR="00DB59F0" w:rsidRDefault="00DB59F0" w:rsidP="00DB59F0">
      <w:pPr>
        <w:spacing w:after="0"/>
        <w:rPr>
          <w:rFonts w:eastAsia="Times New Roman" w:cstheme="minorHAnsi"/>
          <w:b/>
          <w:color w:val="984806" w:themeColor="accent6" w:themeShade="80"/>
          <w:sz w:val="28"/>
          <w:szCs w:val="28"/>
          <w:lang w:eastAsia="en-GB"/>
        </w:rPr>
      </w:pPr>
    </w:p>
    <w:p w:rsidR="00DB59F0" w:rsidRPr="009834E9" w:rsidRDefault="00DB59F0" w:rsidP="00DB59F0">
      <w:pPr>
        <w:spacing w:after="0"/>
        <w:rPr>
          <w:rFonts w:ascii="Calibri" w:eastAsia="Times New Roman" w:hAnsi="Calibri" w:cs="Calibri"/>
          <w:color w:val="000000" w:themeColor="text1"/>
          <w:sz w:val="24"/>
          <w:szCs w:val="24"/>
        </w:rPr>
      </w:pPr>
      <w:r w:rsidRPr="006D7C42">
        <w:rPr>
          <w:rFonts w:ascii="Calibri" w:eastAsia="Times New Roman" w:hAnsi="Calibri" w:cs="Calibri"/>
          <w:color w:val="000000" w:themeColor="text1"/>
          <w:sz w:val="24"/>
          <w:szCs w:val="24"/>
          <w:lang w:eastAsia="en-GB"/>
        </w:rPr>
        <w:t xml:space="preserve">The example below illustrates the application of the </w:t>
      </w:r>
      <w:r>
        <w:rPr>
          <w:rFonts w:ascii="Calibri" w:eastAsia="Times New Roman" w:hAnsi="Calibri" w:cs="Calibri"/>
          <w:color w:val="000000" w:themeColor="text1"/>
          <w:sz w:val="24"/>
          <w:szCs w:val="24"/>
          <w:lang w:eastAsia="en-GB"/>
        </w:rPr>
        <w:t xml:space="preserve">BRFM </w:t>
      </w:r>
      <w:r w:rsidRPr="006D7C42">
        <w:rPr>
          <w:rFonts w:ascii="Calibri" w:eastAsia="Times New Roman" w:hAnsi="Calibri" w:cs="Calibri"/>
          <w:color w:val="000000" w:themeColor="text1"/>
          <w:sz w:val="24"/>
          <w:szCs w:val="24"/>
          <w:lang w:eastAsia="en-GB"/>
        </w:rPr>
        <w:t xml:space="preserve">Q&amp;A </w:t>
      </w:r>
      <w:r>
        <w:rPr>
          <w:rFonts w:ascii="Calibri" w:eastAsia="Times New Roman" w:hAnsi="Calibri" w:cs="Calibri"/>
          <w:color w:val="000000" w:themeColor="text1"/>
          <w:sz w:val="24"/>
          <w:szCs w:val="24"/>
          <w:lang w:eastAsia="en-GB"/>
        </w:rPr>
        <w:t xml:space="preserve">relating to </w:t>
      </w:r>
      <w:r w:rsidRPr="006D7C42">
        <w:rPr>
          <w:rFonts w:ascii="Calibri" w:eastAsia="Times New Roman" w:hAnsi="Calibri" w:cs="Calibri"/>
          <w:color w:val="000000" w:themeColor="text1"/>
          <w:sz w:val="24"/>
          <w:szCs w:val="24"/>
          <w:lang w:eastAsia="en-GB"/>
        </w:rPr>
        <w:t xml:space="preserve">when a </w:t>
      </w:r>
      <w:r w:rsidRPr="009834E9">
        <w:rPr>
          <w:rFonts w:ascii="Calibri" w:eastAsia="Times New Roman" w:hAnsi="Calibri" w:cs="Calibri"/>
          <w:color w:val="000000" w:themeColor="text1"/>
          <w:sz w:val="24"/>
          <w:szCs w:val="24"/>
        </w:rPr>
        <w:t>regulation replaces an out of scope policy intervention</w:t>
      </w:r>
      <w:r w:rsidRPr="006D7C42">
        <w:rPr>
          <w:rFonts w:ascii="Calibri" w:eastAsia="Times New Roman" w:hAnsi="Calibri" w:cs="Calibri"/>
          <w:color w:val="000000" w:themeColor="text1"/>
          <w:sz w:val="24"/>
          <w:szCs w:val="24"/>
        </w:rPr>
        <w:t>.</w:t>
      </w:r>
    </w:p>
    <w:p w:rsidR="00DB59F0" w:rsidRDefault="00DB59F0" w:rsidP="00DB59F0">
      <w:pPr>
        <w:spacing w:after="0"/>
        <w:rPr>
          <w:rFonts w:eastAsia="Times New Roman" w:cstheme="minorHAnsi"/>
          <w:b/>
          <w:color w:val="984806" w:themeColor="accent6" w:themeShade="80"/>
          <w:sz w:val="28"/>
          <w:szCs w:val="28"/>
          <w:lang w:eastAsia="en-GB"/>
        </w:rPr>
      </w:pPr>
    </w:p>
    <w:p w:rsidR="00DB59F0" w:rsidRDefault="00DB59F0" w:rsidP="00DB59F0">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b/>
          <w:sz w:val="24"/>
          <w:szCs w:val="24"/>
          <w:lang w:eastAsia="en-GB"/>
        </w:rPr>
      </w:pPr>
      <w:proofErr w:type="gramStart"/>
      <w:r w:rsidRPr="00ED67EC">
        <w:rPr>
          <w:rFonts w:eastAsia="Times New Roman" w:cstheme="minorHAnsi"/>
          <w:b/>
          <w:sz w:val="24"/>
          <w:szCs w:val="24"/>
          <w:lang w:eastAsia="en-GB"/>
        </w:rPr>
        <w:t>Legislation for devolution of adult education budget data requirement</w:t>
      </w:r>
      <w:r>
        <w:rPr>
          <w:rFonts w:eastAsia="Times New Roman" w:cstheme="minorHAnsi"/>
          <w:b/>
          <w:sz w:val="24"/>
          <w:szCs w:val="24"/>
          <w:lang w:eastAsia="en-GB"/>
        </w:rPr>
        <w:t xml:space="preserve"> (RPC16-DfE</w:t>
      </w:r>
      <w:r w:rsidRPr="00E729E8">
        <w:rPr>
          <w:rFonts w:eastAsia="Times New Roman" w:cstheme="minorHAnsi"/>
          <w:b/>
          <w:sz w:val="24"/>
          <w:szCs w:val="24"/>
          <w:lang w:eastAsia="en-GB"/>
        </w:rPr>
        <w:t>-</w:t>
      </w:r>
      <w:r>
        <w:rPr>
          <w:rFonts w:eastAsia="Times New Roman" w:cstheme="minorHAnsi"/>
          <w:b/>
          <w:sz w:val="24"/>
          <w:szCs w:val="24"/>
          <w:lang w:eastAsia="en-GB"/>
        </w:rPr>
        <w:t>3454).</w:t>
      </w:r>
      <w:proofErr w:type="gramEnd"/>
      <w:r>
        <w:rPr>
          <w:rFonts w:eastAsia="Times New Roman" w:cstheme="minorHAnsi"/>
          <w:b/>
          <w:sz w:val="24"/>
          <w:szCs w:val="24"/>
          <w:lang w:eastAsia="en-GB"/>
        </w:rPr>
        <w:t xml:space="preserve"> </w:t>
      </w:r>
      <w:r w:rsidRPr="00ED67EC">
        <w:rPr>
          <w:rFonts w:ascii="Calibri" w:eastAsia="Times New Roman" w:hAnsi="Calibri" w:cs="Calibri"/>
          <w:sz w:val="24"/>
          <w:szCs w:val="24"/>
          <w:lang w:eastAsia="en-GB"/>
        </w:rPr>
        <w:t>The</w:t>
      </w:r>
      <w:r>
        <w:rPr>
          <w:rFonts w:ascii="Calibri" w:hAnsi="Calibri" w:cs="Calibri"/>
          <w:sz w:val="24"/>
        </w:rPr>
        <w:t xml:space="preserve"> proposal extends the requirement on pub</w:t>
      </w:r>
      <w:r w:rsidRPr="00ED67EC">
        <w:rPr>
          <w:rFonts w:ascii="Calibri" w:hAnsi="Calibri" w:cs="Calibri"/>
          <w:sz w:val="24"/>
        </w:rPr>
        <w:t>lic further education (FE) providers to gather and provide to government data on learners to private and voluntary FE providers</w:t>
      </w:r>
      <w:r>
        <w:rPr>
          <w:rFonts w:ascii="Calibri" w:hAnsi="Calibri" w:cs="Calibri"/>
          <w:sz w:val="24"/>
        </w:rPr>
        <w:t>. Private and voluntary providers are currently required to provide this data as a condition of their grant funding. The proposal is designed to</w:t>
      </w:r>
      <w:r w:rsidRPr="00ED67EC">
        <w:rPr>
          <w:rFonts w:ascii="Calibri" w:hAnsi="Calibri" w:cs="Calibri"/>
          <w:sz w:val="24"/>
        </w:rPr>
        <w:t xml:space="preserve"> ensure that the Secretary of State will continue to receive the data on learners once the </w:t>
      </w:r>
      <w:r>
        <w:rPr>
          <w:rFonts w:ascii="Calibri" w:hAnsi="Calibri" w:cs="Calibri"/>
          <w:sz w:val="24"/>
        </w:rPr>
        <w:t xml:space="preserve">adult education budget </w:t>
      </w:r>
      <w:r w:rsidRPr="00ED67EC">
        <w:rPr>
          <w:rFonts w:ascii="Calibri" w:hAnsi="Calibri" w:cs="Calibri"/>
          <w:sz w:val="24"/>
        </w:rPr>
        <w:t>is decentralised</w:t>
      </w:r>
      <w:r w:rsidRPr="008774A7">
        <w:rPr>
          <w:rFonts w:ascii="Calibri" w:hAnsi="Calibri" w:cs="Calibri"/>
          <w:sz w:val="24"/>
        </w:rPr>
        <w:t>.</w:t>
      </w:r>
      <w:r>
        <w:rPr>
          <w:rFonts w:ascii="Calibri" w:hAnsi="Calibri" w:cs="Calibri"/>
          <w:sz w:val="24"/>
        </w:rPr>
        <w:t xml:space="preserve"> The existing requirement is not a regulatory provision because it falls under the ‘grants or other financial assistance on behalf of a public authority’ statutory exclusion.</w:t>
      </w:r>
      <w:r w:rsidRPr="004274D5">
        <w:rPr>
          <w:rFonts w:ascii="Arial" w:eastAsia="Times New Roman" w:hAnsi="Arial" w:cs="Times New Roman"/>
          <w:sz w:val="24"/>
          <w:szCs w:val="24"/>
        </w:rPr>
        <w:t xml:space="preserve"> </w:t>
      </w:r>
      <w:r w:rsidRPr="004274D5">
        <w:rPr>
          <w:rFonts w:ascii="Calibri" w:eastAsia="Times New Roman" w:hAnsi="Calibri" w:cs="Calibri"/>
          <w:sz w:val="24"/>
          <w:szCs w:val="24"/>
        </w:rPr>
        <w:t>Under the BRFM Q&amp;A</w:t>
      </w:r>
      <w:r>
        <w:rPr>
          <w:rFonts w:ascii="Calibri" w:eastAsia="Times New Roman" w:hAnsi="Calibri" w:cs="Calibri"/>
          <w:sz w:val="24"/>
          <w:szCs w:val="24"/>
        </w:rPr>
        <w:t>, w</w:t>
      </w:r>
      <w:r w:rsidRPr="004274D5">
        <w:rPr>
          <w:rFonts w:ascii="Calibri" w:hAnsi="Calibri" w:cs="Calibri"/>
          <w:sz w:val="24"/>
        </w:rPr>
        <w:t>here</w:t>
      </w:r>
      <w:r>
        <w:rPr>
          <w:rFonts w:ascii="Calibri" w:hAnsi="Calibri" w:cs="Calibri"/>
          <w:sz w:val="24"/>
        </w:rPr>
        <w:t xml:space="preserve"> an</w:t>
      </w:r>
      <w:r w:rsidRPr="004274D5">
        <w:rPr>
          <w:rFonts w:ascii="Calibri" w:hAnsi="Calibri" w:cs="Calibri"/>
          <w:sz w:val="24"/>
        </w:rPr>
        <w:t xml:space="preserve"> existing measure </w:t>
      </w:r>
      <w:r>
        <w:rPr>
          <w:rFonts w:ascii="Calibri" w:hAnsi="Calibri" w:cs="Calibri"/>
          <w:sz w:val="24"/>
        </w:rPr>
        <w:t>outside (within) the</w:t>
      </w:r>
      <w:r w:rsidRPr="004274D5">
        <w:rPr>
          <w:rFonts w:ascii="Calibri" w:hAnsi="Calibri" w:cs="Calibri"/>
          <w:sz w:val="24"/>
        </w:rPr>
        <w:t xml:space="preserve"> scope of the BIT </w:t>
      </w:r>
      <w:r>
        <w:rPr>
          <w:rFonts w:ascii="Calibri" w:hAnsi="Calibri" w:cs="Calibri"/>
          <w:sz w:val="24"/>
        </w:rPr>
        <w:t>is</w:t>
      </w:r>
      <w:r w:rsidRPr="004274D5">
        <w:rPr>
          <w:rFonts w:ascii="Calibri" w:hAnsi="Calibri" w:cs="Calibri"/>
          <w:sz w:val="24"/>
        </w:rPr>
        <w:t xml:space="preserve"> replaced by an immediate successor measure that is </w:t>
      </w:r>
      <w:r>
        <w:rPr>
          <w:rFonts w:ascii="Calibri" w:hAnsi="Calibri" w:cs="Calibri"/>
          <w:sz w:val="24"/>
        </w:rPr>
        <w:t>within (outside)</w:t>
      </w:r>
      <w:r w:rsidRPr="004274D5">
        <w:rPr>
          <w:rFonts w:ascii="Calibri" w:hAnsi="Calibri" w:cs="Calibri"/>
          <w:sz w:val="24"/>
        </w:rPr>
        <w:t xml:space="preserve"> scope, the EANDCB should take account of the cost to business of the immediate successor measure.</w:t>
      </w:r>
      <w:r>
        <w:rPr>
          <w:rFonts w:ascii="Calibri" w:hAnsi="Calibri" w:cs="Calibri"/>
          <w:sz w:val="24"/>
        </w:rPr>
        <w:t xml:space="preserve"> On this basis, even though the proposal moved the requirement within scope of the BIT the impact on business was scored as zero.</w:t>
      </w:r>
      <w:r w:rsidRPr="008774A7">
        <w:rPr>
          <w:rFonts w:ascii="Calibri" w:hAnsi="Calibri" w:cs="Calibri"/>
          <w:sz w:val="24"/>
        </w:rPr>
        <w:t xml:space="preserve"> </w:t>
      </w:r>
    </w:p>
    <w:p w:rsidR="00DB59F0" w:rsidRDefault="00DB59F0" w:rsidP="00DB59F0">
      <w:pPr>
        <w:rPr>
          <w:rFonts w:eastAsia="Times New Roman" w:cstheme="minorHAnsi"/>
          <w:sz w:val="24"/>
          <w:szCs w:val="24"/>
        </w:rPr>
      </w:pPr>
    </w:p>
    <w:p w:rsidR="00DB59F0" w:rsidRPr="009834E9" w:rsidRDefault="00DB59F0" w:rsidP="00DB59F0">
      <w:pPr>
        <w:spacing w:after="0"/>
        <w:rPr>
          <w:rFonts w:ascii="Calibri" w:eastAsia="Times New Roman" w:hAnsi="Calibri" w:cs="Calibri"/>
          <w:color w:val="000000" w:themeColor="text1"/>
          <w:sz w:val="24"/>
          <w:szCs w:val="24"/>
        </w:rPr>
      </w:pPr>
      <w:r w:rsidRPr="006D7C42">
        <w:rPr>
          <w:rFonts w:ascii="Calibri" w:eastAsia="Times New Roman" w:hAnsi="Calibri" w:cs="Calibri"/>
          <w:color w:val="000000" w:themeColor="text1"/>
          <w:sz w:val="24"/>
          <w:szCs w:val="24"/>
          <w:lang w:eastAsia="en-GB"/>
        </w:rPr>
        <w:t xml:space="preserve">The example below illustrates the </w:t>
      </w:r>
      <w:r>
        <w:rPr>
          <w:rFonts w:ascii="Calibri" w:eastAsia="Times New Roman" w:hAnsi="Calibri" w:cs="Calibri"/>
          <w:color w:val="000000" w:themeColor="text1"/>
          <w:sz w:val="24"/>
          <w:szCs w:val="24"/>
          <w:lang w:eastAsia="en-GB"/>
        </w:rPr>
        <w:t>relationship between regulatory impact assessments and economic appraisals of government spending decisions.</w:t>
      </w:r>
    </w:p>
    <w:p w:rsidR="00DB59F0" w:rsidRDefault="00DB59F0" w:rsidP="00DB59F0">
      <w:pPr>
        <w:spacing w:after="0"/>
        <w:rPr>
          <w:rFonts w:eastAsia="Times New Roman" w:cstheme="minorHAnsi"/>
          <w:color w:val="984806" w:themeColor="accent6" w:themeShade="80"/>
          <w:sz w:val="28"/>
          <w:szCs w:val="28"/>
          <w:lang w:eastAsia="en-GB"/>
        </w:rPr>
      </w:pPr>
    </w:p>
    <w:p w:rsidR="00DB59F0" w:rsidRDefault="00DB59F0" w:rsidP="00DB59F0">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b/>
          <w:sz w:val="24"/>
          <w:szCs w:val="24"/>
          <w:lang w:eastAsia="en-GB"/>
        </w:rPr>
      </w:pPr>
      <w:r w:rsidRPr="00424458">
        <w:rPr>
          <w:rFonts w:eastAsia="Times New Roman" w:cstheme="minorHAnsi"/>
          <w:b/>
          <w:sz w:val="24"/>
          <w:szCs w:val="24"/>
          <w:lang w:eastAsia="en-GB"/>
        </w:rPr>
        <w:t>The Education (Master’s Degree Loans) Regulations 2016</w:t>
      </w:r>
      <w:r w:rsidRPr="008D5E8D">
        <w:rPr>
          <w:rFonts w:eastAsia="Times New Roman" w:cstheme="minorHAnsi"/>
          <w:b/>
          <w:sz w:val="24"/>
          <w:szCs w:val="24"/>
          <w:lang w:eastAsia="en-GB"/>
        </w:rPr>
        <w:t xml:space="preserve"> </w:t>
      </w:r>
      <w:r>
        <w:rPr>
          <w:rFonts w:eastAsia="Times New Roman" w:cstheme="minorHAnsi"/>
          <w:b/>
          <w:sz w:val="24"/>
          <w:szCs w:val="24"/>
          <w:lang w:eastAsia="en-GB"/>
        </w:rPr>
        <w:t>(</w:t>
      </w:r>
      <w:r w:rsidRPr="00E729E8">
        <w:rPr>
          <w:rFonts w:eastAsia="Times New Roman" w:cstheme="minorHAnsi"/>
          <w:b/>
          <w:sz w:val="24"/>
          <w:szCs w:val="24"/>
          <w:lang w:eastAsia="en-GB"/>
        </w:rPr>
        <w:t>RPC1</w:t>
      </w:r>
      <w:r>
        <w:rPr>
          <w:rFonts w:eastAsia="Times New Roman" w:cstheme="minorHAnsi"/>
          <w:b/>
          <w:sz w:val="24"/>
          <w:szCs w:val="24"/>
          <w:lang w:eastAsia="en-GB"/>
        </w:rPr>
        <w:t>6</w:t>
      </w:r>
      <w:r w:rsidRPr="00E729E8">
        <w:rPr>
          <w:rFonts w:eastAsia="Times New Roman" w:cstheme="minorHAnsi"/>
          <w:b/>
          <w:sz w:val="24"/>
          <w:szCs w:val="24"/>
          <w:lang w:eastAsia="en-GB"/>
        </w:rPr>
        <w:t>-</w:t>
      </w:r>
      <w:r>
        <w:rPr>
          <w:rFonts w:eastAsia="Times New Roman" w:cstheme="minorHAnsi"/>
          <w:b/>
          <w:sz w:val="24"/>
          <w:szCs w:val="24"/>
          <w:lang w:eastAsia="en-GB"/>
        </w:rPr>
        <w:t>DfE</w:t>
      </w:r>
      <w:r w:rsidRPr="00E729E8">
        <w:rPr>
          <w:rFonts w:eastAsia="Times New Roman" w:cstheme="minorHAnsi"/>
          <w:b/>
          <w:sz w:val="24"/>
          <w:szCs w:val="24"/>
          <w:lang w:eastAsia="en-GB"/>
        </w:rPr>
        <w:t>-</w:t>
      </w:r>
      <w:r>
        <w:rPr>
          <w:rFonts w:eastAsia="Times New Roman" w:cstheme="minorHAnsi"/>
          <w:b/>
          <w:sz w:val="24"/>
          <w:szCs w:val="24"/>
          <w:lang w:eastAsia="en-GB"/>
        </w:rPr>
        <w:t>3455)</w:t>
      </w:r>
    </w:p>
    <w:p w:rsidR="00DB59F0" w:rsidRDefault="00DB59F0" w:rsidP="00DB59F0">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b/>
          <w:sz w:val="24"/>
          <w:szCs w:val="24"/>
          <w:lang w:eastAsia="en-GB"/>
        </w:rPr>
      </w:pPr>
      <w:r>
        <w:rPr>
          <w:rFonts w:eastAsia="Times New Roman" w:cstheme="minorHAnsi"/>
          <w:iCs/>
          <w:sz w:val="24"/>
          <w:szCs w:val="24"/>
          <w:lang w:eastAsia="en-GB"/>
        </w:rPr>
        <w:t>T</w:t>
      </w:r>
      <w:r w:rsidRPr="004E1EFF">
        <w:rPr>
          <w:rFonts w:eastAsia="Times New Roman" w:cstheme="minorHAnsi"/>
          <w:iCs/>
          <w:sz w:val="24"/>
          <w:szCs w:val="24"/>
          <w:lang w:eastAsia="en-GB"/>
        </w:rPr>
        <w:t xml:space="preserve">he Government </w:t>
      </w:r>
      <w:r>
        <w:rPr>
          <w:rFonts w:eastAsia="Times New Roman" w:cstheme="minorHAnsi"/>
          <w:iCs/>
          <w:sz w:val="24"/>
          <w:szCs w:val="24"/>
          <w:lang w:eastAsia="en-GB"/>
        </w:rPr>
        <w:t>announced in 2014 that it wa</w:t>
      </w:r>
      <w:r w:rsidRPr="004E1EFF">
        <w:rPr>
          <w:rFonts w:eastAsia="Times New Roman" w:cstheme="minorHAnsi"/>
          <w:iCs/>
          <w:sz w:val="24"/>
          <w:szCs w:val="24"/>
          <w:lang w:eastAsia="en-GB"/>
        </w:rPr>
        <w:t xml:space="preserve">s introducing postgraduate </w:t>
      </w:r>
      <w:r>
        <w:rPr>
          <w:rFonts w:eastAsia="Times New Roman" w:cstheme="minorHAnsi"/>
          <w:iCs/>
          <w:sz w:val="24"/>
          <w:szCs w:val="24"/>
          <w:lang w:eastAsia="en-GB"/>
        </w:rPr>
        <w:t xml:space="preserve">degree </w:t>
      </w:r>
      <w:r w:rsidRPr="004E1EFF">
        <w:rPr>
          <w:rFonts w:eastAsia="Times New Roman" w:cstheme="minorHAnsi"/>
          <w:iCs/>
          <w:sz w:val="24"/>
          <w:szCs w:val="24"/>
          <w:lang w:eastAsia="en-GB"/>
        </w:rPr>
        <w:t>loans for the academic year 2016/17</w:t>
      </w:r>
      <w:r>
        <w:rPr>
          <w:rFonts w:eastAsia="Times New Roman" w:cstheme="minorHAnsi"/>
          <w:iCs/>
          <w:sz w:val="24"/>
          <w:szCs w:val="24"/>
          <w:lang w:eastAsia="en-GB"/>
        </w:rPr>
        <w:t xml:space="preserve">, similar to those currently existing for undergraduate degrees. </w:t>
      </w:r>
      <w:r w:rsidRPr="00424458">
        <w:rPr>
          <w:rFonts w:eastAsia="Times New Roman" w:cstheme="minorHAnsi"/>
          <w:iCs/>
          <w:sz w:val="24"/>
          <w:szCs w:val="24"/>
          <w:lang w:eastAsia="en-GB"/>
        </w:rPr>
        <w:t>Th</w:t>
      </w:r>
      <w:r>
        <w:rPr>
          <w:rFonts w:eastAsia="Times New Roman" w:cstheme="minorHAnsi"/>
          <w:iCs/>
          <w:sz w:val="24"/>
          <w:szCs w:val="24"/>
          <w:lang w:eastAsia="en-GB"/>
        </w:rPr>
        <w:t>is would require the introduction of regulations affecting employers so that</w:t>
      </w:r>
      <w:r w:rsidRPr="00424458">
        <w:rPr>
          <w:rFonts w:eastAsia="Times New Roman" w:cstheme="minorHAnsi"/>
          <w:iCs/>
          <w:sz w:val="24"/>
          <w:szCs w:val="24"/>
          <w:lang w:eastAsia="en-GB"/>
        </w:rPr>
        <w:t xml:space="preserve"> repayments</w:t>
      </w:r>
      <w:r>
        <w:rPr>
          <w:rFonts w:eastAsia="Times New Roman" w:cstheme="minorHAnsi"/>
          <w:iCs/>
          <w:sz w:val="24"/>
          <w:szCs w:val="24"/>
          <w:lang w:eastAsia="en-GB"/>
        </w:rPr>
        <w:t xml:space="preserve"> of the loan could be collected through the PAYE system. The Department’s IA focussed on the costs and benefit to business of these regulations. The IA explained that the Master’s product itself was </w:t>
      </w:r>
      <w:r w:rsidRPr="00424458">
        <w:rPr>
          <w:rFonts w:eastAsia="Times New Roman" w:cstheme="minorHAnsi"/>
          <w:iCs/>
          <w:sz w:val="24"/>
          <w:szCs w:val="24"/>
          <w:lang w:eastAsia="en-GB"/>
        </w:rPr>
        <w:t>a spending decision</w:t>
      </w:r>
      <w:r>
        <w:rPr>
          <w:rFonts w:eastAsia="Times New Roman" w:cstheme="minorHAnsi"/>
          <w:iCs/>
          <w:sz w:val="24"/>
          <w:szCs w:val="24"/>
          <w:lang w:eastAsia="en-GB"/>
        </w:rPr>
        <w:t xml:space="preserve"> and that these</w:t>
      </w:r>
      <w:r w:rsidRPr="00424458">
        <w:rPr>
          <w:rFonts w:eastAsia="Times New Roman" w:cstheme="minorHAnsi"/>
          <w:iCs/>
          <w:sz w:val="24"/>
          <w:szCs w:val="24"/>
          <w:lang w:eastAsia="en-GB"/>
        </w:rPr>
        <w:t xml:space="preserve"> decisions are assessed through a separate appraisal and scrutiny process, </w:t>
      </w:r>
      <w:r>
        <w:rPr>
          <w:rFonts w:eastAsia="Times New Roman" w:cstheme="minorHAnsi"/>
          <w:iCs/>
          <w:sz w:val="24"/>
          <w:szCs w:val="24"/>
          <w:lang w:eastAsia="en-GB"/>
        </w:rPr>
        <w:t>and was, therefore,</w:t>
      </w:r>
      <w:r w:rsidRPr="00424458">
        <w:rPr>
          <w:rFonts w:eastAsia="Times New Roman" w:cstheme="minorHAnsi"/>
          <w:iCs/>
          <w:sz w:val="24"/>
          <w:szCs w:val="24"/>
          <w:lang w:eastAsia="en-GB"/>
        </w:rPr>
        <w:t xml:space="preserve"> not included in the scope of the IA</w:t>
      </w:r>
      <w:r>
        <w:rPr>
          <w:rFonts w:eastAsia="Times New Roman" w:cstheme="minorHAnsi"/>
          <w:iCs/>
          <w:sz w:val="24"/>
          <w:szCs w:val="24"/>
          <w:lang w:eastAsia="en-GB"/>
        </w:rPr>
        <w:t>. The regulations enabling repayment of the loans were, however, within the scope of the better regulation framework. This was clear from the listing of examples of measures that would not fall with this exclusion, which included “</w:t>
      </w:r>
      <w:r w:rsidRPr="0055214B">
        <w:rPr>
          <w:rFonts w:eastAsia="Times New Roman" w:cstheme="minorHAnsi"/>
          <w:i/>
          <w:iCs/>
          <w:sz w:val="24"/>
          <w:szCs w:val="24"/>
          <w:lang w:eastAsia="en-GB"/>
        </w:rPr>
        <w:t>obligations on employers regarding deductions from payroll to facilitate repayment of student loans</w:t>
      </w:r>
      <w:r>
        <w:rPr>
          <w:rFonts w:eastAsia="Times New Roman" w:cstheme="minorHAnsi"/>
          <w:iCs/>
          <w:sz w:val="24"/>
          <w:szCs w:val="24"/>
          <w:lang w:eastAsia="en-GB"/>
        </w:rPr>
        <w:t xml:space="preserve">”. </w:t>
      </w:r>
    </w:p>
    <w:p w:rsidR="00DB59F0" w:rsidRPr="00424458" w:rsidRDefault="00DB59F0" w:rsidP="00DB59F0">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b/>
          <w:sz w:val="24"/>
          <w:szCs w:val="24"/>
          <w:lang w:eastAsia="en-GB"/>
        </w:rPr>
      </w:pPr>
    </w:p>
    <w:p w:rsidR="00DB59F0" w:rsidRPr="00FB3DF8" w:rsidRDefault="00DB59F0" w:rsidP="00DB59F0">
      <w:pPr>
        <w:rPr>
          <w:rFonts w:eastAsia="Times New Roman" w:cstheme="minorHAnsi"/>
          <w:b/>
          <w:sz w:val="24"/>
          <w:szCs w:val="24"/>
        </w:rPr>
      </w:pPr>
    </w:p>
    <w:p w:rsidR="00DB59F0" w:rsidRPr="00FB3DF8" w:rsidRDefault="00DB59F0" w:rsidP="00DB59F0">
      <w:pPr>
        <w:spacing w:after="0"/>
        <w:rPr>
          <w:rFonts w:eastAsia="Times New Roman" w:cstheme="minorHAnsi"/>
          <w:b/>
          <w:color w:val="984806" w:themeColor="accent6" w:themeShade="80"/>
          <w:sz w:val="28"/>
          <w:szCs w:val="28"/>
          <w:lang w:eastAsia="en-GB"/>
        </w:rPr>
      </w:pPr>
      <w:r w:rsidRPr="00FB3DF8">
        <w:rPr>
          <w:rFonts w:eastAsia="Times New Roman" w:cstheme="minorHAnsi"/>
          <w:b/>
          <w:color w:val="984806" w:themeColor="accent6" w:themeShade="80"/>
          <w:sz w:val="28"/>
          <w:szCs w:val="28"/>
          <w:lang w:eastAsia="en-GB"/>
        </w:rPr>
        <w:t>5.</w:t>
      </w:r>
      <w:r w:rsidR="00976D3F">
        <w:rPr>
          <w:rFonts w:eastAsia="Times New Roman" w:cstheme="minorHAnsi"/>
          <w:b/>
          <w:color w:val="984806" w:themeColor="accent6" w:themeShade="80"/>
          <w:sz w:val="28"/>
          <w:szCs w:val="28"/>
          <w:lang w:eastAsia="en-GB"/>
        </w:rPr>
        <w:t>3</w:t>
      </w:r>
      <w:r w:rsidRPr="00FB3DF8">
        <w:rPr>
          <w:rFonts w:eastAsia="Times New Roman" w:cstheme="minorHAnsi"/>
          <w:b/>
          <w:color w:val="984806" w:themeColor="accent6" w:themeShade="80"/>
          <w:sz w:val="28"/>
          <w:szCs w:val="28"/>
          <w:lang w:eastAsia="en-GB"/>
        </w:rPr>
        <w:t xml:space="preserve"> </w:t>
      </w:r>
      <w:r>
        <w:rPr>
          <w:rFonts w:eastAsia="Times New Roman" w:cstheme="minorHAnsi"/>
          <w:b/>
          <w:color w:val="984806" w:themeColor="accent6" w:themeShade="80"/>
          <w:sz w:val="28"/>
          <w:szCs w:val="28"/>
          <w:lang w:eastAsia="en-GB"/>
        </w:rPr>
        <w:t>Regulation of activities that are not business activities</w:t>
      </w:r>
    </w:p>
    <w:p w:rsidR="00DB59F0" w:rsidRDefault="00DB59F0" w:rsidP="00DB59F0">
      <w:pPr>
        <w:spacing w:after="0"/>
        <w:rPr>
          <w:rFonts w:ascii="Calibri" w:eastAsia="Times New Roman" w:hAnsi="Calibri" w:cs="Calibri"/>
          <w:color w:val="000000" w:themeColor="text1"/>
          <w:sz w:val="24"/>
          <w:szCs w:val="24"/>
          <w:lang w:eastAsia="en-GB"/>
        </w:rPr>
      </w:pPr>
    </w:p>
    <w:p w:rsidR="00DB59F0" w:rsidRPr="009834E9" w:rsidRDefault="00DB59F0" w:rsidP="00DB59F0">
      <w:pPr>
        <w:spacing w:after="0"/>
        <w:rPr>
          <w:rFonts w:ascii="Calibri" w:eastAsia="Times New Roman" w:hAnsi="Calibri" w:cs="Calibri"/>
          <w:color w:val="000000" w:themeColor="text1"/>
          <w:sz w:val="24"/>
          <w:szCs w:val="24"/>
        </w:rPr>
      </w:pPr>
      <w:r w:rsidRPr="006D7C42">
        <w:rPr>
          <w:rFonts w:ascii="Calibri" w:eastAsia="Times New Roman" w:hAnsi="Calibri" w:cs="Calibri"/>
          <w:color w:val="000000" w:themeColor="text1"/>
          <w:sz w:val="24"/>
          <w:szCs w:val="24"/>
          <w:lang w:eastAsia="en-GB"/>
        </w:rPr>
        <w:t>The example</w:t>
      </w:r>
      <w:r>
        <w:rPr>
          <w:rFonts w:ascii="Calibri" w:eastAsia="Times New Roman" w:hAnsi="Calibri" w:cs="Calibri"/>
          <w:color w:val="000000" w:themeColor="text1"/>
          <w:sz w:val="24"/>
          <w:szCs w:val="24"/>
          <w:lang w:eastAsia="en-GB"/>
        </w:rPr>
        <w:t>s</w:t>
      </w:r>
      <w:r w:rsidRPr="006D7C42">
        <w:rPr>
          <w:rFonts w:ascii="Calibri" w:eastAsia="Times New Roman" w:hAnsi="Calibri" w:cs="Calibri"/>
          <w:color w:val="000000" w:themeColor="text1"/>
          <w:sz w:val="24"/>
          <w:szCs w:val="24"/>
          <w:lang w:eastAsia="en-GB"/>
        </w:rPr>
        <w:t xml:space="preserve"> below illustrate</w:t>
      </w:r>
      <w:r>
        <w:rPr>
          <w:rFonts w:ascii="Calibri" w:eastAsia="Times New Roman" w:hAnsi="Calibri" w:cs="Calibri"/>
          <w:color w:val="000000" w:themeColor="text1"/>
          <w:sz w:val="24"/>
          <w:szCs w:val="24"/>
          <w:lang w:eastAsia="en-GB"/>
        </w:rPr>
        <w:t xml:space="preserve"> how measures regulating only the public sector</w:t>
      </w:r>
      <w:r w:rsidRPr="006D7C42">
        <w:rPr>
          <w:rFonts w:ascii="Calibri" w:eastAsia="Times New Roman" w:hAnsi="Calibri" w:cs="Calibri"/>
          <w:color w:val="000000" w:themeColor="text1"/>
          <w:sz w:val="24"/>
          <w:szCs w:val="24"/>
          <w:lang w:eastAsia="en-GB"/>
        </w:rPr>
        <w:t xml:space="preserve"> </w:t>
      </w:r>
      <w:r>
        <w:rPr>
          <w:rFonts w:ascii="Calibri" w:eastAsia="Times New Roman" w:hAnsi="Calibri" w:cs="Calibri"/>
          <w:color w:val="000000" w:themeColor="text1"/>
          <w:sz w:val="24"/>
          <w:szCs w:val="24"/>
          <w:lang w:eastAsia="en-GB"/>
        </w:rPr>
        <w:t>are not subject to the better regulation framework.</w:t>
      </w:r>
    </w:p>
    <w:p w:rsidR="00DB59F0" w:rsidRDefault="00DB59F0" w:rsidP="00DB59F0">
      <w:pPr>
        <w:spacing w:after="0"/>
        <w:rPr>
          <w:rFonts w:eastAsia="Times New Roman" w:cstheme="minorHAnsi"/>
          <w:color w:val="984806" w:themeColor="accent6" w:themeShade="80"/>
          <w:sz w:val="28"/>
          <w:szCs w:val="28"/>
          <w:lang w:eastAsia="en-GB"/>
        </w:rPr>
      </w:pPr>
    </w:p>
    <w:p w:rsidR="00DB59F0" w:rsidRDefault="00DB59F0" w:rsidP="00DB59F0">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sz w:val="24"/>
          <w:szCs w:val="24"/>
          <w:lang w:eastAsia="en-GB"/>
        </w:rPr>
      </w:pPr>
      <w:r>
        <w:rPr>
          <w:rFonts w:eastAsia="Times New Roman" w:cstheme="minorHAnsi"/>
          <w:b/>
          <w:sz w:val="24"/>
          <w:szCs w:val="24"/>
          <w:lang w:eastAsia="en-GB"/>
        </w:rPr>
        <w:t>Trade Union Bill</w:t>
      </w:r>
      <w:r w:rsidRPr="008D5E8D">
        <w:rPr>
          <w:rFonts w:eastAsia="Times New Roman" w:cstheme="minorHAnsi"/>
          <w:b/>
          <w:sz w:val="24"/>
          <w:szCs w:val="24"/>
          <w:lang w:eastAsia="en-GB"/>
        </w:rPr>
        <w:t xml:space="preserve"> </w:t>
      </w:r>
      <w:r>
        <w:rPr>
          <w:rFonts w:eastAsia="Times New Roman" w:cstheme="minorHAnsi"/>
          <w:b/>
          <w:sz w:val="24"/>
          <w:szCs w:val="24"/>
          <w:lang w:eastAsia="en-GB"/>
        </w:rPr>
        <w:t>(BIS</w:t>
      </w:r>
      <w:r w:rsidRPr="00E729E8">
        <w:rPr>
          <w:rFonts w:eastAsia="Times New Roman" w:cstheme="minorHAnsi"/>
          <w:b/>
          <w:sz w:val="24"/>
          <w:szCs w:val="24"/>
          <w:lang w:eastAsia="en-GB"/>
        </w:rPr>
        <w:t>-</w:t>
      </w:r>
      <w:r>
        <w:rPr>
          <w:rFonts w:eastAsia="Times New Roman" w:cstheme="minorHAnsi"/>
          <w:b/>
          <w:sz w:val="24"/>
          <w:szCs w:val="24"/>
          <w:lang w:eastAsia="en-GB"/>
        </w:rPr>
        <w:t xml:space="preserve">3002). </w:t>
      </w:r>
      <w:r>
        <w:rPr>
          <w:rFonts w:eastAsia="Times New Roman" w:cstheme="minorHAnsi"/>
          <w:sz w:val="24"/>
          <w:szCs w:val="24"/>
          <w:lang w:eastAsia="en-GB"/>
        </w:rPr>
        <w:t>The IA for this proposal originally included a measure</w:t>
      </w:r>
      <w:r w:rsidRPr="007B6611">
        <w:rPr>
          <w:rFonts w:eastAsia="Times New Roman" w:cstheme="minorHAnsi"/>
          <w:sz w:val="24"/>
          <w:szCs w:val="24"/>
          <w:lang w:eastAsia="en-GB"/>
        </w:rPr>
        <w:t xml:space="preserve"> requiring public sector organisations to report on </w:t>
      </w:r>
      <w:r>
        <w:rPr>
          <w:rFonts w:eastAsia="Times New Roman" w:cstheme="minorHAnsi"/>
          <w:sz w:val="24"/>
          <w:szCs w:val="24"/>
          <w:lang w:eastAsia="en-GB"/>
        </w:rPr>
        <w:t xml:space="preserve">trade union </w:t>
      </w:r>
      <w:r w:rsidRPr="007B6611">
        <w:rPr>
          <w:rFonts w:eastAsia="Times New Roman" w:cstheme="minorHAnsi"/>
          <w:sz w:val="24"/>
          <w:szCs w:val="24"/>
          <w:lang w:eastAsia="en-GB"/>
        </w:rPr>
        <w:t>facility time</w:t>
      </w:r>
      <w:r>
        <w:rPr>
          <w:rFonts w:eastAsia="Times New Roman" w:cstheme="minorHAnsi"/>
          <w:sz w:val="24"/>
          <w:szCs w:val="24"/>
          <w:lang w:eastAsia="en-GB"/>
        </w:rPr>
        <w:t xml:space="preserve">. The assessment of this measure was subsequently moved </w:t>
      </w:r>
      <w:r w:rsidRPr="007B6611">
        <w:rPr>
          <w:rFonts w:eastAsia="Times New Roman" w:cstheme="minorHAnsi"/>
          <w:sz w:val="24"/>
          <w:szCs w:val="24"/>
          <w:lang w:eastAsia="en-GB"/>
        </w:rPr>
        <w:t>into a separate IA</w:t>
      </w:r>
      <w:r>
        <w:rPr>
          <w:rFonts w:eastAsia="Times New Roman" w:cstheme="minorHAnsi"/>
          <w:sz w:val="24"/>
          <w:szCs w:val="24"/>
          <w:lang w:eastAsia="en-GB"/>
        </w:rPr>
        <w:t xml:space="preserve"> on the basis that the measure only</w:t>
      </w:r>
      <w:r w:rsidRPr="007B6611">
        <w:rPr>
          <w:rFonts w:eastAsia="Times New Roman" w:cstheme="minorHAnsi"/>
          <w:sz w:val="24"/>
          <w:szCs w:val="24"/>
          <w:lang w:eastAsia="en-GB"/>
        </w:rPr>
        <w:t xml:space="preserve"> regulated</w:t>
      </w:r>
      <w:r>
        <w:rPr>
          <w:rFonts w:eastAsia="Times New Roman" w:cstheme="minorHAnsi"/>
          <w:sz w:val="24"/>
          <w:szCs w:val="24"/>
          <w:lang w:eastAsia="en-GB"/>
        </w:rPr>
        <w:t xml:space="preserve"> t</w:t>
      </w:r>
      <w:r w:rsidRPr="007B6611">
        <w:rPr>
          <w:rFonts w:eastAsia="Times New Roman" w:cstheme="minorHAnsi"/>
          <w:sz w:val="24"/>
          <w:szCs w:val="24"/>
          <w:lang w:eastAsia="en-GB"/>
        </w:rPr>
        <w:t xml:space="preserve">he public sector. </w:t>
      </w:r>
      <w:r>
        <w:rPr>
          <w:rFonts w:eastAsia="Times New Roman" w:cstheme="minorHAnsi"/>
          <w:sz w:val="24"/>
          <w:szCs w:val="24"/>
          <w:lang w:eastAsia="en-GB"/>
        </w:rPr>
        <w:t>The separate IA was not subject to the better regulation framework and was, therefore, not</w:t>
      </w:r>
      <w:r w:rsidRPr="007B6611">
        <w:rPr>
          <w:rFonts w:eastAsia="Times New Roman" w:cstheme="minorHAnsi"/>
          <w:sz w:val="24"/>
          <w:szCs w:val="24"/>
          <w:lang w:eastAsia="en-GB"/>
        </w:rPr>
        <w:t xml:space="preserve"> be submitted to the RPC for scrutiny.</w:t>
      </w:r>
    </w:p>
    <w:p w:rsidR="00DB59F0" w:rsidRDefault="00DB59F0" w:rsidP="00DB59F0">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sz w:val="24"/>
          <w:szCs w:val="24"/>
          <w:lang w:eastAsia="en-GB"/>
        </w:rPr>
      </w:pPr>
    </w:p>
    <w:p w:rsidR="00DB59F0" w:rsidRDefault="00DB59F0" w:rsidP="00DB59F0">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sz w:val="24"/>
          <w:szCs w:val="24"/>
          <w:lang w:eastAsia="en-GB"/>
        </w:rPr>
      </w:pPr>
      <w:r w:rsidRPr="00E760DF">
        <w:rPr>
          <w:rFonts w:eastAsia="Times New Roman" w:cstheme="minorHAnsi"/>
          <w:sz w:val="24"/>
          <w:szCs w:val="24"/>
          <w:lang w:eastAsia="en-GB"/>
        </w:rPr>
        <w:t xml:space="preserve">Similarly, the Cabinet Office </w:t>
      </w:r>
      <w:r>
        <w:rPr>
          <w:rFonts w:eastAsia="Times New Roman" w:cstheme="minorHAnsi"/>
          <w:sz w:val="24"/>
          <w:szCs w:val="24"/>
          <w:lang w:eastAsia="en-GB"/>
        </w:rPr>
        <w:t>IAs on</w:t>
      </w:r>
      <w:r w:rsidRPr="00E760DF">
        <w:rPr>
          <w:rFonts w:eastAsia="Times New Roman" w:cstheme="minorHAnsi"/>
          <w:sz w:val="24"/>
          <w:szCs w:val="24"/>
          <w:lang w:eastAsia="en-GB"/>
        </w:rPr>
        <w:t xml:space="preserve"> ‘</w:t>
      </w:r>
      <w:r w:rsidRPr="00E760DF">
        <w:rPr>
          <w:rFonts w:eastAsia="Times New Roman" w:cstheme="minorHAnsi"/>
          <w:b/>
          <w:sz w:val="24"/>
          <w:szCs w:val="24"/>
          <w:lang w:eastAsia="en-GB"/>
        </w:rPr>
        <w:t>Prohibition on deduction of trade union subscriptions from wages in the public sector’ (CO-3186) and ‘English Language Requirements for Public Sector Workers’</w:t>
      </w:r>
      <w:r>
        <w:rPr>
          <w:rFonts w:eastAsia="Times New Roman" w:cstheme="minorHAnsi"/>
          <w:sz w:val="24"/>
          <w:szCs w:val="24"/>
          <w:lang w:eastAsia="en-GB"/>
        </w:rPr>
        <w:t xml:space="preserve"> were also withdrawn from RPC scrutiny on this basis.</w:t>
      </w:r>
    </w:p>
    <w:p w:rsidR="00DB59F0" w:rsidRDefault="00DB59F0" w:rsidP="00DB59F0">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sz w:val="24"/>
          <w:szCs w:val="24"/>
          <w:lang w:eastAsia="en-GB"/>
        </w:rPr>
      </w:pPr>
    </w:p>
    <w:p w:rsidR="00DB59F0" w:rsidRDefault="00DB59F0" w:rsidP="00DB59F0">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b/>
          <w:sz w:val="24"/>
          <w:szCs w:val="24"/>
          <w:lang w:eastAsia="en-GB"/>
        </w:rPr>
      </w:pPr>
      <w:r w:rsidRPr="004409D4">
        <w:rPr>
          <w:rFonts w:eastAsia="Times New Roman" w:cstheme="minorHAnsi"/>
          <w:sz w:val="24"/>
          <w:szCs w:val="24"/>
          <w:lang w:eastAsia="en-GB"/>
        </w:rPr>
        <w:t xml:space="preserve">The DfT measure increasing the </w:t>
      </w:r>
      <w:r w:rsidRPr="004409D4">
        <w:rPr>
          <w:rFonts w:eastAsia="Times New Roman" w:cstheme="minorHAnsi"/>
          <w:b/>
          <w:sz w:val="24"/>
          <w:szCs w:val="24"/>
          <w:lang w:eastAsia="en-GB"/>
        </w:rPr>
        <w:t>penalties for using a hand-held mobile phone while driving</w:t>
      </w:r>
      <w:r w:rsidRPr="004409D4">
        <w:rPr>
          <w:rFonts w:eastAsia="Times New Roman" w:cstheme="minorHAnsi"/>
          <w:sz w:val="24"/>
          <w:szCs w:val="24"/>
          <w:lang w:eastAsia="en-GB"/>
        </w:rPr>
        <w:t xml:space="preserve"> was originally submitted to the RPC as a non-qualifying regulatory provision under ‘fines and penalties’. This IA was withdrawn from RPC scrutiny on the basis that it did not regulate business, noting that it would also affect only non-compliant businesses.</w:t>
      </w:r>
    </w:p>
    <w:p w:rsidR="00DB59F0" w:rsidRDefault="00DB59F0" w:rsidP="00DB59F0">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b/>
          <w:sz w:val="24"/>
          <w:szCs w:val="24"/>
          <w:lang w:eastAsia="en-GB"/>
        </w:rPr>
      </w:pPr>
    </w:p>
    <w:p w:rsidR="00DB59F0" w:rsidRDefault="00DB59F0" w:rsidP="00DB59F0">
      <w:pPr>
        <w:rPr>
          <w:rFonts w:eastAsia="Times New Roman" w:cstheme="minorHAnsi"/>
          <w:sz w:val="24"/>
          <w:szCs w:val="24"/>
        </w:rPr>
      </w:pPr>
    </w:p>
    <w:p w:rsidR="00DB59F0" w:rsidRDefault="00DB59F0" w:rsidP="00DB59F0">
      <w:pPr>
        <w:spacing w:after="0"/>
        <w:rPr>
          <w:rFonts w:eastAsia="Times New Roman" w:cstheme="minorHAnsi"/>
          <w:b/>
          <w:color w:val="984806" w:themeColor="accent6" w:themeShade="80"/>
          <w:sz w:val="28"/>
          <w:szCs w:val="28"/>
          <w:lang w:eastAsia="en-GB"/>
        </w:rPr>
      </w:pPr>
      <w:r w:rsidRPr="00FB3DF8">
        <w:rPr>
          <w:rFonts w:eastAsia="Times New Roman" w:cstheme="minorHAnsi"/>
          <w:b/>
          <w:color w:val="984806" w:themeColor="accent6" w:themeShade="80"/>
          <w:sz w:val="28"/>
          <w:szCs w:val="28"/>
          <w:lang w:eastAsia="en-GB"/>
        </w:rPr>
        <w:t>5.</w:t>
      </w:r>
      <w:r w:rsidR="00976D3F">
        <w:rPr>
          <w:rFonts w:eastAsia="Times New Roman" w:cstheme="minorHAnsi"/>
          <w:b/>
          <w:color w:val="984806" w:themeColor="accent6" w:themeShade="80"/>
          <w:sz w:val="28"/>
          <w:szCs w:val="28"/>
          <w:lang w:eastAsia="en-GB"/>
        </w:rPr>
        <w:t>4</w:t>
      </w:r>
      <w:r w:rsidRPr="00FB3DF8">
        <w:rPr>
          <w:rFonts w:eastAsia="Times New Roman" w:cstheme="minorHAnsi"/>
          <w:b/>
          <w:color w:val="984806" w:themeColor="accent6" w:themeShade="80"/>
          <w:sz w:val="28"/>
          <w:szCs w:val="28"/>
          <w:lang w:eastAsia="en-GB"/>
        </w:rPr>
        <w:t xml:space="preserve"> </w:t>
      </w:r>
      <w:r>
        <w:rPr>
          <w:rFonts w:eastAsia="Times New Roman" w:cstheme="minorHAnsi"/>
          <w:b/>
          <w:color w:val="984806" w:themeColor="accent6" w:themeShade="80"/>
          <w:sz w:val="28"/>
          <w:szCs w:val="28"/>
          <w:lang w:eastAsia="en-GB"/>
        </w:rPr>
        <w:t>Acting on behalf of a public authority</w:t>
      </w:r>
    </w:p>
    <w:p w:rsidR="00DB59F0" w:rsidRDefault="00DB59F0" w:rsidP="00DB59F0">
      <w:pPr>
        <w:spacing w:after="0"/>
        <w:rPr>
          <w:rFonts w:eastAsia="Times New Roman" w:cstheme="minorHAnsi"/>
          <w:b/>
          <w:color w:val="984806" w:themeColor="accent6" w:themeShade="80"/>
          <w:sz w:val="28"/>
          <w:szCs w:val="28"/>
          <w:lang w:eastAsia="en-GB"/>
        </w:rPr>
      </w:pPr>
    </w:p>
    <w:p w:rsidR="00DB59F0" w:rsidRPr="009834E9" w:rsidRDefault="00DB59F0" w:rsidP="00DB59F0">
      <w:pPr>
        <w:spacing w:after="0"/>
        <w:rPr>
          <w:rFonts w:ascii="Calibri" w:eastAsia="Times New Roman" w:hAnsi="Calibri" w:cs="Calibri"/>
          <w:color w:val="000000" w:themeColor="text1"/>
          <w:sz w:val="24"/>
          <w:szCs w:val="24"/>
        </w:rPr>
      </w:pPr>
      <w:r w:rsidRPr="006D7C42">
        <w:rPr>
          <w:rFonts w:ascii="Calibri" w:eastAsia="Times New Roman" w:hAnsi="Calibri" w:cs="Calibri"/>
          <w:color w:val="000000" w:themeColor="text1"/>
          <w:sz w:val="24"/>
          <w:szCs w:val="24"/>
          <w:lang w:eastAsia="en-GB"/>
        </w:rPr>
        <w:t xml:space="preserve">The </w:t>
      </w:r>
      <w:r>
        <w:rPr>
          <w:rFonts w:ascii="Calibri" w:eastAsia="Times New Roman" w:hAnsi="Calibri" w:cs="Calibri"/>
          <w:color w:val="000000" w:themeColor="text1"/>
          <w:sz w:val="24"/>
          <w:szCs w:val="24"/>
          <w:lang w:eastAsia="en-GB"/>
        </w:rPr>
        <w:t>provision of public services by the private sector falls under this statutory exclusion.</w:t>
      </w:r>
    </w:p>
    <w:p w:rsidR="00DB59F0" w:rsidRDefault="00DB59F0" w:rsidP="00DB59F0">
      <w:pPr>
        <w:spacing w:after="0"/>
        <w:rPr>
          <w:rFonts w:eastAsia="Times New Roman" w:cstheme="minorHAnsi"/>
          <w:b/>
          <w:color w:val="984806" w:themeColor="accent6" w:themeShade="80"/>
          <w:sz w:val="28"/>
          <w:szCs w:val="28"/>
          <w:lang w:eastAsia="en-GB"/>
        </w:rPr>
      </w:pPr>
    </w:p>
    <w:p w:rsidR="00DB59F0" w:rsidRDefault="00DB59F0" w:rsidP="00DB59F0">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b/>
          <w:sz w:val="24"/>
          <w:szCs w:val="24"/>
          <w:lang w:eastAsia="en-GB"/>
        </w:rPr>
      </w:pPr>
      <w:proofErr w:type="gramStart"/>
      <w:r>
        <w:rPr>
          <w:rFonts w:eastAsia="Times New Roman" w:cstheme="minorHAnsi"/>
          <w:b/>
          <w:sz w:val="24"/>
          <w:szCs w:val="24"/>
          <w:lang w:eastAsia="en-GB"/>
        </w:rPr>
        <w:t>Paediatric First Aid</w:t>
      </w:r>
      <w:r w:rsidRPr="008D5E8D">
        <w:rPr>
          <w:rFonts w:eastAsia="Times New Roman" w:cstheme="minorHAnsi"/>
          <w:b/>
          <w:sz w:val="24"/>
          <w:szCs w:val="24"/>
          <w:lang w:eastAsia="en-GB"/>
        </w:rPr>
        <w:t xml:space="preserve"> </w:t>
      </w:r>
      <w:r>
        <w:rPr>
          <w:rFonts w:eastAsia="Times New Roman" w:cstheme="minorHAnsi"/>
          <w:b/>
          <w:sz w:val="24"/>
          <w:szCs w:val="24"/>
          <w:lang w:eastAsia="en-GB"/>
        </w:rPr>
        <w:t>in Early Years’ Provision (RPC15-DfE</w:t>
      </w:r>
      <w:r w:rsidRPr="00E729E8">
        <w:rPr>
          <w:rFonts w:eastAsia="Times New Roman" w:cstheme="minorHAnsi"/>
          <w:b/>
          <w:sz w:val="24"/>
          <w:szCs w:val="24"/>
          <w:lang w:eastAsia="en-GB"/>
        </w:rPr>
        <w:t>-</w:t>
      </w:r>
      <w:r>
        <w:rPr>
          <w:rFonts w:eastAsia="Times New Roman" w:cstheme="minorHAnsi"/>
          <w:b/>
          <w:sz w:val="24"/>
          <w:szCs w:val="24"/>
          <w:lang w:eastAsia="en-GB"/>
        </w:rPr>
        <w:t>3001(3)).</w:t>
      </w:r>
      <w:proofErr w:type="gramEnd"/>
      <w:r>
        <w:rPr>
          <w:rFonts w:eastAsia="Times New Roman" w:cstheme="minorHAnsi"/>
          <w:b/>
          <w:sz w:val="24"/>
          <w:szCs w:val="24"/>
          <w:lang w:eastAsia="en-GB"/>
        </w:rPr>
        <w:t xml:space="preserve"> </w:t>
      </w:r>
      <w:r w:rsidRPr="009B6466">
        <w:rPr>
          <w:rFonts w:eastAsia="Times New Roman" w:cstheme="minorHAnsi"/>
          <w:sz w:val="24"/>
          <w:szCs w:val="20"/>
        </w:rPr>
        <w:t xml:space="preserve">The proposal required newly qualified early years staff have a PFA or emergency first aid certificate before they can be included in adult/child ratios. </w:t>
      </w:r>
      <w:r w:rsidRPr="009B6466">
        <w:rPr>
          <w:rFonts w:eastAsia="Times New Roman" w:cstheme="minorHAnsi"/>
          <w:sz w:val="24"/>
          <w:szCs w:val="24"/>
        </w:rPr>
        <w:t xml:space="preserve">In calculating the EANDCB, the Department excluded about 45 per cent of the overall cost, which relates to </w:t>
      </w:r>
      <w:r w:rsidRPr="009B6466">
        <w:rPr>
          <w:rFonts w:cstheme="minorHAnsi"/>
          <w:sz w:val="24"/>
          <w:szCs w:val="24"/>
        </w:rPr>
        <w:t xml:space="preserve">provision of early years free entitlement for 2, 3 and 4 year olds. This </w:t>
      </w:r>
      <w:r>
        <w:rPr>
          <w:rFonts w:cstheme="minorHAnsi"/>
          <w:sz w:val="24"/>
          <w:szCs w:val="24"/>
        </w:rPr>
        <w:t>was</w:t>
      </w:r>
      <w:r w:rsidRPr="009B6466">
        <w:rPr>
          <w:rFonts w:cstheme="minorHAnsi"/>
          <w:sz w:val="24"/>
          <w:szCs w:val="24"/>
        </w:rPr>
        <w:t xml:space="preserve"> excluded on the basis that it is private sector provision of a public service</w:t>
      </w:r>
      <w:r>
        <w:rPr>
          <w:rFonts w:cstheme="minorHAnsi"/>
          <w:sz w:val="24"/>
          <w:szCs w:val="24"/>
        </w:rPr>
        <w:t>, which falls under the statutory exclusion ‘acting on behalf of a public authority’</w:t>
      </w:r>
      <w:r w:rsidRPr="009B6466">
        <w:rPr>
          <w:rFonts w:cstheme="minorHAnsi"/>
          <w:sz w:val="24"/>
          <w:szCs w:val="24"/>
        </w:rPr>
        <w:t xml:space="preserve">.  </w:t>
      </w:r>
    </w:p>
    <w:p w:rsidR="00DB59F0" w:rsidRDefault="00DB59F0" w:rsidP="00DB59F0">
      <w:pPr>
        <w:rPr>
          <w:rFonts w:eastAsia="Times New Roman" w:cstheme="minorHAnsi"/>
          <w:sz w:val="24"/>
          <w:szCs w:val="24"/>
        </w:rPr>
      </w:pPr>
    </w:p>
    <w:p w:rsidR="00DB59F0" w:rsidRPr="00FB3DF8" w:rsidRDefault="00DB59F0" w:rsidP="00DB59F0">
      <w:pPr>
        <w:spacing w:after="0"/>
        <w:rPr>
          <w:rFonts w:eastAsia="Times New Roman" w:cstheme="minorHAnsi"/>
          <w:b/>
          <w:color w:val="984806" w:themeColor="accent6" w:themeShade="80"/>
          <w:sz w:val="28"/>
          <w:szCs w:val="28"/>
          <w:lang w:eastAsia="en-GB"/>
        </w:rPr>
      </w:pPr>
    </w:p>
    <w:p w:rsidR="00DB59F0" w:rsidRDefault="00DB59F0" w:rsidP="00DB59F0">
      <w:pPr>
        <w:rPr>
          <w:rFonts w:eastAsia="Times New Roman" w:cstheme="minorHAnsi"/>
          <w:sz w:val="24"/>
          <w:szCs w:val="24"/>
        </w:rPr>
      </w:pPr>
    </w:p>
    <w:p w:rsidR="00BC6B55" w:rsidRDefault="00BC6B55" w:rsidP="00DB59F0">
      <w:pPr>
        <w:spacing w:after="300"/>
        <w:contextualSpacing/>
        <w:rPr>
          <w:rFonts w:eastAsiaTheme="majorEastAsia" w:cstheme="minorHAnsi"/>
          <w:b/>
          <w:color w:val="E36C0A" w:themeColor="accent6" w:themeShade="BF"/>
          <w:spacing w:val="5"/>
          <w:kern w:val="28"/>
          <w:sz w:val="32"/>
          <w:szCs w:val="32"/>
        </w:rPr>
      </w:pPr>
    </w:p>
    <w:p w:rsidR="00BC6B55" w:rsidRDefault="00BC6B55" w:rsidP="00DB59F0">
      <w:pPr>
        <w:spacing w:after="300"/>
        <w:contextualSpacing/>
        <w:rPr>
          <w:rFonts w:eastAsiaTheme="majorEastAsia" w:cstheme="minorHAnsi"/>
          <w:b/>
          <w:color w:val="E36C0A" w:themeColor="accent6" w:themeShade="BF"/>
          <w:spacing w:val="5"/>
          <w:kern w:val="28"/>
          <w:sz w:val="32"/>
          <w:szCs w:val="32"/>
        </w:rPr>
      </w:pPr>
    </w:p>
    <w:p w:rsidR="00DB59F0" w:rsidRDefault="00DB59F0" w:rsidP="00DB59F0">
      <w:pPr>
        <w:spacing w:after="300"/>
        <w:contextualSpacing/>
        <w:rPr>
          <w:rFonts w:eastAsiaTheme="majorEastAsia" w:cstheme="minorHAnsi"/>
          <w:b/>
          <w:color w:val="E36C0A" w:themeColor="accent6" w:themeShade="BF"/>
          <w:spacing w:val="5"/>
          <w:kern w:val="28"/>
          <w:sz w:val="32"/>
          <w:szCs w:val="32"/>
        </w:rPr>
      </w:pPr>
      <w:r>
        <w:rPr>
          <w:rFonts w:eastAsiaTheme="majorEastAsia" w:cstheme="minorHAnsi"/>
          <w:b/>
          <w:color w:val="E36C0A" w:themeColor="accent6" w:themeShade="BF"/>
          <w:spacing w:val="5"/>
          <w:kern w:val="28"/>
          <w:sz w:val="32"/>
          <w:szCs w:val="32"/>
        </w:rPr>
        <w:t>Administrative</w:t>
      </w:r>
      <w:r w:rsidRPr="00F5332B">
        <w:rPr>
          <w:rFonts w:eastAsiaTheme="majorEastAsia" w:cstheme="minorHAnsi"/>
          <w:b/>
          <w:color w:val="E36C0A" w:themeColor="accent6" w:themeShade="BF"/>
          <w:spacing w:val="5"/>
          <w:kern w:val="28"/>
          <w:sz w:val="32"/>
          <w:szCs w:val="32"/>
        </w:rPr>
        <w:t xml:space="preserve"> exclusions</w:t>
      </w:r>
    </w:p>
    <w:p w:rsidR="00BC6B55" w:rsidRPr="00F5332B" w:rsidRDefault="00BC6B55" w:rsidP="00DB59F0">
      <w:pPr>
        <w:spacing w:after="300"/>
        <w:contextualSpacing/>
        <w:rPr>
          <w:rFonts w:eastAsiaTheme="majorEastAsia" w:cstheme="minorHAnsi"/>
          <w:b/>
          <w:color w:val="E36C0A" w:themeColor="accent6" w:themeShade="BF"/>
          <w:spacing w:val="5"/>
          <w:kern w:val="28"/>
          <w:sz w:val="32"/>
          <w:szCs w:val="32"/>
        </w:rPr>
      </w:pPr>
    </w:p>
    <w:p w:rsidR="00DB59F0" w:rsidRPr="00172C69" w:rsidRDefault="00DB59F0" w:rsidP="00DB59F0">
      <w:pPr>
        <w:rPr>
          <w:rFonts w:eastAsia="Times New Roman" w:cstheme="minorHAnsi"/>
          <w:b/>
          <w:color w:val="984806" w:themeColor="accent6" w:themeShade="80"/>
          <w:sz w:val="28"/>
          <w:szCs w:val="28"/>
        </w:rPr>
      </w:pPr>
      <w:r w:rsidRPr="00172C69">
        <w:rPr>
          <w:rFonts w:eastAsia="Times New Roman" w:cstheme="minorHAnsi"/>
          <w:b/>
          <w:color w:val="984806" w:themeColor="accent6" w:themeShade="80"/>
          <w:sz w:val="28"/>
          <w:szCs w:val="28"/>
        </w:rPr>
        <w:t>5.</w:t>
      </w:r>
      <w:r w:rsidR="00976D3F">
        <w:rPr>
          <w:rFonts w:eastAsia="Times New Roman" w:cstheme="minorHAnsi"/>
          <w:b/>
          <w:color w:val="984806" w:themeColor="accent6" w:themeShade="80"/>
          <w:sz w:val="28"/>
          <w:szCs w:val="28"/>
        </w:rPr>
        <w:t>5</w:t>
      </w:r>
      <w:r w:rsidRPr="00172C69">
        <w:rPr>
          <w:rFonts w:eastAsia="Times New Roman" w:cstheme="minorHAnsi"/>
          <w:b/>
          <w:color w:val="984806" w:themeColor="accent6" w:themeShade="80"/>
          <w:sz w:val="28"/>
          <w:szCs w:val="28"/>
        </w:rPr>
        <w:t xml:space="preserve"> EU and international measures</w:t>
      </w:r>
    </w:p>
    <w:p w:rsidR="00BC6B55" w:rsidRPr="00D64FE3" w:rsidRDefault="00BC6B55" w:rsidP="00BC6B55">
      <w:pPr>
        <w:spacing w:after="0"/>
        <w:rPr>
          <w:rFonts w:eastAsia="Times New Roman" w:cstheme="minorHAnsi"/>
          <w:sz w:val="24"/>
          <w:szCs w:val="24"/>
          <w:u w:val="single"/>
          <w:lang w:eastAsia="en-GB"/>
        </w:rPr>
      </w:pPr>
      <w:r w:rsidRPr="00D64FE3">
        <w:rPr>
          <w:rFonts w:eastAsia="Times New Roman" w:cstheme="minorHAnsi"/>
          <w:sz w:val="24"/>
          <w:szCs w:val="24"/>
          <w:u w:val="single"/>
          <w:lang w:eastAsia="en-GB"/>
        </w:rPr>
        <w:t>Types of EU measures</w:t>
      </w:r>
    </w:p>
    <w:p w:rsidR="00BC6B55" w:rsidRPr="001B074F" w:rsidRDefault="00BC6B55" w:rsidP="00BC6B55">
      <w:pPr>
        <w:spacing w:after="0"/>
        <w:rPr>
          <w:rFonts w:eastAsia="Times New Roman" w:cstheme="minorHAnsi"/>
          <w:sz w:val="24"/>
          <w:szCs w:val="24"/>
          <w:lang w:eastAsia="en-GB"/>
        </w:rPr>
      </w:pPr>
    </w:p>
    <w:p w:rsidR="00BC6B55" w:rsidRPr="001B074F" w:rsidRDefault="00BC6B55" w:rsidP="00BC6B55">
      <w:pPr>
        <w:spacing w:after="0"/>
        <w:rPr>
          <w:rFonts w:eastAsia="Times New Roman" w:cstheme="minorHAnsi"/>
          <w:sz w:val="24"/>
          <w:szCs w:val="24"/>
          <w:lang w:eastAsia="en-GB"/>
        </w:rPr>
      </w:pPr>
      <w:r w:rsidRPr="001B074F">
        <w:rPr>
          <w:rFonts w:eastAsia="Times New Roman" w:cstheme="minorHAnsi"/>
          <w:sz w:val="24"/>
          <w:szCs w:val="24"/>
          <w:lang w:eastAsia="en-GB"/>
        </w:rPr>
        <w:t>EU measures fall into two broad categories. First, EU obligations that are transposed into UK law through domestic legislation. These are usually</w:t>
      </w:r>
      <w:r w:rsidRPr="001B074F">
        <w:rPr>
          <w:rFonts w:eastAsia="Times New Roman" w:cstheme="minorHAnsi"/>
          <w:b/>
          <w:sz w:val="24"/>
          <w:szCs w:val="24"/>
          <w:lang w:eastAsia="en-GB"/>
        </w:rPr>
        <w:t xml:space="preserve"> </w:t>
      </w:r>
      <w:r w:rsidRPr="001B074F">
        <w:rPr>
          <w:rFonts w:eastAsia="Times New Roman" w:cstheme="minorHAnsi"/>
          <w:sz w:val="24"/>
          <w:szCs w:val="24"/>
          <w:u w:val="single"/>
          <w:lang w:eastAsia="en-GB"/>
        </w:rPr>
        <w:t>EU Directives</w:t>
      </w:r>
      <w:r w:rsidRPr="001B074F">
        <w:rPr>
          <w:rFonts w:eastAsia="Times New Roman" w:cstheme="minorHAnsi"/>
          <w:sz w:val="24"/>
          <w:szCs w:val="24"/>
          <w:lang w:eastAsia="en-GB"/>
        </w:rPr>
        <w:t xml:space="preserve"> but there are also a small number of EU Regulations that are given effect into UK law this way. </w:t>
      </w:r>
      <w:proofErr w:type="gramStart"/>
      <w:r w:rsidRPr="001B074F">
        <w:rPr>
          <w:rFonts w:eastAsia="Times New Roman" w:cstheme="minorHAnsi"/>
          <w:sz w:val="24"/>
          <w:szCs w:val="24"/>
          <w:lang w:eastAsia="en-GB"/>
        </w:rPr>
        <w:t>Second,</w:t>
      </w:r>
      <w:r w:rsidRPr="001B074F">
        <w:rPr>
          <w:rFonts w:eastAsia="Calibri" w:cstheme="minorHAnsi"/>
          <w:sz w:val="24"/>
          <w:szCs w:val="24"/>
        </w:rPr>
        <w:t xml:space="preserve"> EU measures that become law in Member States without any need for government action.</w:t>
      </w:r>
      <w:proofErr w:type="gramEnd"/>
      <w:r w:rsidRPr="001B074F">
        <w:rPr>
          <w:rFonts w:eastAsia="Calibri" w:cstheme="minorHAnsi"/>
          <w:sz w:val="24"/>
          <w:szCs w:val="24"/>
        </w:rPr>
        <w:t xml:space="preserve"> These are </w:t>
      </w:r>
      <w:r w:rsidRPr="001B074F">
        <w:rPr>
          <w:rFonts w:eastAsia="Times New Roman" w:cstheme="minorHAnsi"/>
          <w:sz w:val="24"/>
          <w:szCs w:val="24"/>
          <w:u w:val="single"/>
          <w:lang w:eastAsia="en-GB"/>
        </w:rPr>
        <w:t>d</w:t>
      </w:r>
      <w:r w:rsidRPr="001B074F">
        <w:rPr>
          <w:rFonts w:eastAsia="Calibri" w:cstheme="minorHAnsi"/>
          <w:sz w:val="24"/>
          <w:szCs w:val="24"/>
          <w:u w:val="single"/>
        </w:rPr>
        <w:t>irectly applicable EU regulations.</w:t>
      </w:r>
      <w:r w:rsidRPr="001B074F">
        <w:rPr>
          <w:rFonts w:eastAsia="Calibri" w:cstheme="minorHAnsi"/>
          <w:sz w:val="24"/>
          <w:szCs w:val="24"/>
        </w:rPr>
        <w:t xml:space="preserve"> The vast majority of these are technical or have low cost, such as minor import tariff changes. </w:t>
      </w:r>
    </w:p>
    <w:p w:rsidR="00BC6B55" w:rsidRPr="001B074F" w:rsidRDefault="00BC6B55" w:rsidP="00BC6B55">
      <w:pPr>
        <w:spacing w:after="0"/>
        <w:rPr>
          <w:rFonts w:eastAsia="Times New Roman" w:cstheme="minorHAnsi"/>
          <w:sz w:val="24"/>
          <w:szCs w:val="24"/>
          <w:lang w:eastAsia="en-GB"/>
        </w:rPr>
      </w:pPr>
    </w:p>
    <w:p w:rsidR="00BC6B55" w:rsidRDefault="00BC6B55" w:rsidP="00BC6B55">
      <w:pPr>
        <w:rPr>
          <w:rFonts w:cstheme="minorHAnsi"/>
          <w:sz w:val="24"/>
          <w:szCs w:val="24"/>
        </w:rPr>
      </w:pPr>
      <w:r w:rsidRPr="001B074F">
        <w:rPr>
          <w:rFonts w:cstheme="minorHAnsi"/>
          <w:sz w:val="24"/>
          <w:szCs w:val="24"/>
        </w:rPr>
        <w:t xml:space="preserve">The RPC will typically see impact assessments relating to the </w:t>
      </w:r>
      <w:r>
        <w:rPr>
          <w:rFonts w:cstheme="minorHAnsi"/>
          <w:sz w:val="24"/>
          <w:szCs w:val="24"/>
        </w:rPr>
        <w:t>first category</w:t>
      </w:r>
      <w:r w:rsidRPr="001B074F">
        <w:rPr>
          <w:rFonts w:cstheme="minorHAnsi"/>
          <w:sz w:val="24"/>
          <w:szCs w:val="24"/>
        </w:rPr>
        <w:t>. For the large majority of directly applicable EU regulation</w:t>
      </w:r>
      <w:r>
        <w:rPr>
          <w:rFonts w:cstheme="minorHAnsi"/>
          <w:sz w:val="24"/>
          <w:szCs w:val="24"/>
        </w:rPr>
        <w:t>s</w:t>
      </w:r>
      <w:r w:rsidRPr="001B074F">
        <w:rPr>
          <w:rFonts w:cstheme="minorHAnsi"/>
          <w:sz w:val="24"/>
          <w:szCs w:val="24"/>
        </w:rPr>
        <w:t xml:space="preserve">, there is no decision to be made and, therefore, impact assessments are usually not </w:t>
      </w:r>
      <w:r>
        <w:rPr>
          <w:rFonts w:cstheme="minorHAnsi"/>
          <w:sz w:val="24"/>
          <w:szCs w:val="24"/>
        </w:rPr>
        <w:t>required</w:t>
      </w:r>
      <w:r w:rsidRPr="001B074F">
        <w:rPr>
          <w:rFonts w:cstheme="minorHAnsi"/>
          <w:sz w:val="24"/>
          <w:szCs w:val="24"/>
        </w:rPr>
        <w:t>. There may, however, be decisions to be taken on how a directly applicable regulation is enforced, such as the appointment of a competent authority, which require domestic legislation. In these cases, an IA will n</w:t>
      </w:r>
      <w:r>
        <w:rPr>
          <w:rFonts w:cstheme="minorHAnsi"/>
          <w:sz w:val="24"/>
          <w:szCs w:val="24"/>
        </w:rPr>
        <w:t>ormally be submitted to the RPC that covers this particular element.</w:t>
      </w:r>
    </w:p>
    <w:p w:rsidR="00BC6B55" w:rsidRPr="00D64FE3" w:rsidRDefault="00BC6B55" w:rsidP="00BC6B55">
      <w:pPr>
        <w:rPr>
          <w:rFonts w:cstheme="minorHAnsi"/>
          <w:sz w:val="24"/>
          <w:szCs w:val="24"/>
          <w:u w:val="single"/>
        </w:rPr>
      </w:pPr>
      <w:r w:rsidRPr="00D64FE3">
        <w:rPr>
          <w:rFonts w:cstheme="minorHAnsi"/>
          <w:sz w:val="24"/>
          <w:szCs w:val="24"/>
          <w:u w:val="single"/>
        </w:rPr>
        <w:t>Treatment of EU measures in the Better Regulation Framework</w:t>
      </w:r>
    </w:p>
    <w:p w:rsidR="00BC6B55" w:rsidRPr="001B074F" w:rsidRDefault="00BC6B55" w:rsidP="00BC6B55">
      <w:pPr>
        <w:rPr>
          <w:rFonts w:cstheme="minorHAnsi"/>
          <w:sz w:val="24"/>
          <w:szCs w:val="24"/>
        </w:rPr>
      </w:pPr>
      <w:r w:rsidRPr="001B074F">
        <w:rPr>
          <w:rFonts w:cstheme="minorHAnsi"/>
          <w:sz w:val="24"/>
          <w:szCs w:val="24"/>
        </w:rPr>
        <w:t xml:space="preserve">The BRFM sets out framework requirements for EU measures. These differ to those for domestic measures </w:t>
      </w:r>
      <w:r>
        <w:rPr>
          <w:rFonts w:cstheme="minorHAnsi"/>
          <w:sz w:val="24"/>
          <w:szCs w:val="24"/>
        </w:rPr>
        <w:t>as</w:t>
      </w:r>
      <w:r w:rsidRPr="001B074F">
        <w:rPr>
          <w:rFonts w:cstheme="minorHAnsi"/>
          <w:sz w:val="24"/>
          <w:szCs w:val="24"/>
        </w:rPr>
        <w:t>:</w:t>
      </w:r>
    </w:p>
    <w:p w:rsidR="00BC6B55" w:rsidRPr="001B074F" w:rsidRDefault="00BC6B55" w:rsidP="00BC6B55">
      <w:pPr>
        <w:numPr>
          <w:ilvl w:val="0"/>
          <w:numId w:val="27"/>
        </w:numPr>
        <w:contextualSpacing/>
        <w:rPr>
          <w:rFonts w:cstheme="minorHAnsi"/>
          <w:sz w:val="24"/>
          <w:szCs w:val="24"/>
        </w:rPr>
      </w:pPr>
      <w:r>
        <w:rPr>
          <w:rFonts w:cstheme="minorHAnsi"/>
          <w:sz w:val="24"/>
          <w:szCs w:val="24"/>
        </w:rPr>
        <w:t>BIT requirements only apply</w:t>
      </w:r>
      <w:r w:rsidRPr="001B074F">
        <w:rPr>
          <w:rFonts w:cstheme="minorHAnsi"/>
          <w:sz w:val="24"/>
          <w:szCs w:val="24"/>
        </w:rPr>
        <w:t xml:space="preserve"> where the measure “goes</w:t>
      </w:r>
      <w:r>
        <w:rPr>
          <w:rFonts w:cstheme="minorHAnsi"/>
          <w:sz w:val="24"/>
          <w:szCs w:val="24"/>
        </w:rPr>
        <w:t xml:space="preserve"> beyond minimum EU requirements</w:t>
      </w:r>
      <w:r w:rsidRPr="001B074F">
        <w:rPr>
          <w:rFonts w:cstheme="minorHAnsi"/>
          <w:sz w:val="24"/>
          <w:szCs w:val="24"/>
        </w:rPr>
        <w:t xml:space="preserve">” </w:t>
      </w:r>
      <w:r>
        <w:rPr>
          <w:rFonts w:cstheme="minorHAnsi"/>
          <w:sz w:val="24"/>
          <w:szCs w:val="24"/>
        </w:rPr>
        <w:t>(so called “gold plating)</w:t>
      </w:r>
      <w:r>
        <w:rPr>
          <w:rStyle w:val="FootnoteReference"/>
          <w:rFonts w:cstheme="minorHAnsi"/>
          <w:sz w:val="24"/>
          <w:szCs w:val="24"/>
        </w:rPr>
        <w:footnoteReference w:id="8"/>
      </w:r>
      <w:r>
        <w:rPr>
          <w:rFonts w:cstheme="minorHAnsi"/>
          <w:sz w:val="24"/>
          <w:szCs w:val="24"/>
        </w:rPr>
        <w:t xml:space="preserve">; </w:t>
      </w:r>
    </w:p>
    <w:p w:rsidR="00BC6B55" w:rsidRPr="001B074F" w:rsidRDefault="00BC6B55" w:rsidP="00BC6B55">
      <w:pPr>
        <w:numPr>
          <w:ilvl w:val="0"/>
          <w:numId w:val="27"/>
        </w:numPr>
        <w:contextualSpacing/>
        <w:rPr>
          <w:rFonts w:cstheme="minorHAnsi"/>
          <w:sz w:val="24"/>
          <w:szCs w:val="24"/>
        </w:rPr>
      </w:pPr>
      <w:r>
        <w:rPr>
          <w:rFonts w:cstheme="minorHAnsi"/>
          <w:sz w:val="24"/>
          <w:szCs w:val="24"/>
        </w:rPr>
        <w:t>w</w:t>
      </w:r>
      <w:r w:rsidRPr="001B074F">
        <w:rPr>
          <w:rFonts w:cstheme="minorHAnsi"/>
          <w:sz w:val="24"/>
          <w:szCs w:val="24"/>
        </w:rPr>
        <w:t>here the measure goes beyond minimum EU requirements, it is not eligible for the fast track;</w:t>
      </w:r>
    </w:p>
    <w:p w:rsidR="00BC6B55" w:rsidRPr="001B074F" w:rsidRDefault="00BC6B55" w:rsidP="00BC6B55">
      <w:pPr>
        <w:numPr>
          <w:ilvl w:val="0"/>
          <w:numId w:val="27"/>
        </w:numPr>
        <w:contextualSpacing/>
        <w:rPr>
          <w:rFonts w:cstheme="minorHAnsi"/>
          <w:sz w:val="24"/>
          <w:szCs w:val="24"/>
        </w:rPr>
      </w:pPr>
      <w:r w:rsidRPr="001B074F">
        <w:rPr>
          <w:rFonts w:cstheme="minorHAnsi"/>
          <w:sz w:val="24"/>
          <w:szCs w:val="24"/>
        </w:rPr>
        <w:t>EU Transposition Principles apply;</w:t>
      </w:r>
      <w:r>
        <w:rPr>
          <w:rFonts w:cstheme="minorHAnsi"/>
          <w:sz w:val="24"/>
          <w:szCs w:val="24"/>
        </w:rPr>
        <w:t xml:space="preserve"> and</w:t>
      </w:r>
    </w:p>
    <w:p w:rsidR="00BC6B55" w:rsidRPr="001B074F" w:rsidRDefault="00BC6B55" w:rsidP="00BC6B55">
      <w:pPr>
        <w:numPr>
          <w:ilvl w:val="0"/>
          <w:numId w:val="27"/>
        </w:numPr>
        <w:contextualSpacing/>
        <w:rPr>
          <w:rFonts w:cstheme="minorHAnsi"/>
          <w:sz w:val="24"/>
          <w:szCs w:val="24"/>
        </w:rPr>
      </w:pPr>
      <w:r w:rsidRPr="001B074F">
        <w:rPr>
          <w:rFonts w:cstheme="minorHAnsi"/>
          <w:sz w:val="24"/>
          <w:szCs w:val="24"/>
        </w:rPr>
        <w:t xml:space="preserve">Common Commencement Date and </w:t>
      </w:r>
      <w:proofErr w:type="spellStart"/>
      <w:r w:rsidRPr="001B074F">
        <w:rPr>
          <w:rFonts w:cstheme="minorHAnsi"/>
          <w:sz w:val="24"/>
          <w:szCs w:val="24"/>
        </w:rPr>
        <w:t>SaMBA</w:t>
      </w:r>
      <w:proofErr w:type="spellEnd"/>
      <w:r w:rsidRPr="001B074F">
        <w:rPr>
          <w:rFonts w:cstheme="minorHAnsi"/>
          <w:sz w:val="24"/>
          <w:szCs w:val="24"/>
        </w:rPr>
        <w:t xml:space="preserve"> requirements do not apply.</w:t>
      </w:r>
    </w:p>
    <w:p w:rsidR="00BC6B55" w:rsidRPr="001B074F" w:rsidRDefault="00BC6B55" w:rsidP="00BC6B55">
      <w:pPr>
        <w:ind w:left="720"/>
        <w:contextualSpacing/>
        <w:rPr>
          <w:rFonts w:cstheme="minorHAnsi"/>
          <w:sz w:val="24"/>
          <w:szCs w:val="24"/>
        </w:rPr>
      </w:pPr>
    </w:p>
    <w:p w:rsidR="00BC6B55" w:rsidRPr="001B074F" w:rsidRDefault="00BC6B55" w:rsidP="00BC6B55">
      <w:pPr>
        <w:rPr>
          <w:rFonts w:cstheme="minorHAnsi"/>
          <w:sz w:val="24"/>
          <w:szCs w:val="24"/>
        </w:rPr>
      </w:pPr>
      <w:r>
        <w:rPr>
          <w:rFonts w:cstheme="minorHAnsi"/>
          <w:sz w:val="24"/>
          <w:szCs w:val="24"/>
        </w:rPr>
        <w:t xml:space="preserve">The </w:t>
      </w:r>
      <w:r w:rsidRPr="001B074F">
        <w:rPr>
          <w:rFonts w:cstheme="minorHAnsi"/>
          <w:sz w:val="24"/>
          <w:szCs w:val="24"/>
        </w:rPr>
        <w:t>measures that do not go beyond the m</w:t>
      </w:r>
      <w:r>
        <w:rPr>
          <w:rFonts w:cstheme="minorHAnsi"/>
          <w:sz w:val="24"/>
          <w:szCs w:val="24"/>
        </w:rPr>
        <w:t xml:space="preserve">inimum or remove existing ‘gold </w:t>
      </w:r>
      <w:r w:rsidRPr="001B074F">
        <w:rPr>
          <w:rFonts w:cstheme="minorHAnsi"/>
          <w:sz w:val="24"/>
          <w:szCs w:val="24"/>
        </w:rPr>
        <w:t xml:space="preserve">plating’ are </w:t>
      </w:r>
      <w:r w:rsidR="00F97169">
        <w:rPr>
          <w:rFonts w:cstheme="minorHAnsi"/>
          <w:sz w:val="24"/>
          <w:szCs w:val="24"/>
        </w:rPr>
        <w:t>non-qualifying for</w:t>
      </w:r>
      <w:r w:rsidRPr="001B074F">
        <w:rPr>
          <w:rFonts w:cstheme="minorHAnsi"/>
          <w:sz w:val="24"/>
          <w:szCs w:val="24"/>
        </w:rPr>
        <w:t xml:space="preserve"> </w:t>
      </w:r>
      <w:r>
        <w:rPr>
          <w:rFonts w:cstheme="minorHAnsi"/>
          <w:sz w:val="24"/>
          <w:szCs w:val="24"/>
        </w:rPr>
        <w:t xml:space="preserve">the </w:t>
      </w:r>
      <w:r w:rsidRPr="001B074F">
        <w:rPr>
          <w:rFonts w:cstheme="minorHAnsi"/>
          <w:sz w:val="24"/>
          <w:szCs w:val="24"/>
        </w:rPr>
        <w:t>BIT. If these measures qualify for the fast track, no EAN</w:t>
      </w:r>
      <w:r w:rsidR="0018656B">
        <w:rPr>
          <w:rFonts w:cstheme="minorHAnsi"/>
          <w:sz w:val="24"/>
          <w:szCs w:val="24"/>
        </w:rPr>
        <w:t>D</w:t>
      </w:r>
      <w:r w:rsidRPr="001B074F">
        <w:rPr>
          <w:rFonts w:cstheme="minorHAnsi"/>
          <w:sz w:val="24"/>
          <w:szCs w:val="24"/>
        </w:rPr>
        <w:t xml:space="preserve">CB </w:t>
      </w:r>
      <w:r>
        <w:rPr>
          <w:rFonts w:cstheme="minorHAnsi"/>
          <w:sz w:val="24"/>
          <w:szCs w:val="24"/>
        </w:rPr>
        <w:t xml:space="preserve">validation </w:t>
      </w:r>
      <w:r w:rsidRPr="001B074F">
        <w:rPr>
          <w:rFonts w:cstheme="minorHAnsi"/>
          <w:sz w:val="24"/>
          <w:szCs w:val="24"/>
        </w:rPr>
        <w:t>is required</w:t>
      </w:r>
      <w:r w:rsidR="00F97169">
        <w:rPr>
          <w:rFonts w:cstheme="minorHAnsi"/>
          <w:sz w:val="24"/>
          <w:szCs w:val="24"/>
        </w:rPr>
        <w:t xml:space="preserve">. </w:t>
      </w:r>
      <w:r>
        <w:rPr>
          <w:rFonts w:cstheme="minorHAnsi"/>
          <w:sz w:val="24"/>
          <w:szCs w:val="24"/>
        </w:rPr>
        <w:t>NQRPs</w:t>
      </w:r>
      <w:r w:rsidRPr="001B074F">
        <w:rPr>
          <w:rFonts w:cstheme="minorHAnsi"/>
          <w:sz w:val="24"/>
          <w:szCs w:val="24"/>
        </w:rPr>
        <w:t xml:space="preserve"> measures that go down the full route require an EAN</w:t>
      </w:r>
      <w:r w:rsidR="0018656B">
        <w:rPr>
          <w:rFonts w:cstheme="minorHAnsi"/>
          <w:sz w:val="24"/>
          <w:szCs w:val="24"/>
        </w:rPr>
        <w:t>D</w:t>
      </w:r>
      <w:r w:rsidRPr="001B074F">
        <w:rPr>
          <w:rFonts w:cstheme="minorHAnsi"/>
          <w:sz w:val="24"/>
          <w:szCs w:val="24"/>
        </w:rPr>
        <w:t xml:space="preserve">CB </w:t>
      </w:r>
      <w:r>
        <w:rPr>
          <w:rFonts w:cstheme="minorHAnsi"/>
          <w:sz w:val="24"/>
          <w:szCs w:val="24"/>
        </w:rPr>
        <w:t xml:space="preserve">figure </w:t>
      </w:r>
      <w:r w:rsidRPr="001B074F">
        <w:rPr>
          <w:rFonts w:cstheme="minorHAnsi"/>
          <w:sz w:val="24"/>
          <w:szCs w:val="24"/>
        </w:rPr>
        <w:t xml:space="preserve">to be validated. As noted above, all measures that go beyond minimum EU requirements are in scope of </w:t>
      </w:r>
      <w:r>
        <w:rPr>
          <w:rFonts w:cstheme="minorHAnsi"/>
          <w:sz w:val="24"/>
          <w:szCs w:val="24"/>
        </w:rPr>
        <w:t xml:space="preserve">the </w:t>
      </w:r>
      <w:r w:rsidRPr="001B074F">
        <w:rPr>
          <w:rFonts w:cstheme="minorHAnsi"/>
          <w:sz w:val="24"/>
          <w:szCs w:val="24"/>
        </w:rPr>
        <w:t>BIT.</w:t>
      </w:r>
    </w:p>
    <w:p w:rsidR="00BC6B55" w:rsidRPr="001B074F" w:rsidRDefault="00BC6B55" w:rsidP="00BC6B55">
      <w:pPr>
        <w:rPr>
          <w:rFonts w:cstheme="minorHAnsi"/>
          <w:sz w:val="24"/>
          <w:szCs w:val="24"/>
        </w:rPr>
      </w:pPr>
      <w:r w:rsidRPr="001B074F">
        <w:rPr>
          <w:rFonts w:cstheme="minorHAnsi"/>
          <w:sz w:val="24"/>
          <w:szCs w:val="24"/>
        </w:rPr>
        <w:lastRenderedPageBreak/>
        <w:t>For these measures, two EAN</w:t>
      </w:r>
      <w:r w:rsidR="0018656B">
        <w:rPr>
          <w:rFonts w:cstheme="minorHAnsi"/>
          <w:sz w:val="24"/>
          <w:szCs w:val="24"/>
        </w:rPr>
        <w:t>D</w:t>
      </w:r>
      <w:r w:rsidRPr="001B074F">
        <w:rPr>
          <w:rFonts w:cstheme="minorHAnsi"/>
          <w:sz w:val="24"/>
          <w:szCs w:val="24"/>
        </w:rPr>
        <w:t>CBs will be req</w:t>
      </w:r>
      <w:r>
        <w:rPr>
          <w:rFonts w:cstheme="minorHAnsi"/>
          <w:sz w:val="24"/>
          <w:szCs w:val="24"/>
        </w:rPr>
        <w:t xml:space="preserve">uired: one relating to the gold </w:t>
      </w:r>
      <w:r w:rsidRPr="001B074F">
        <w:rPr>
          <w:rFonts w:cstheme="minorHAnsi"/>
          <w:sz w:val="24"/>
          <w:szCs w:val="24"/>
        </w:rPr>
        <w:t xml:space="preserve">plating part of the measure, which will be scored for </w:t>
      </w:r>
      <w:r>
        <w:rPr>
          <w:rFonts w:cstheme="minorHAnsi"/>
          <w:sz w:val="24"/>
          <w:szCs w:val="24"/>
        </w:rPr>
        <w:t xml:space="preserve">the </w:t>
      </w:r>
      <w:r w:rsidRPr="001B074F">
        <w:rPr>
          <w:rFonts w:cstheme="minorHAnsi"/>
          <w:sz w:val="24"/>
          <w:szCs w:val="24"/>
        </w:rPr>
        <w:t xml:space="preserve">BIT, and one relating to the rest of the measure, which will be reported but not scored for </w:t>
      </w:r>
      <w:r>
        <w:rPr>
          <w:rFonts w:cstheme="minorHAnsi"/>
          <w:sz w:val="24"/>
          <w:szCs w:val="24"/>
        </w:rPr>
        <w:t xml:space="preserve">the </w:t>
      </w:r>
      <w:r w:rsidRPr="001B074F">
        <w:rPr>
          <w:rFonts w:cstheme="minorHAnsi"/>
          <w:sz w:val="24"/>
          <w:szCs w:val="24"/>
        </w:rPr>
        <w:t>BIT. The same appli</w:t>
      </w:r>
      <w:r>
        <w:rPr>
          <w:rFonts w:cstheme="minorHAnsi"/>
          <w:sz w:val="24"/>
          <w:szCs w:val="24"/>
        </w:rPr>
        <w:t xml:space="preserve">es to measures that remove gold </w:t>
      </w:r>
      <w:r w:rsidRPr="001B074F">
        <w:rPr>
          <w:rFonts w:cstheme="minorHAnsi"/>
          <w:sz w:val="24"/>
          <w:szCs w:val="24"/>
        </w:rPr>
        <w:t>plating and implement other EU requirements in a minimum way, unless it qualifies for the fast track. In the latter case, the measure will be treated in the same way as if the mea</w:t>
      </w:r>
      <w:r>
        <w:rPr>
          <w:rFonts w:cstheme="minorHAnsi"/>
          <w:sz w:val="24"/>
          <w:szCs w:val="24"/>
        </w:rPr>
        <w:t xml:space="preserve">sure only removes existing gold </w:t>
      </w:r>
      <w:r w:rsidRPr="001B074F">
        <w:rPr>
          <w:rFonts w:cstheme="minorHAnsi"/>
          <w:sz w:val="24"/>
          <w:szCs w:val="24"/>
        </w:rPr>
        <w:t>plating. The requirement then is to produce an EAN</w:t>
      </w:r>
      <w:r w:rsidR="0018656B">
        <w:rPr>
          <w:rFonts w:cstheme="minorHAnsi"/>
          <w:sz w:val="24"/>
          <w:szCs w:val="24"/>
        </w:rPr>
        <w:t>D</w:t>
      </w:r>
      <w:r w:rsidRPr="001B074F">
        <w:rPr>
          <w:rFonts w:cstheme="minorHAnsi"/>
          <w:sz w:val="24"/>
          <w:szCs w:val="24"/>
        </w:rPr>
        <w:t xml:space="preserve">CB </w:t>
      </w:r>
      <w:r>
        <w:rPr>
          <w:rFonts w:cstheme="minorHAnsi"/>
          <w:sz w:val="24"/>
          <w:szCs w:val="24"/>
        </w:rPr>
        <w:t xml:space="preserve">figure for the removal of the gold </w:t>
      </w:r>
      <w:r w:rsidRPr="001B074F">
        <w:rPr>
          <w:rFonts w:cstheme="minorHAnsi"/>
          <w:sz w:val="24"/>
          <w:szCs w:val="24"/>
        </w:rPr>
        <w:t xml:space="preserve">plating, to be scored in </w:t>
      </w:r>
      <w:r>
        <w:rPr>
          <w:rFonts w:cstheme="minorHAnsi"/>
          <w:sz w:val="24"/>
          <w:szCs w:val="24"/>
        </w:rPr>
        <w:t xml:space="preserve">the </w:t>
      </w:r>
      <w:r w:rsidRPr="001B074F">
        <w:rPr>
          <w:rFonts w:cstheme="minorHAnsi"/>
          <w:sz w:val="24"/>
          <w:szCs w:val="24"/>
        </w:rPr>
        <w:t xml:space="preserve">BIT. </w:t>
      </w:r>
    </w:p>
    <w:p w:rsidR="00BC6B55" w:rsidRPr="001B074F" w:rsidRDefault="00BC6B55" w:rsidP="00BC6B55">
      <w:pPr>
        <w:rPr>
          <w:rFonts w:cstheme="minorHAnsi"/>
          <w:sz w:val="24"/>
          <w:szCs w:val="24"/>
          <w:u w:val="single"/>
        </w:rPr>
      </w:pPr>
      <w:r w:rsidRPr="001B074F">
        <w:rPr>
          <w:rFonts w:cstheme="minorHAnsi"/>
          <w:sz w:val="24"/>
          <w:szCs w:val="24"/>
          <w:u w:val="single"/>
        </w:rPr>
        <w:t>Why are EU measures treated differently to domestic measures?</w:t>
      </w:r>
    </w:p>
    <w:p w:rsidR="00BC6B55" w:rsidRPr="001B074F" w:rsidRDefault="00BC6B55" w:rsidP="00BC6B55">
      <w:pPr>
        <w:autoSpaceDE w:val="0"/>
        <w:autoSpaceDN w:val="0"/>
        <w:adjustRightInd w:val="0"/>
        <w:spacing w:after="0"/>
        <w:rPr>
          <w:rFonts w:cstheme="minorHAnsi"/>
          <w:color w:val="000000"/>
          <w:sz w:val="24"/>
          <w:szCs w:val="24"/>
        </w:rPr>
      </w:pPr>
      <w:r w:rsidRPr="001B074F">
        <w:rPr>
          <w:rFonts w:cstheme="minorHAnsi"/>
          <w:color w:val="000000"/>
          <w:sz w:val="24"/>
          <w:szCs w:val="24"/>
        </w:rPr>
        <w:t xml:space="preserve">Measures that implement EU measures in the minimum way that is compliant with EU law are out of scope because departments have no discretion over this – as a rule of thumb, to ‘do nothing’ would lead to the UK being </w:t>
      </w:r>
      <w:r>
        <w:rPr>
          <w:rFonts w:cstheme="minorHAnsi"/>
          <w:color w:val="000000"/>
          <w:sz w:val="24"/>
          <w:szCs w:val="24"/>
        </w:rPr>
        <w:t>infracted for</w:t>
      </w:r>
      <w:r w:rsidRPr="001B074F">
        <w:rPr>
          <w:rFonts w:cstheme="minorHAnsi"/>
          <w:color w:val="000000"/>
          <w:sz w:val="24"/>
          <w:szCs w:val="24"/>
        </w:rPr>
        <w:t xml:space="preserve"> not fulfilling its legal obligation to transpose EU legislation into UK law. It would, therefore, seem unfair to punish or reward departments (through an IN or an OUT on the </w:t>
      </w:r>
      <w:r>
        <w:rPr>
          <w:rFonts w:cstheme="minorHAnsi"/>
          <w:color w:val="000000"/>
          <w:sz w:val="24"/>
          <w:szCs w:val="24"/>
        </w:rPr>
        <w:t xml:space="preserve">BIT </w:t>
      </w:r>
      <w:r w:rsidRPr="001B074F">
        <w:rPr>
          <w:rFonts w:cstheme="minorHAnsi"/>
          <w:color w:val="000000"/>
          <w:sz w:val="24"/>
          <w:szCs w:val="24"/>
        </w:rPr>
        <w:t>account) for this. Similarly, impacts relating to where implementation goes beyond the minimum necessary should be scored because the department is exercising its discretion in doing this. This</w:t>
      </w:r>
      <w:r>
        <w:rPr>
          <w:rFonts w:cstheme="minorHAnsi"/>
          <w:color w:val="000000"/>
          <w:sz w:val="24"/>
          <w:szCs w:val="24"/>
        </w:rPr>
        <w:t xml:space="preserve"> provides </w:t>
      </w:r>
      <w:r w:rsidRPr="001B074F">
        <w:rPr>
          <w:rFonts w:cstheme="minorHAnsi"/>
          <w:color w:val="000000"/>
          <w:sz w:val="24"/>
          <w:szCs w:val="24"/>
        </w:rPr>
        <w:t xml:space="preserve">departments </w:t>
      </w:r>
      <w:r>
        <w:rPr>
          <w:rFonts w:cstheme="minorHAnsi"/>
          <w:color w:val="000000"/>
          <w:sz w:val="24"/>
          <w:szCs w:val="24"/>
        </w:rPr>
        <w:t>with an incentive</w:t>
      </w:r>
      <w:r w:rsidRPr="001B074F">
        <w:rPr>
          <w:rFonts w:cstheme="minorHAnsi"/>
          <w:color w:val="000000"/>
          <w:sz w:val="24"/>
          <w:szCs w:val="24"/>
        </w:rPr>
        <w:t xml:space="preserve"> to </w:t>
      </w:r>
      <w:r>
        <w:rPr>
          <w:rFonts w:cstheme="minorHAnsi"/>
          <w:color w:val="000000"/>
          <w:sz w:val="24"/>
          <w:szCs w:val="24"/>
        </w:rPr>
        <w:t xml:space="preserve">avoid gold plating EU law, thus contributing to </w:t>
      </w:r>
      <w:r w:rsidRPr="001B074F">
        <w:rPr>
          <w:rFonts w:cstheme="minorHAnsi"/>
          <w:color w:val="000000"/>
          <w:sz w:val="24"/>
          <w:szCs w:val="24"/>
        </w:rPr>
        <w:t xml:space="preserve">achieve overall government </w:t>
      </w:r>
      <w:r>
        <w:rPr>
          <w:rFonts w:cstheme="minorHAnsi"/>
          <w:color w:val="000000"/>
          <w:sz w:val="24"/>
          <w:szCs w:val="24"/>
        </w:rPr>
        <w:t>deregulatory objective</w:t>
      </w:r>
      <w:r w:rsidRPr="001B074F">
        <w:rPr>
          <w:rFonts w:cstheme="minorHAnsi"/>
          <w:color w:val="000000"/>
          <w:sz w:val="24"/>
          <w:szCs w:val="24"/>
        </w:rPr>
        <w:t>.</w:t>
      </w:r>
    </w:p>
    <w:p w:rsidR="00BC6B55" w:rsidRPr="001B074F" w:rsidRDefault="00BC6B55" w:rsidP="00BC6B55">
      <w:pPr>
        <w:autoSpaceDE w:val="0"/>
        <w:autoSpaceDN w:val="0"/>
        <w:adjustRightInd w:val="0"/>
        <w:spacing w:after="30"/>
        <w:rPr>
          <w:rFonts w:cstheme="minorHAnsi"/>
          <w:color w:val="000000"/>
          <w:sz w:val="24"/>
          <w:szCs w:val="24"/>
        </w:rPr>
      </w:pPr>
    </w:p>
    <w:p w:rsidR="00BC6B55" w:rsidRPr="001B074F" w:rsidRDefault="00BC6B55" w:rsidP="00BC6B55">
      <w:pPr>
        <w:autoSpaceDE w:val="0"/>
        <w:autoSpaceDN w:val="0"/>
        <w:adjustRightInd w:val="0"/>
        <w:spacing w:after="30"/>
        <w:rPr>
          <w:rFonts w:cstheme="minorHAnsi"/>
          <w:color w:val="000000"/>
          <w:sz w:val="24"/>
          <w:szCs w:val="24"/>
        </w:rPr>
      </w:pPr>
      <w:r w:rsidRPr="001B074F">
        <w:rPr>
          <w:rFonts w:cstheme="minorHAnsi"/>
          <w:color w:val="000000"/>
          <w:sz w:val="24"/>
          <w:szCs w:val="24"/>
        </w:rPr>
        <w:t>The requirement to produce</w:t>
      </w:r>
      <w:r>
        <w:rPr>
          <w:rFonts w:cstheme="minorHAnsi"/>
          <w:color w:val="000000"/>
          <w:sz w:val="24"/>
          <w:szCs w:val="24"/>
        </w:rPr>
        <w:t xml:space="preserve"> an impact assessment</w:t>
      </w:r>
      <w:r w:rsidRPr="001B074F">
        <w:rPr>
          <w:rFonts w:cstheme="minorHAnsi"/>
          <w:color w:val="000000"/>
          <w:sz w:val="24"/>
          <w:szCs w:val="24"/>
        </w:rPr>
        <w:t xml:space="preserve"> for out of scope EU measures, </w:t>
      </w:r>
      <w:r>
        <w:rPr>
          <w:rFonts w:cstheme="minorHAnsi"/>
          <w:color w:val="000000"/>
          <w:sz w:val="24"/>
          <w:szCs w:val="24"/>
        </w:rPr>
        <w:t>in order for the RPC to validate the EAN</w:t>
      </w:r>
      <w:r w:rsidR="0018656B">
        <w:rPr>
          <w:rFonts w:cstheme="minorHAnsi"/>
          <w:color w:val="000000"/>
          <w:sz w:val="24"/>
          <w:szCs w:val="24"/>
        </w:rPr>
        <w:t>D</w:t>
      </w:r>
      <w:r>
        <w:rPr>
          <w:rFonts w:cstheme="minorHAnsi"/>
          <w:color w:val="000000"/>
          <w:sz w:val="24"/>
          <w:szCs w:val="24"/>
        </w:rPr>
        <w:t>CB figure</w:t>
      </w:r>
      <w:r w:rsidRPr="001B074F">
        <w:rPr>
          <w:rFonts w:cstheme="minorHAnsi"/>
          <w:color w:val="000000"/>
          <w:sz w:val="24"/>
          <w:szCs w:val="24"/>
        </w:rPr>
        <w:t xml:space="preserve">, reflects broader government interest in recording the regulatory impact of measures that originate from the EU. </w:t>
      </w:r>
    </w:p>
    <w:p w:rsidR="00BC6B55" w:rsidRPr="001B074F" w:rsidRDefault="00BC6B55" w:rsidP="00BC6B55">
      <w:pPr>
        <w:spacing w:after="0"/>
        <w:rPr>
          <w:rFonts w:eastAsia="Times New Roman" w:cstheme="minorHAnsi"/>
          <w:sz w:val="24"/>
          <w:szCs w:val="24"/>
          <w:u w:val="single"/>
          <w:lang w:eastAsia="en-GB"/>
        </w:rPr>
      </w:pPr>
    </w:p>
    <w:p w:rsidR="00BC6B55" w:rsidRPr="00330EF0" w:rsidRDefault="00BC6B55" w:rsidP="00BC6B55">
      <w:pPr>
        <w:autoSpaceDE w:val="0"/>
        <w:autoSpaceDN w:val="0"/>
        <w:adjustRightInd w:val="0"/>
        <w:spacing w:after="30"/>
        <w:rPr>
          <w:rFonts w:cstheme="minorHAnsi"/>
          <w:color w:val="000000"/>
          <w:sz w:val="24"/>
          <w:szCs w:val="24"/>
          <w:u w:val="single"/>
        </w:rPr>
      </w:pPr>
      <w:r w:rsidRPr="00330EF0">
        <w:rPr>
          <w:rFonts w:cstheme="minorHAnsi"/>
          <w:color w:val="000000"/>
          <w:sz w:val="24"/>
          <w:szCs w:val="24"/>
          <w:u w:val="single"/>
        </w:rPr>
        <w:t>Impact assessment methodology for EU measures</w:t>
      </w:r>
    </w:p>
    <w:p w:rsidR="00BC6B55" w:rsidRPr="001B074F" w:rsidRDefault="00BC6B55" w:rsidP="00BC6B55">
      <w:pPr>
        <w:autoSpaceDE w:val="0"/>
        <w:autoSpaceDN w:val="0"/>
        <w:adjustRightInd w:val="0"/>
        <w:spacing w:after="0"/>
        <w:rPr>
          <w:rFonts w:cstheme="minorHAnsi"/>
          <w:color w:val="000000"/>
          <w:sz w:val="24"/>
          <w:szCs w:val="24"/>
        </w:rPr>
      </w:pPr>
    </w:p>
    <w:p w:rsidR="00BC6B55" w:rsidRPr="00BC738A" w:rsidRDefault="00BC6B55" w:rsidP="00BC6B55">
      <w:pPr>
        <w:autoSpaceDE w:val="0"/>
        <w:autoSpaceDN w:val="0"/>
        <w:adjustRightInd w:val="0"/>
        <w:spacing w:after="0"/>
        <w:rPr>
          <w:rFonts w:cstheme="minorHAnsi"/>
          <w:b/>
          <w:sz w:val="24"/>
          <w:szCs w:val="24"/>
        </w:rPr>
      </w:pPr>
      <w:r>
        <w:rPr>
          <w:rFonts w:cstheme="minorHAnsi"/>
          <w:color w:val="000000"/>
          <w:sz w:val="24"/>
          <w:szCs w:val="24"/>
        </w:rPr>
        <w:t>T</w:t>
      </w:r>
      <w:r w:rsidRPr="001B074F">
        <w:rPr>
          <w:rFonts w:cstheme="minorHAnsi"/>
          <w:color w:val="000000"/>
          <w:sz w:val="24"/>
          <w:szCs w:val="24"/>
        </w:rPr>
        <w:t xml:space="preserve">he BRFM provides some guidance on the assessment of EU measures. The impact should be assessed in the same way as for domestic measures. There is, however, an exception to this in relation to </w:t>
      </w:r>
      <w:r w:rsidRPr="001B074F">
        <w:rPr>
          <w:rFonts w:cstheme="minorHAnsi"/>
          <w:color w:val="000000"/>
          <w:sz w:val="24"/>
          <w:szCs w:val="24"/>
          <w:u w:val="single"/>
        </w:rPr>
        <w:t>counterfactuals</w:t>
      </w:r>
      <w:r w:rsidRPr="001B074F">
        <w:rPr>
          <w:rFonts w:cstheme="minorHAnsi"/>
          <w:color w:val="000000"/>
          <w:sz w:val="24"/>
          <w:szCs w:val="24"/>
        </w:rPr>
        <w:t xml:space="preserve"> (or baselines) for the calculation of the EAN</w:t>
      </w:r>
      <w:r w:rsidR="0018656B">
        <w:rPr>
          <w:rFonts w:cstheme="minorHAnsi"/>
          <w:color w:val="000000"/>
          <w:sz w:val="24"/>
          <w:szCs w:val="24"/>
        </w:rPr>
        <w:t>D</w:t>
      </w:r>
      <w:r w:rsidRPr="001B074F">
        <w:rPr>
          <w:rFonts w:cstheme="minorHAnsi"/>
          <w:color w:val="000000"/>
          <w:sz w:val="24"/>
          <w:szCs w:val="24"/>
        </w:rPr>
        <w:t>CB for certain EU measures</w:t>
      </w:r>
      <w:r w:rsidRPr="00710663">
        <w:rPr>
          <w:rFonts w:cstheme="minorHAnsi"/>
          <w:color w:val="000000" w:themeColor="text1"/>
          <w:sz w:val="24"/>
          <w:szCs w:val="24"/>
        </w:rPr>
        <w:t xml:space="preserve">. This is explained in the </w:t>
      </w:r>
      <w:hyperlink w:anchor="Counterfactuals" w:history="1">
        <w:r w:rsidRPr="00BC738A">
          <w:rPr>
            <w:rStyle w:val="Hyperlink"/>
            <w:rFonts w:cstheme="minorHAnsi"/>
            <w:sz w:val="24"/>
            <w:szCs w:val="24"/>
          </w:rPr>
          <w:t>‘Counterfactual’ section</w:t>
        </w:r>
      </w:hyperlink>
      <w:r w:rsidRPr="00710663">
        <w:rPr>
          <w:rFonts w:cstheme="minorHAnsi"/>
          <w:color w:val="000000" w:themeColor="text1"/>
          <w:sz w:val="24"/>
          <w:szCs w:val="24"/>
        </w:rPr>
        <w:t xml:space="preserve"> of this guidance</w:t>
      </w:r>
      <w:r w:rsidR="00BC738A">
        <w:rPr>
          <w:rFonts w:cstheme="minorHAnsi"/>
          <w:sz w:val="24"/>
          <w:szCs w:val="24"/>
        </w:rPr>
        <w:t>.</w:t>
      </w:r>
    </w:p>
    <w:p w:rsidR="00BC6B55" w:rsidRPr="001B074F" w:rsidRDefault="00BC6B55" w:rsidP="00BC6B55">
      <w:pPr>
        <w:autoSpaceDE w:val="0"/>
        <w:autoSpaceDN w:val="0"/>
        <w:adjustRightInd w:val="0"/>
        <w:spacing w:after="0"/>
        <w:ind w:left="360"/>
        <w:rPr>
          <w:rFonts w:cstheme="minorHAnsi"/>
          <w:i/>
          <w:color w:val="000000"/>
          <w:sz w:val="24"/>
          <w:szCs w:val="24"/>
        </w:rPr>
      </w:pPr>
    </w:p>
    <w:p w:rsidR="00BC6B55" w:rsidRDefault="00BC6B55" w:rsidP="00BC6B55">
      <w:pPr>
        <w:spacing w:after="0"/>
        <w:rPr>
          <w:rFonts w:eastAsia="Times New Roman" w:cstheme="minorHAnsi"/>
          <w:sz w:val="24"/>
          <w:szCs w:val="24"/>
          <w:u w:val="single"/>
          <w:lang w:eastAsia="en-GB"/>
        </w:rPr>
      </w:pPr>
      <w:r w:rsidRPr="001B074F">
        <w:rPr>
          <w:rFonts w:cstheme="minorHAnsi"/>
          <w:color w:val="000000"/>
          <w:sz w:val="24"/>
          <w:szCs w:val="24"/>
        </w:rPr>
        <w:t xml:space="preserve">The assessment of </w:t>
      </w:r>
      <w:r w:rsidRPr="001B074F">
        <w:rPr>
          <w:rFonts w:cstheme="minorHAnsi"/>
          <w:color w:val="000000"/>
          <w:sz w:val="24"/>
          <w:szCs w:val="24"/>
          <w:u w:val="single"/>
        </w:rPr>
        <w:t>directly applicable</w:t>
      </w:r>
      <w:r w:rsidRPr="001B074F">
        <w:rPr>
          <w:rFonts w:cstheme="minorHAnsi"/>
          <w:color w:val="000000"/>
          <w:sz w:val="24"/>
          <w:szCs w:val="24"/>
        </w:rPr>
        <w:t xml:space="preserve"> EU regulations conforms to the standard approach for counterfactuals. In a pure ‘</w:t>
      </w:r>
      <w:proofErr w:type="gramStart"/>
      <w:r w:rsidRPr="001B074F">
        <w:rPr>
          <w:rFonts w:cstheme="minorHAnsi"/>
          <w:color w:val="000000"/>
          <w:sz w:val="24"/>
          <w:szCs w:val="24"/>
        </w:rPr>
        <w:t>do</w:t>
      </w:r>
      <w:proofErr w:type="gramEnd"/>
      <w:r w:rsidRPr="001B074F">
        <w:rPr>
          <w:rFonts w:cstheme="minorHAnsi"/>
          <w:color w:val="000000"/>
          <w:sz w:val="24"/>
          <w:szCs w:val="24"/>
        </w:rPr>
        <w:t xml:space="preserve"> nothing’</w:t>
      </w:r>
      <w:r>
        <w:rPr>
          <w:rFonts w:cstheme="minorHAnsi"/>
          <w:color w:val="000000"/>
          <w:sz w:val="24"/>
          <w:szCs w:val="24"/>
        </w:rPr>
        <w:t xml:space="preserve"> scenario</w:t>
      </w:r>
      <w:r w:rsidRPr="001B074F">
        <w:rPr>
          <w:rFonts w:cstheme="minorHAnsi"/>
          <w:color w:val="000000"/>
          <w:sz w:val="24"/>
          <w:szCs w:val="24"/>
        </w:rPr>
        <w:t>, the directly applicable EU regulation comes into force in the UK. This should, therefore, be assumed in the counterfactual.</w:t>
      </w:r>
      <w:r w:rsidRPr="001B074F">
        <w:rPr>
          <w:rStyle w:val="FootnoteReference"/>
          <w:rFonts w:cstheme="minorHAnsi"/>
          <w:color w:val="000000"/>
          <w:sz w:val="24"/>
          <w:szCs w:val="24"/>
        </w:rPr>
        <w:footnoteReference w:id="9"/>
      </w:r>
      <w:r w:rsidR="00F97169">
        <w:rPr>
          <w:rFonts w:cstheme="minorHAnsi"/>
          <w:color w:val="000000"/>
          <w:sz w:val="24"/>
          <w:szCs w:val="24"/>
        </w:rPr>
        <w:t xml:space="preserve"> The BRFM states that ‘directly applicable European Regulations that don’t require any domestic implementation are outside of the framework’ (paragraph 1.9.2).</w:t>
      </w:r>
    </w:p>
    <w:p w:rsidR="00BC6B55" w:rsidRDefault="00BC6B55" w:rsidP="00BC6B55">
      <w:pPr>
        <w:spacing w:after="0"/>
        <w:rPr>
          <w:rFonts w:eastAsia="Times New Roman" w:cstheme="minorHAnsi"/>
          <w:sz w:val="24"/>
          <w:szCs w:val="24"/>
          <w:u w:val="single"/>
          <w:lang w:eastAsia="en-GB"/>
        </w:rPr>
      </w:pPr>
    </w:p>
    <w:p w:rsidR="00A50BB1" w:rsidRDefault="00A50BB1" w:rsidP="00BC6B55">
      <w:pPr>
        <w:spacing w:after="0"/>
        <w:rPr>
          <w:rFonts w:eastAsia="Times New Roman" w:cstheme="minorHAnsi"/>
          <w:b/>
          <w:sz w:val="24"/>
          <w:szCs w:val="24"/>
          <w:lang w:eastAsia="en-GB"/>
        </w:rPr>
      </w:pPr>
    </w:p>
    <w:p w:rsidR="00BC6B55" w:rsidRPr="00330EF0" w:rsidRDefault="00976D3F" w:rsidP="00BC6B55">
      <w:pPr>
        <w:spacing w:after="0"/>
        <w:rPr>
          <w:rFonts w:eastAsia="Times New Roman" w:cstheme="minorHAnsi"/>
          <w:b/>
          <w:sz w:val="24"/>
          <w:szCs w:val="24"/>
          <w:lang w:eastAsia="en-GB"/>
        </w:rPr>
      </w:pPr>
      <w:r>
        <w:rPr>
          <w:rFonts w:eastAsia="Times New Roman" w:cstheme="minorHAnsi"/>
          <w:b/>
          <w:sz w:val="24"/>
          <w:szCs w:val="24"/>
          <w:lang w:eastAsia="en-GB"/>
        </w:rPr>
        <w:lastRenderedPageBreak/>
        <w:t>5.5</w:t>
      </w:r>
      <w:r w:rsidR="00BC6B55" w:rsidRPr="00330EF0">
        <w:rPr>
          <w:rFonts w:eastAsia="Times New Roman" w:cstheme="minorHAnsi"/>
          <w:b/>
          <w:sz w:val="24"/>
          <w:szCs w:val="24"/>
          <w:lang w:eastAsia="en-GB"/>
        </w:rPr>
        <w:t>.1 ‘Gold Plating’ (Going beyond minimum requirements)</w:t>
      </w:r>
    </w:p>
    <w:p w:rsidR="00BC6B55" w:rsidRPr="001B074F" w:rsidRDefault="00BC6B55" w:rsidP="00BC6B55">
      <w:pPr>
        <w:spacing w:after="0"/>
        <w:rPr>
          <w:rFonts w:eastAsia="Times New Roman" w:cstheme="minorHAnsi"/>
          <w:b/>
          <w:sz w:val="24"/>
          <w:szCs w:val="24"/>
          <w:u w:val="single"/>
          <w:lang w:eastAsia="en-GB"/>
        </w:rPr>
      </w:pPr>
    </w:p>
    <w:p w:rsidR="00BC6B55" w:rsidRDefault="00BC6B55" w:rsidP="00BC6B55">
      <w:pPr>
        <w:spacing w:after="0"/>
        <w:rPr>
          <w:rFonts w:eastAsia="Times New Roman" w:cstheme="minorHAnsi"/>
          <w:sz w:val="24"/>
          <w:szCs w:val="24"/>
          <w:lang w:eastAsia="en-GB"/>
        </w:rPr>
      </w:pPr>
      <w:r>
        <w:rPr>
          <w:rFonts w:eastAsia="Times New Roman" w:cstheme="minorHAnsi"/>
          <w:sz w:val="24"/>
          <w:szCs w:val="24"/>
          <w:lang w:eastAsia="en-GB"/>
        </w:rPr>
        <w:t>W</w:t>
      </w:r>
      <w:r w:rsidRPr="001B074F">
        <w:rPr>
          <w:rFonts w:eastAsia="Times New Roman" w:cstheme="minorHAnsi"/>
          <w:sz w:val="24"/>
          <w:szCs w:val="24"/>
          <w:lang w:eastAsia="en-GB"/>
        </w:rPr>
        <w:t>here measures are gold plated, as defined in the Transposition Guidance</w:t>
      </w:r>
      <w:r>
        <w:rPr>
          <w:rFonts w:eastAsia="Times New Roman" w:cstheme="minorHAnsi"/>
          <w:sz w:val="24"/>
          <w:szCs w:val="24"/>
          <w:lang w:eastAsia="en-GB"/>
        </w:rPr>
        <w:t xml:space="preserve">, </w:t>
      </w:r>
      <w:r w:rsidRPr="001B074F">
        <w:rPr>
          <w:rFonts w:eastAsia="Times New Roman" w:cstheme="minorHAnsi"/>
          <w:sz w:val="24"/>
          <w:szCs w:val="24"/>
          <w:lang w:eastAsia="en-GB"/>
        </w:rPr>
        <w:t xml:space="preserve">the difference between the level of the domestic regulations and the level required by the EU/International regulations is treated as an IN. </w:t>
      </w:r>
    </w:p>
    <w:p w:rsidR="00BC6B55" w:rsidRPr="001B074F" w:rsidRDefault="00BC6B55" w:rsidP="00BC6B55">
      <w:pPr>
        <w:spacing w:after="0"/>
        <w:rPr>
          <w:rFonts w:eastAsia="Times New Roman" w:cstheme="minorHAnsi"/>
          <w:sz w:val="24"/>
          <w:szCs w:val="24"/>
          <w:lang w:eastAsia="en-GB"/>
        </w:rPr>
      </w:pPr>
    </w:p>
    <w:p w:rsidR="00BC6B55" w:rsidRPr="001B074F" w:rsidRDefault="00BC6B55" w:rsidP="00BC6B55">
      <w:pPr>
        <w:spacing w:after="0"/>
        <w:rPr>
          <w:rFonts w:eastAsia="Times New Roman" w:cstheme="minorHAnsi"/>
          <w:b/>
          <w:sz w:val="24"/>
          <w:szCs w:val="24"/>
          <w:lang w:eastAsia="en-GB"/>
        </w:rPr>
      </w:pPr>
    </w:p>
    <w:p w:rsidR="00BC6B55" w:rsidRDefault="00BC6B55" w:rsidP="00BC6B55">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sz w:val="24"/>
          <w:szCs w:val="24"/>
          <w:lang w:eastAsia="en-GB"/>
        </w:rPr>
      </w:pPr>
      <w:r w:rsidRPr="00330EF0">
        <w:rPr>
          <w:rFonts w:eastAsia="Times New Roman" w:cstheme="minorHAnsi"/>
          <w:b/>
          <w:sz w:val="24"/>
          <w:szCs w:val="24"/>
          <w:lang w:eastAsia="en-GB"/>
        </w:rPr>
        <w:t xml:space="preserve">Payment Surcharges (RPC12-BIS-1461): </w:t>
      </w:r>
      <w:r w:rsidRPr="00330EF0">
        <w:rPr>
          <w:rFonts w:eastAsia="Times New Roman" w:cstheme="minorHAnsi"/>
          <w:sz w:val="24"/>
          <w:szCs w:val="24"/>
          <w:lang w:eastAsia="en-GB"/>
        </w:rPr>
        <w:t>The policy was to ban businesses from charging excessive surcharges for use of debit cards as this was seen as a kind of hidden charge. This was an EU driven policy, but was implemented early. The measure was treated in a similar way to a temporary measure, being considered an IN with a value of its full EANCB, but only for the period between domestic implementation and the implementation date required by the EU. Note that at consultation the costs were not monetised so the IA referred to the policy as ‘zero net costs’. (</w:t>
      </w:r>
      <w:hyperlink r:id="rId54" w:history="1">
        <w:r w:rsidRPr="00330EF0">
          <w:rPr>
            <w:rStyle w:val="Hyperlink"/>
            <w:rFonts w:eastAsia="Times New Roman" w:cstheme="minorHAnsi"/>
            <w:sz w:val="24"/>
            <w:szCs w:val="24"/>
            <w:u w:val="none"/>
            <w:lang w:eastAsia="en-GB"/>
          </w:rPr>
          <w:t>IA (Consultation)</w:t>
        </w:r>
      </w:hyperlink>
      <w:r w:rsidRPr="00330EF0">
        <w:rPr>
          <w:rFonts w:eastAsia="Times New Roman" w:cstheme="minorHAnsi"/>
          <w:sz w:val="24"/>
          <w:szCs w:val="24"/>
          <w:lang w:eastAsia="en-GB"/>
        </w:rPr>
        <w:t>)</w:t>
      </w:r>
    </w:p>
    <w:p w:rsidR="00BC6B55" w:rsidRPr="00330EF0" w:rsidRDefault="00BC6B55" w:rsidP="00BC6B55">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sz w:val="24"/>
          <w:szCs w:val="24"/>
          <w:lang w:eastAsia="en-GB"/>
        </w:rPr>
      </w:pPr>
    </w:p>
    <w:p w:rsidR="00BC6B55" w:rsidRPr="00330EF0" w:rsidRDefault="00BC6B55" w:rsidP="00BC6B55">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rPr>
          <w:rFonts w:eastAsia="Times New Roman" w:cstheme="minorHAnsi"/>
          <w:sz w:val="24"/>
          <w:szCs w:val="24"/>
        </w:rPr>
      </w:pPr>
      <w:r w:rsidRPr="00330EF0">
        <w:rPr>
          <w:rFonts w:eastAsia="Times New Roman" w:cstheme="minorHAnsi"/>
          <w:b/>
          <w:sz w:val="24"/>
          <w:szCs w:val="24"/>
        </w:rPr>
        <w:t xml:space="preserve">Transposition of </w:t>
      </w:r>
      <w:proofErr w:type="spellStart"/>
      <w:r w:rsidRPr="00330EF0">
        <w:rPr>
          <w:rFonts w:eastAsia="Times New Roman" w:cstheme="minorHAnsi"/>
          <w:b/>
          <w:sz w:val="24"/>
          <w:szCs w:val="24"/>
        </w:rPr>
        <w:t>Seveso</w:t>
      </w:r>
      <w:proofErr w:type="spellEnd"/>
      <w:r w:rsidRPr="00330EF0">
        <w:rPr>
          <w:rFonts w:eastAsia="Times New Roman" w:cstheme="minorHAnsi"/>
          <w:b/>
          <w:sz w:val="24"/>
          <w:szCs w:val="24"/>
        </w:rPr>
        <w:t xml:space="preserve"> III Directive into UK Law through COMAH Regulations 2015 (RPC14-HSE-2036)</w:t>
      </w:r>
      <w:r>
        <w:rPr>
          <w:rFonts w:eastAsia="Times New Roman" w:cstheme="minorHAnsi"/>
          <w:b/>
          <w:sz w:val="24"/>
          <w:szCs w:val="24"/>
        </w:rPr>
        <w:t>:</w:t>
      </w:r>
      <w:r w:rsidRPr="00330EF0">
        <w:rPr>
          <w:rFonts w:eastAsia="Times New Roman" w:cstheme="minorHAnsi"/>
          <w:sz w:val="24"/>
          <w:szCs w:val="24"/>
        </w:rPr>
        <w:t xml:space="preserve">  In December 2014 the RPC validated an out of scope EANCB of £3.59 million for the minimum implementation of the Directive and an IN of £0.1 million for the “reviewing and testing of external emergency plans”, which was not required by the Directive.</w:t>
      </w:r>
    </w:p>
    <w:p w:rsidR="00A50BB1" w:rsidRDefault="00A50BB1" w:rsidP="00BC6B55">
      <w:pPr>
        <w:spacing w:after="0"/>
        <w:rPr>
          <w:rFonts w:eastAsia="Times New Roman" w:cstheme="minorHAnsi"/>
          <w:b/>
          <w:sz w:val="24"/>
          <w:szCs w:val="24"/>
          <w:lang w:eastAsia="en-GB"/>
        </w:rPr>
      </w:pPr>
    </w:p>
    <w:p w:rsidR="00BC6B55" w:rsidRPr="00330EF0" w:rsidRDefault="00976D3F" w:rsidP="00BC6B55">
      <w:pPr>
        <w:spacing w:after="0"/>
        <w:rPr>
          <w:rFonts w:eastAsia="Times New Roman" w:cstheme="minorHAnsi"/>
          <w:b/>
          <w:sz w:val="24"/>
          <w:szCs w:val="24"/>
          <w:lang w:eastAsia="en-GB"/>
        </w:rPr>
      </w:pPr>
      <w:r>
        <w:rPr>
          <w:rFonts w:eastAsia="Times New Roman" w:cstheme="minorHAnsi"/>
          <w:b/>
          <w:sz w:val="24"/>
          <w:szCs w:val="24"/>
          <w:lang w:eastAsia="en-GB"/>
        </w:rPr>
        <w:t>5.5</w:t>
      </w:r>
      <w:r w:rsidR="00BC6B55">
        <w:rPr>
          <w:rFonts w:eastAsia="Times New Roman" w:cstheme="minorHAnsi"/>
          <w:b/>
          <w:sz w:val="24"/>
          <w:szCs w:val="24"/>
          <w:lang w:eastAsia="en-GB"/>
        </w:rPr>
        <w:t>.</w:t>
      </w:r>
      <w:r w:rsidR="00BC6B55" w:rsidRPr="00330EF0">
        <w:rPr>
          <w:rFonts w:eastAsia="Times New Roman" w:cstheme="minorHAnsi"/>
          <w:b/>
          <w:sz w:val="24"/>
          <w:szCs w:val="24"/>
          <w:lang w:eastAsia="en-GB"/>
        </w:rPr>
        <w:t>2 Existing Higher Standards</w:t>
      </w:r>
    </w:p>
    <w:p w:rsidR="00BC6B55" w:rsidRPr="001B074F" w:rsidRDefault="00BC6B55" w:rsidP="00BC6B55">
      <w:pPr>
        <w:spacing w:after="0"/>
        <w:rPr>
          <w:rFonts w:eastAsia="Times New Roman" w:cstheme="minorHAnsi"/>
          <w:b/>
          <w:sz w:val="24"/>
          <w:szCs w:val="24"/>
          <w:u w:val="single"/>
          <w:lang w:eastAsia="en-GB"/>
        </w:rPr>
      </w:pPr>
    </w:p>
    <w:p w:rsidR="00BC6B55" w:rsidRPr="001B074F" w:rsidRDefault="00BC6B55" w:rsidP="00BC6B55">
      <w:pPr>
        <w:spacing w:after="0"/>
        <w:rPr>
          <w:rFonts w:eastAsia="Times New Roman" w:cstheme="minorHAnsi"/>
          <w:sz w:val="24"/>
          <w:szCs w:val="24"/>
          <w:lang w:eastAsia="en-GB"/>
        </w:rPr>
      </w:pPr>
      <w:r w:rsidRPr="001B074F">
        <w:rPr>
          <w:rFonts w:eastAsia="Times New Roman" w:cstheme="minorHAnsi"/>
          <w:sz w:val="24"/>
          <w:szCs w:val="24"/>
          <w:lang w:eastAsia="en-GB"/>
        </w:rPr>
        <w:t>EU regulation will often be passed in an area already covered by domestic regulation. If the existing standards are higher than those set out by the EU and are maintained</w:t>
      </w:r>
      <w:r>
        <w:rPr>
          <w:rFonts w:eastAsia="Times New Roman" w:cstheme="minorHAnsi"/>
          <w:sz w:val="24"/>
          <w:szCs w:val="24"/>
          <w:lang w:eastAsia="en-GB"/>
        </w:rPr>
        <w:t>,</w:t>
      </w:r>
      <w:r w:rsidRPr="001B074F">
        <w:rPr>
          <w:rFonts w:eastAsia="Times New Roman" w:cstheme="minorHAnsi"/>
          <w:sz w:val="24"/>
          <w:szCs w:val="24"/>
          <w:lang w:eastAsia="en-GB"/>
        </w:rPr>
        <w:t xml:space="preserve"> then this is </w:t>
      </w:r>
      <w:r>
        <w:rPr>
          <w:rFonts w:eastAsia="Times New Roman" w:cstheme="minorHAnsi"/>
          <w:sz w:val="24"/>
          <w:szCs w:val="24"/>
          <w:lang w:eastAsia="en-GB"/>
        </w:rPr>
        <w:t xml:space="preserve">considered to be </w:t>
      </w:r>
      <w:r w:rsidRPr="001B074F">
        <w:rPr>
          <w:rFonts w:eastAsia="Times New Roman" w:cstheme="minorHAnsi"/>
          <w:sz w:val="24"/>
          <w:szCs w:val="24"/>
          <w:lang w:eastAsia="en-GB"/>
        </w:rPr>
        <w:t xml:space="preserve">gold plating. </w:t>
      </w:r>
      <w:r>
        <w:rPr>
          <w:rFonts w:eastAsia="Times New Roman" w:cstheme="minorHAnsi"/>
          <w:sz w:val="24"/>
          <w:szCs w:val="24"/>
          <w:lang w:eastAsia="en-GB"/>
        </w:rPr>
        <w:t xml:space="preserve">Relative to a do nothing </w:t>
      </w:r>
      <w:r w:rsidRPr="001B074F">
        <w:rPr>
          <w:rFonts w:eastAsia="Times New Roman" w:cstheme="minorHAnsi"/>
          <w:sz w:val="24"/>
          <w:szCs w:val="24"/>
          <w:lang w:eastAsia="en-GB"/>
        </w:rPr>
        <w:t>counterfactual that existing standards are maintained</w:t>
      </w:r>
      <w:r>
        <w:rPr>
          <w:rFonts w:eastAsia="Times New Roman" w:cstheme="minorHAnsi"/>
          <w:sz w:val="24"/>
          <w:szCs w:val="24"/>
          <w:lang w:eastAsia="en-GB"/>
        </w:rPr>
        <w:t>, there are no additional costs and benefits</w:t>
      </w:r>
      <w:r w:rsidRPr="001B074F">
        <w:rPr>
          <w:rFonts w:eastAsia="Times New Roman" w:cstheme="minorHAnsi"/>
          <w:sz w:val="24"/>
          <w:szCs w:val="24"/>
          <w:lang w:eastAsia="en-GB"/>
        </w:rPr>
        <w:t xml:space="preserve">. On this </w:t>
      </w:r>
      <w:r w:rsidRPr="00DA3A35">
        <w:rPr>
          <w:rFonts w:eastAsia="Times New Roman" w:cstheme="minorHAnsi"/>
          <w:sz w:val="24"/>
          <w:szCs w:val="24"/>
          <w:u w:val="single"/>
          <w:lang w:eastAsia="en-GB"/>
        </w:rPr>
        <w:t xml:space="preserve">interpretation of the </w:t>
      </w:r>
      <w:r>
        <w:rPr>
          <w:rFonts w:eastAsia="Times New Roman" w:cstheme="minorHAnsi"/>
          <w:sz w:val="24"/>
          <w:szCs w:val="24"/>
          <w:u w:val="single"/>
          <w:lang w:eastAsia="en-GB"/>
        </w:rPr>
        <w:t>f</w:t>
      </w:r>
      <w:r w:rsidRPr="00DA3A35">
        <w:rPr>
          <w:rFonts w:eastAsia="Times New Roman" w:cstheme="minorHAnsi"/>
          <w:sz w:val="24"/>
          <w:szCs w:val="24"/>
          <w:u w:val="single"/>
          <w:lang w:eastAsia="en-GB"/>
        </w:rPr>
        <w:t>ramework</w:t>
      </w:r>
      <w:r w:rsidRPr="001B074F">
        <w:rPr>
          <w:rFonts w:eastAsia="Times New Roman" w:cstheme="minorHAnsi"/>
          <w:sz w:val="24"/>
          <w:szCs w:val="24"/>
          <w:lang w:eastAsia="en-GB"/>
        </w:rPr>
        <w:t xml:space="preserve">, the measure </w:t>
      </w:r>
      <w:r>
        <w:rPr>
          <w:rFonts w:eastAsia="Times New Roman" w:cstheme="minorHAnsi"/>
          <w:sz w:val="24"/>
          <w:szCs w:val="24"/>
          <w:lang w:eastAsia="en-GB"/>
        </w:rPr>
        <w:t>would, therefore, score as zero</w:t>
      </w:r>
      <w:r w:rsidRPr="001B074F">
        <w:rPr>
          <w:rFonts w:eastAsia="Times New Roman" w:cstheme="minorHAnsi"/>
          <w:sz w:val="24"/>
          <w:szCs w:val="24"/>
          <w:lang w:eastAsia="en-GB"/>
        </w:rPr>
        <w:t xml:space="preserve">. </w:t>
      </w:r>
    </w:p>
    <w:p w:rsidR="00BC6B55" w:rsidRPr="001B074F" w:rsidRDefault="00BC6B55" w:rsidP="00BC6B55">
      <w:pPr>
        <w:spacing w:after="0"/>
        <w:rPr>
          <w:rFonts w:eastAsia="Times New Roman" w:cstheme="minorHAnsi"/>
          <w:sz w:val="24"/>
          <w:szCs w:val="24"/>
          <w:lang w:eastAsia="en-GB"/>
        </w:rPr>
      </w:pPr>
    </w:p>
    <w:p w:rsidR="00BC6B55" w:rsidRPr="00330EF0" w:rsidRDefault="00BC6B55" w:rsidP="00BC6B55">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sz w:val="24"/>
          <w:szCs w:val="24"/>
          <w:lang w:eastAsia="en-GB"/>
        </w:rPr>
      </w:pPr>
      <w:proofErr w:type="gramStart"/>
      <w:r w:rsidRPr="00330EF0">
        <w:rPr>
          <w:rFonts w:eastAsia="Times New Roman" w:cstheme="minorHAnsi"/>
          <w:b/>
          <w:sz w:val="24"/>
          <w:szCs w:val="24"/>
          <w:lang w:eastAsia="en-GB"/>
        </w:rPr>
        <w:t>The Motor Vehicles (Driving Licences) (Amendment) (No.?)</w:t>
      </w:r>
      <w:proofErr w:type="gramEnd"/>
      <w:r w:rsidRPr="00330EF0">
        <w:rPr>
          <w:rFonts w:eastAsia="Times New Roman" w:cstheme="minorHAnsi"/>
          <w:b/>
          <w:sz w:val="24"/>
          <w:szCs w:val="24"/>
          <w:lang w:eastAsia="en-GB"/>
        </w:rPr>
        <w:t xml:space="preserve"> Regulations 2012 (“the UK Regulations”) [EPILEPSY] (RPC12-DfT-1533): </w:t>
      </w:r>
      <w:r w:rsidRPr="00330EF0">
        <w:rPr>
          <w:rFonts w:eastAsia="Times New Roman" w:cstheme="minorHAnsi"/>
          <w:sz w:val="24"/>
          <w:szCs w:val="24"/>
          <w:lang w:eastAsia="en-GB"/>
        </w:rPr>
        <w:t>Proposal 4 (relating to “seizures because of physician directed change or withdrawal of medication”) reduced the period after which individuals could resume driving from 12 months to 6 months. The EU minimum standard had been reduced to 3</w:t>
      </w:r>
      <w:r>
        <w:rPr>
          <w:rFonts w:eastAsia="Times New Roman" w:cstheme="minorHAnsi"/>
          <w:sz w:val="24"/>
          <w:szCs w:val="24"/>
          <w:lang w:eastAsia="en-GB"/>
        </w:rPr>
        <w:t xml:space="preserve"> months</w:t>
      </w:r>
      <w:r w:rsidRPr="00330EF0">
        <w:rPr>
          <w:rFonts w:eastAsia="Times New Roman" w:cstheme="minorHAnsi"/>
          <w:sz w:val="24"/>
          <w:szCs w:val="24"/>
          <w:lang w:eastAsia="en-GB"/>
        </w:rPr>
        <w:t xml:space="preserve">. By retaining at above 3 months the policy was gold plating, but this was not scored as an IN as it involved no direct cost to business relative to the </w:t>
      </w:r>
      <w:r>
        <w:rPr>
          <w:rFonts w:eastAsia="Times New Roman" w:cstheme="minorHAnsi"/>
          <w:sz w:val="24"/>
          <w:szCs w:val="24"/>
          <w:lang w:eastAsia="en-GB"/>
        </w:rPr>
        <w:t>higher standards being maintained</w:t>
      </w:r>
      <w:r w:rsidRPr="00330EF0">
        <w:rPr>
          <w:rFonts w:eastAsia="Times New Roman" w:cstheme="minorHAnsi"/>
          <w:sz w:val="24"/>
          <w:szCs w:val="24"/>
          <w:lang w:eastAsia="en-GB"/>
        </w:rPr>
        <w:t xml:space="preserve">. </w:t>
      </w:r>
    </w:p>
    <w:p w:rsidR="00BC6B55" w:rsidRPr="001B074F" w:rsidRDefault="00BC6B55" w:rsidP="00BC6B55">
      <w:pPr>
        <w:spacing w:after="0"/>
        <w:rPr>
          <w:rFonts w:eastAsia="Times New Roman" w:cstheme="minorHAnsi"/>
          <w:sz w:val="24"/>
          <w:szCs w:val="24"/>
          <w:lang w:eastAsia="en-GB"/>
        </w:rPr>
      </w:pPr>
    </w:p>
    <w:p w:rsidR="00BC6B55" w:rsidRPr="001B074F" w:rsidRDefault="00BC6B55" w:rsidP="00BC6B55">
      <w:pPr>
        <w:spacing w:after="0"/>
        <w:rPr>
          <w:rFonts w:eastAsia="Times New Roman" w:cstheme="minorHAnsi"/>
          <w:sz w:val="24"/>
          <w:szCs w:val="24"/>
          <w:lang w:eastAsia="en-GB"/>
        </w:rPr>
      </w:pPr>
      <w:r w:rsidRPr="001B074F">
        <w:rPr>
          <w:rFonts w:eastAsia="Times New Roman" w:cstheme="minorHAnsi"/>
          <w:sz w:val="24"/>
          <w:szCs w:val="24"/>
          <w:lang w:eastAsia="en-GB"/>
        </w:rPr>
        <w:t xml:space="preserve">However, whilst the </w:t>
      </w:r>
      <w:r>
        <w:rPr>
          <w:rFonts w:eastAsia="Times New Roman" w:cstheme="minorHAnsi"/>
          <w:sz w:val="24"/>
          <w:szCs w:val="24"/>
          <w:lang w:eastAsia="en-GB"/>
        </w:rPr>
        <w:t>RPC</w:t>
      </w:r>
      <w:r w:rsidRPr="001B074F">
        <w:rPr>
          <w:rFonts w:eastAsia="Times New Roman" w:cstheme="minorHAnsi"/>
          <w:sz w:val="24"/>
          <w:szCs w:val="24"/>
          <w:lang w:eastAsia="en-GB"/>
        </w:rPr>
        <w:t xml:space="preserve"> accepts that this is consistent with past interpretations of the Framework, it </w:t>
      </w:r>
      <w:r>
        <w:rPr>
          <w:rFonts w:eastAsia="Times New Roman" w:cstheme="minorHAnsi"/>
          <w:sz w:val="24"/>
          <w:szCs w:val="24"/>
          <w:lang w:eastAsia="en-GB"/>
        </w:rPr>
        <w:t xml:space="preserve">is </w:t>
      </w:r>
      <w:r w:rsidRPr="005329DF">
        <w:rPr>
          <w:rFonts w:eastAsia="Times New Roman" w:cstheme="minorHAnsi"/>
          <w:sz w:val="24"/>
          <w:szCs w:val="24"/>
          <w:u w:val="single"/>
          <w:lang w:eastAsia="en-GB"/>
        </w:rPr>
        <w:t>strongly of the view that IAs should include an assessment of the costs and benefits of maintaining UK standards at a higher level than new EU minima</w:t>
      </w:r>
      <w:r>
        <w:rPr>
          <w:rFonts w:eastAsia="Times New Roman" w:cstheme="minorHAnsi"/>
          <w:sz w:val="24"/>
          <w:szCs w:val="24"/>
          <w:lang w:eastAsia="en-GB"/>
        </w:rPr>
        <w:t xml:space="preserve">. Where it is </w:t>
      </w:r>
      <w:r>
        <w:rPr>
          <w:rFonts w:eastAsia="Times New Roman" w:cstheme="minorHAnsi"/>
          <w:sz w:val="24"/>
          <w:szCs w:val="24"/>
          <w:lang w:eastAsia="en-GB"/>
        </w:rPr>
        <w:lastRenderedPageBreak/>
        <w:t>proportionate to do so, this should be in EANDCB terms (although this will not score against the BIT).</w:t>
      </w:r>
    </w:p>
    <w:p w:rsidR="00BC6B55" w:rsidRDefault="00BC6B55" w:rsidP="00BC6B55">
      <w:pPr>
        <w:spacing w:after="0"/>
        <w:rPr>
          <w:rFonts w:eastAsia="Times New Roman" w:cstheme="minorHAnsi"/>
          <w:b/>
          <w:i/>
          <w:sz w:val="24"/>
          <w:szCs w:val="24"/>
          <w:lang w:eastAsia="en-GB"/>
        </w:rPr>
      </w:pPr>
    </w:p>
    <w:p w:rsidR="00BC6B55" w:rsidRPr="001B074F" w:rsidRDefault="00BC6B55" w:rsidP="00BC6B55">
      <w:pPr>
        <w:spacing w:after="0"/>
        <w:rPr>
          <w:rFonts w:eastAsia="Times New Roman" w:cstheme="minorHAnsi"/>
          <w:b/>
          <w:i/>
          <w:sz w:val="24"/>
          <w:szCs w:val="24"/>
          <w:lang w:eastAsia="en-GB"/>
        </w:rPr>
      </w:pPr>
    </w:p>
    <w:p w:rsidR="00BC6B55" w:rsidRPr="00330EF0" w:rsidRDefault="00BC6B55" w:rsidP="00BC6B55">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rPr>
          <w:rFonts w:cstheme="minorHAnsi"/>
          <w:sz w:val="24"/>
          <w:szCs w:val="24"/>
        </w:rPr>
      </w:pPr>
      <w:r w:rsidRPr="00330EF0">
        <w:rPr>
          <w:rFonts w:cstheme="minorHAnsi"/>
          <w:b/>
          <w:sz w:val="24"/>
          <w:szCs w:val="24"/>
          <w:lang w:val="en-US"/>
        </w:rPr>
        <w:t>Implementation of Directive 2013/30/EU on the safety of oil and gas operations and on updating UK oil and gas legislation (</w:t>
      </w:r>
      <w:r w:rsidRPr="00330EF0">
        <w:rPr>
          <w:rFonts w:cstheme="minorHAnsi"/>
          <w:b/>
          <w:sz w:val="24"/>
          <w:szCs w:val="24"/>
        </w:rPr>
        <w:t>RPC14-HSE-2078)</w:t>
      </w:r>
      <w:r>
        <w:rPr>
          <w:rFonts w:cstheme="minorHAnsi"/>
          <w:b/>
          <w:sz w:val="24"/>
          <w:szCs w:val="24"/>
        </w:rPr>
        <w:t>:</w:t>
      </w:r>
      <w:r w:rsidRPr="00330EF0">
        <w:rPr>
          <w:rFonts w:cstheme="minorHAnsi"/>
          <w:sz w:val="24"/>
          <w:szCs w:val="24"/>
          <w:lang w:val="en-US"/>
        </w:rPr>
        <w:t> This consultation stage IA, submitted in April 2014, included present value estimates of the costs in relation to “enter or leave notifications” and “onshore combustible gas storage”. These policy elements went beyond</w:t>
      </w:r>
      <w:r w:rsidRPr="00330EF0">
        <w:rPr>
          <w:rFonts w:cstheme="minorHAnsi"/>
          <w:sz w:val="24"/>
          <w:szCs w:val="24"/>
        </w:rPr>
        <w:t xml:space="preserve"> the minimum EU requirements but were out of scope because they maintained existing UK standards.</w:t>
      </w:r>
    </w:p>
    <w:p w:rsidR="00BC6B55" w:rsidRPr="001F0DB2" w:rsidRDefault="00BC6B55" w:rsidP="00BC6B55">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before="240" w:after="60"/>
        <w:rPr>
          <w:rFonts w:eastAsia="Times New Roman" w:cstheme="minorHAnsi"/>
          <w:b/>
          <w:sz w:val="24"/>
          <w:szCs w:val="24"/>
        </w:rPr>
      </w:pPr>
      <w:r w:rsidRPr="00330EF0">
        <w:rPr>
          <w:rFonts w:eastAsia="Times New Roman" w:cstheme="minorHAnsi"/>
          <w:b/>
          <w:sz w:val="24"/>
          <w:szCs w:val="24"/>
          <w:lang w:eastAsia="en-GB"/>
        </w:rPr>
        <w:t>UK implementation of the EU Accounting Directive</w:t>
      </w:r>
      <w:r>
        <w:rPr>
          <w:rFonts w:eastAsia="Times New Roman" w:cstheme="minorHAnsi"/>
          <w:b/>
          <w:sz w:val="24"/>
          <w:szCs w:val="24"/>
          <w:lang w:eastAsia="en-GB"/>
        </w:rPr>
        <w:t>: Chapters 1-9 (RPC14-BIS-2166):</w:t>
      </w:r>
      <w:r w:rsidRPr="00330EF0">
        <w:rPr>
          <w:rFonts w:eastAsia="Times New Roman" w:cstheme="minorHAnsi"/>
          <w:b/>
          <w:sz w:val="24"/>
          <w:szCs w:val="24"/>
          <w:lang w:eastAsia="en-GB"/>
        </w:rPr>
        <w:t xml:space="preserve"> </w:t>
      </w:r>
      <w:r w:rsidRPr="00330EF0">
        <w:rPr>
          <w:rFonts w:eastAsia="Times New Roman" w:cstheme="minorHAnsi"/>
          <w:sz w:val="24"/>
          <w:szCs w:val="24"/>
        </w:rPr>
        <w:t>The UK required small companies to produce 17 disclosure notes. The EU consolidated and harmonised its existing directives, with the result that the</w:t>
      </w:r>
      <w:r w:rsidRPr="00330EF0">
        <w:rPr>
          <w:rFonts w:cstheme="minorHAnsi"/>
          <w:color w:val="000000"/>
          <w:sz w:val="24"/>
          <w:szCs w:val="24"/>
        </w:rPr>
        <w:t xml:space="preserve"> minimum number of disclosure notes required by the </w:t>
      </w:r>
      <w:r w:rsidRPr="00330EF0">
        <w:rPr>
          <w:rFonts w:cstheme="minorHAnsi"/>
          <w:sz w:val="24"/>
          <w:szCs w:val="24"/>
        </w:rPr>
        <w:t>EU</w:t>
      </w:r>
      <w:r w:rsidRPr="00330EF0">
        <w:rPr>
          <w:rFonts w:cstheme="minorHAnsi"/>
          <w:color w:val="000000"/>
          <w:sz w:val="24"/>
          <w:szCs w:val="24"/>
        </w:rPr>
        <w:t xml:space="preserve"> </w:t>
      </w:r>
      <w:r>
        <w:rPr>
          <w:rFonts w:cstheme="minorHAnsi"/>
          <w:color w:val="000000"/>
          <w:sz w:val="24"/>
          <w:szCs w:val="24"/>
        </w:rPr>
        <w:t>w</w:t>
      </w:r>
      <w:r w:rsidRPr="00330EF0">
        <w:rPr>
          <w:rFonts w:cstheme="minorHAnsi"/>
          <w:sz w:val="24"/>
          <w:szCs w:val="24"/>
        </w:rPr>
        <w:t>as been reduced to</w:t>
      </w:r>
      <w:r w:rsidRPr="00330EF0">
        <w:rPr>
          <w:rFonts w:cstheme="minorHAnsi"/>
          <w:color w:val="000000"/>
          <w:sz w:val="24"/>
          <w:szCs w:val="24"/>
        </w:rPr>
        <w:t xml:space="preserve"> eight. </w:t>
      </w:r>
      <w:r w:rsidRPr="00330EF0">
        <w:rPr>
          <w:rFonts w:cstheme="minorHAnsi"/>
          <w:sz w:val="24"/>
          <w:szCs w:val="24"/>
        </w:rPr>
        <w:t>The policy proposal is to use</w:t>
      </w:r>
      <w:r w:rsidRPr="00330EF0">
        <w:rPr>
          <w:rFonts w:cstheme="minorHAnsi"/>
          <w:color w:val="000000"/>
          <w:sz w:val="24"/>
          <w:szCs w:val="24"/>
        </w:rPr>
        <w:t xml:space="preserve"> member state flexibility to have additional </w:t>
      </w:r>
      <w:r w:rsidRPr="00330EF0">
        <w:rPr>
          <w:rFonts w:cstheme="minorHAnsi"/>
          <w:sz w:val="24"/>
          <w:szCs w:val="24"/>
        </w:rPr>
        <w:t xml:space="preserve">disclosure notes, so that five of the UK’s existing disclosure notes, which are not now required by the EU, can be retained. The UK’s implementation of the Directive will, therefore, reduce the number of disclosure notes from 17 to 13. </w:t>
      </w:r>
      <w:r w:rsidRPr="00330EF0">
        <w:rPr>
          <w:rFonts w:cstheme="minorHAnsi"/>
          <w:color w:val="000000"/>
          <w:sz w:val="24"/>
          <w:szCs w:val="24"/>
        </w:rPr>
        <w:t xml:space="preserve">This </w:t>
      </w:r>
      <w:r w:rsidRPr="00330EF0">
        <w:rPr>
          <w:rFonts w:cstheme="minorHAnsi"/>
          <w:sz w:val="24"/>
          <w:szCs w:val="24"/>
        </w:rPr>
        <w:t xml:space="preserve">reduction lowers existing UK regulatory standards and qualifies as an OUT. The </w:t>
      </w:r>
      <w:r w:rsidRPr="00330EF0">
        <w:rPr>
          <w:rFonts w:cstheme="minorHAnsi"/>
          <w:color w:val="000000"/>
          <w:sz w:val="24"/>
          <w:szCs w:val="24"/>
        </w:rPr>
        <w:t>retention of the additional five disclosure notes goes beyond the minimum requirement of the Directive and, therefore, represents gold-plating. However, it d</w:t>
      </w:r>
      <w:r>
        <w:rPr>
          <w:rFonts w:cstheme="minorHAnsi"/>
          <w:color w:val="000000"/>
          <w:sz w:val="24"/>
          <w:szCs w:val="24"/>
        </w:rPr>
        <w:t>id</w:t>
      </w:r>
      <w:r w:rsidRPr="00330EF0">
        <w:rPr>
          <w:rFonts w:cstheme="minorHAnsi"/>
          <w:color w:val="000000"/>
          <w:sz w:val="24"/>
          <w:szCs w:val="24"/>
        </w:rPr>
        <w:t xml:space="preserve"> not represent an IN</w:t>
      </w:r>
      <w:r>
        <w:rPr>
          <w:rFonts w:cstheme="minorHAnsi"/>
          <w:color w:val="000000"/>
          <w:sz w:val="24"/>
          <w:szCs w:val="24"/>
        </w:rPr>
        <w:t>, on the existing interpretation of the framework,</w:t>
      </w:r>
      <w:r w:rsidRPr="00330EF0">
        <w:rPr>
          <w:rFonts w:cstheme="minorHAnsi"/>
          <w:color w:val="000000"/>
          <w:sz w:val="24"/>
          <w:szCs w:val="24"/>
        </w:rPr>
        <w:t xml:space="preserve"> as it involves no additional burden relative to existing UK standards. T</w:t>
      </w:r>
      <w:r w:rsidRPr="00330EF0">
        <w:rPr>
          <w:rFonts w:cstheme="minorHAnsi"/>
          <w:sz w:val="24"/>
          <w:szCs w:val="24"/>
        </w:rPr>
        <w:t xml:space="preserve">he reduction in disclosure notes from 17 to 8 was estimated to save business about £18 million each year. The reduction from 17 to 13 accounted for about £8 million each year, leaving a “foregone saving” of about £10 million each year by retaining the five disclosure notes. </w:t>
      </w:r>
      <w:r w:rsidRPr="00330EF0">
        <w:rPr>
          <w:rFonts w:eastAsia="Times New Roman" w:cstheme="minorHAnsi"/>
          <w:sz w:val="24"/>
          <w:szCs w:val="24"/>
          <w:lang w:eastAsia="en-GB"/>
        </w:rPr>
        <w:t xml:space="preserve"> </w:t>
      </w:r>
    </w:p>
    <w:p w:rsidR="00BC6B55" w:rsidRDefault="00BC6B55" w:rsidP="00BC6B55">
      <w:pPr>
        <w:spacing w:after="0"/>
        <w:rPr>
          <w:rFonts w:eastAsia="Times New Roman" w:cstheme="minorHAnsi"/>
          <w:b/>
          <w:sz w:val="24"/>
          <w:szCs w:val="24"/>
          <w:u w:val="single"/>
          <w:lang w:eastAsia="en-GB"/>
        </w:rPr>
      </w:pPr>
    </w:p>
    <w:p w:rsidR="00BC6B55" w:rsidRPr="001B074F" w:rsidRDefault="00BC6B55" w:rsidP="00BC6B55">
      <w:pPr>
        <w:spacing w:after="0"/>
        <w:rPr>
          <w:rFonts w:eastAsia="Times New Roman" w:cstheme="minorHAnsi"/>
          <w:b/>
          <w:sz w:val="24"/>
          <w:szCs w:val="24"/>
          <w:u w:val="single"/>
          <w:lang w:eastAsia="en-GB"/>
        </w:rPr>
      </w:pPr>
    </w:p>
    <w:p w:rsidR="00BC6B55" w:rsidRPr="00330EF0" w:rsidRDefault="00976D3F" w:rsidP="00BC6B55">
      <w:pPr>
        <w:spacing w:after="0"/>
        <w:rPr>
          <w:rFonts w:eastAsia="Times New Roman" w:cstheme="minorHAnsi"/>
          <w:b/>
          <w:sz w:val="24"/>
          <w:szCs w:val="24"/>
          <w:lang w:eastAsia="en-GB"/>
        </w:rPr>
      </w:pPr>
      <w:r>
        <w:rPr>
          <w:rFonts w:eastAsia="Times New Roman" w:cstheme="minorHAnsi"/>
          <w:b/>
          <w:sz w:val="24"/>
          <w:szCs w:val="24"/>
          <w:lang w:eastAsia="en-GB"/>
        </w:rPr>
        <w:t>5.5</w:t>
      </w:r>
      <w:r w:rsidR="00BC6B55" w:rsidRPr="00330EF0">
        <w:rPr>
          <w:rFonts w:eastAsia="Times New Roman" w:cstheme="minorHAnsi"/>
          <w:b/>
          <w:sz w:val="24"/>
          <w:szCs w:val="24"/>
          <w:lang w:eastAsia="en-GB"/>
        </w:rPr>
        <w:t>.3 Accidental or inadvertent gold plating</w:t>
      </w:r>
    </w:p>
    <w:p w:rsidR="00BC6B55" w:rsidRPr="001B074F" w:rsidRDefault="00BC6B55" w:rsidP="00BC6B55">
      <w:pPr>
        <w:spacing w:after="0"/>
        <w:rPr>
          <w:rFonts w:eastAsia="Times New Roman" w:cstheme="minorHAnsi"/>
          <w:sz w:val="24"/>
          <w:szCs w:val="24"/>
          <w:lang w:eastAsia="en-GB"/>
        </w:rPr>
      </w:pPr>
    </w:p>
    <w:p w:rsidR="00BC6B55" w:rsidRDefault="00BC6B55" w:rsidP="00BC6B55">
      <w:pPr>
        <w:spacing w:after="0"/>
        <w:rPr>
          <w:rFonts w:eastAsia="Times New Roman" w:cstheme="minorHAnsi"/>
          <w:sz w:val="24"/>
          <w:szCs w:val="24"/>
          <w:lang w:eastAsia="en-GB"/>
        </w:rPr>
      </w:pPr>
      <w:r w:rsidRPr="001B074F">
        <w:rPr>
          <w:rFonts w:eastAsia="Times New Roman" w:cstheme="minorHAnsi"/>
          <w:sz w:val="24"/>
          <w:szCs w:val="24"/>
          <w:lang w:eastAsia="en-GB"/>
        </w:rPr>
        <w:t>Occasionally, an EU policy may be implemented in a way which is thought to be the minimum and for it to later transpire that it was not. If the policy was originally implemented before the BIT, then the removal of the inadvertent gold plating scores as an OUT. However, if the gold plating occurred during the BIT, then the overriding principle that an OUT cannot exceed the original IN applies and no OUT is scored.</w:t>
      </w:r>
    </w:p>
    <w:p w:rsidR="00BC6B55" w:rsidRDefault="00BC6B55" w:rsidP="00BC6B55">
      <w:pPr>
        <w:spacing w:after="0"/>
        <w:rPr>
          <w:rFonts w:eastAsia="Times New Roman" w:cstheme="minorHAnsi"/>
          <w:sz w:val="24"/>
          <w:szCs w:val="24"/>
          <w:lang w:eastAsia="en-GB"/>
        </w:rPr>
      </w:pPr>
    </w:p>
    <w:p w:rsidR="00BC6B55" w:rsidRDefault="00BC6B55" w:rsidP="00BC6B55">
      <w:pPr>
        <w:spacing w:after="0"/>
        <w:rPr>
          <w:rFonts w:eastAsia="Times New Roman" w:cstheme="minorHAnsi"/>
          <w:sz w:val="24"/>
          <w:szCs w:val="24"/>
          <w:lang w:eastAsia="en-GB"/>
        </w:rPr>
      </w:pPr>
    </w:p>
    <w:p w:rsidR="00BC6B55" w:rsidRDefault="00BC6B55" w:rsidP="00BC6B55">
      <w:pPr>
        <w:spacing w:after="0"/>
        <w:rPr>
          <w:rFonts w:eastAsia="Times New Roman" w:cstheme="minorHAnsi"/>
          <w:sz w:val="24"/>
          <w:szCs w:val="24"/>
          <w:lang w:eastAsia="en-GB"/>
        </w:rPr>
      </w:pPr>
    </w:p>
    <w:p w:rsidR="00BC6B55" w:rsidRDefault="00BC6B55" w:rsidP="00BC6B55">
      <w:pPr>
        <w:spacing w:after="0"/>
        <w:rPr>
          <w:rFonts w:eastAsia="Times New Roman" w:cstheme="minorHAnsi"/>
          <w:sz w:val="24"/>
          <w:szCs w:val="24"/>
          <w:lang w:eastAsia="en-GB"/>
        </w:rPr>
      </w:pPr>
    </w:p>
    <w:p w:rsidR="00BC6B55" w:rsidRDefault="00BC6B55" w:rsidP="00BC6B55">
      <w:pPr>
        <w:spacing w:after="0"/>
        <w:rPr>
          <w:rFonts w:eastAsia="Times New Roman" w:cstheme="minorHAnsi"/>
          <w:sz w:val="24"/>
          <w:szCs w:val="24"/>
          <w:lang w:eastAsia="en-GB"/>
        </w:rPr>
      </w:pPr>
    </w:p>
    <w:p w:rsidR="00BC6B55" w:rsidRDefault="00BC6B55" w:rsidP="00BC6B55">
      <w:pPr>
        <w:spacing w:after="0"/>
        <w:rPr>
          <w:rFonts w:eastAsia="Times New Roman" w:cstheme="minorHAnsi"/>
          <w:sz w:val="24"/>
          <w:szCs w:val="24"/>
          <w:lang w:eastAsia="en-GB"/>
        </w:rPr>
      </w:pPr>
    </w:p>
    <w:p w:rsidR="00BC6B55" w:rsidRPr="001B074F" w:rsidRDefault="00BC6B55" w:rsidP="00BC6B55">
      <w:pPr>
        <w:spacing w:after="0"/>
        <w:rPr>
          <w:rFonts w:eastAsia="Times New Roman" w:cstheme="minorHAnsi"/>
          <w:sz w:val="24"/>
          <w:szCs w:val="24"/>
          <w:lang w:eastAsia="en-GB"/>
        </w:rPr>
      </w:pPr>
    </w:p>
    <w:p w:rsidR="00BC6B55" w:rsidRPr="001B074F" w:rsidRDefault="00BC6B55" w:rsidP="00BC6B55">
      <w:pPr>
        <w:spacing w:after="0"/>
        <w:rPr>
          <w:rFonts w:eastAsia="Times New Roman" w:cstheme="minorHAnsi"/>
          <w:b/>
          <w:i/>
          <w:sz w:val="24"/>
          <w:szCs w:val="24"/>
          <w:lang w:eastAsia="en-GB"/>
        </w:rPr>
      </w:pPr>
    </w:p>
    <w:p w:rsidR="00BC6B55" w:rsidRPr="00293A7D" w:rsidRDefault="00BC6B55" w:rsidP="00BC6B55">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b/>
          <w:sz w:val="24"/>
          <w:szCs w:val="24"/>
          <w:lang w:eastAsia="en-GB"/>
        </w:rPr>
      </w:pPr>
      <w:r w:rsidRPr="00293A7D">
        <w:rPr>
          <w:rFonts w:eastAsia="Times New Roman" w:cstheme="minorHAnsi"/>
          <w:b/>
          <w:sz w:val="24"/>
          <w:szCs w:val="24"/>
          <w:lang w:eastAsia="en-GB"/>
        </w:rPr>
        <w:t xml:space="preserve">Proposed route for specific seafarer certification for operating on workboats less than 500 gross tons (RPC13-DFT-1760): </w:t>
      </w:r>
      <w:r w:rsidRPr="00293A7D">
        <w:rPr>
          <w:rFonts w:eastAsia="Times New Roman" w:cstheme="minorHAnsi"/>
          <w:sz w:val="24"/>
          <w:szCs w:val="24"/>
          <w:lang w:eastAsia="en-GB"/>
        </w:rPr>
        <w:t xml:space="preserve">The existing certification route for seafarers working specifically on workboats did not allow them to work on vessels over 200 GT.  As a result, seafarers had to follow the International Convention for the Standards of Training, Certification and </w:t>
      </w:r>
      <w:proofErr w:type="spellStart"/>
      <w:r w:rsidRPr="00293A7D">
        <w:rPr>
          <w:rFonts w:eastAsia="Times New Roman" w:cstheme="minorHAnsi"/>
          <w:sz w:val="24"/>
          <w:szCs w:val="24"/>
          <w:lang w:eastAsia="en-GB"/>
        </w:rPr>
        <w:t>Watchkeeping</w:t>
      </w:r>
      <w:proofErr w:type="spellEnd"/>
      <w:r w:rsidRPr="00293A7D">
        <w:rPr>
          <w:rFonts w:eastAsia="Times New Roman" w:cstheme="minorHAnsi"/>
          <w:sz w:val="24"/>
          <w:szCs w:val="24"/>
          <w:lang w:eastAsia="en-GB"/>
        </w:rPr>
        <w:t xml:space="preserve"> (STCW) for unlimited qualifications.  The proposal was to introduce a new certificate which would allow seafarers to work on workboats of up to 500 GT. The growth in the size of workboats was not anticipated at the time the original regulatory obligation came in</w:t>
      </w:r>
      <w:r>
        <w:rPr>
          <w:rFonts w:eastAsia="Times New Roman" w:cstheme="minorHAnsi"/>
          <w:sz w:val="24"/>
          <w:szCs w:val="24"/>
          <w:lang w:eastAsia="en-GB"/>
        </w:rPr>
        <w:t xml:space="preserve"> and</w:t>
      </w:r>
      <w:r w:rsidRPr="00293A7D">
        <w:rPr>
          <w:rFonts w:eastAsia="Times New Roman" w:cstheme="minorHAnsi"/>
          <w:sz w:val="24"/>
          <w:szCs w:val="24"/>
          <w:lang w:eastAsia="en-GB"/>
        </w:rPr>
        <w:t>, therefore</w:t>
      </w:r>
      <w:r>
        <w:rPr>
          <w:rFonts w:eastAsia="Times New Roman" w:cstheme="minorHAnsi"/>
          <w:sz w:val="24"/>
          <w:szCs w:val="24"/>
          <w:lang w:eastAsia="en-GB"/>
        </w:rPr>
        <w:t>,</w:t>
      </w:r>
      <w:r w:rsidRPr="00293A7D">
        <w:rPr>
          <w:rFonts w:eastAsia="Times New Roman" w:cstheme="minorHAnsi"/>
          <w:sz w:val="24"/>
          <w:szCs w:val="24"/>
          <w:lang w:eastAsia="en-GB"/>
        </w:rPr>
        <w:t xml:space="preserve"> no ‘IN’ was ever scored. The Department was claiming an OUT. This was accepted as an OUT on the basis that the underlying regulatory obligation (the STCW Convention) pre-dated OIOO.  Had the underlying regulation come into force during OIOO/OITO an OUT could not have been scored. (</w:t>
      </w:r>
      <w:hyperlink r:id="rId55" w:history="1">
        <w:r w:rsidRPr="00293A7D">
          <w:rPr>
            <w:rStyle w:val="Hyperlink"/>
            <w:rFonts w:eastAsia="Times New Roman" w:cstheme="minorHAnsi"/>
            <w:sz w:val="24"/>
            <w:szCs w:val="24"/>
            <w:u w:val="none"/>
            <w:lang w:eastAsia="en-GB"/>
          </w:rPr>
          <w:t>Opinion</w:t>
        </w:r>
      </w:hyperlink>
      <w:r w:rsidRPr="00293A7D">
        <w:rPr>
          <w:rFonts w:eastAsia="Times New Roman" w:cstheme="minorHAnsi"/>
          <w:sz w:val="24"/>
          <w:szCs w:val="24"/>
          <w:lang w:eastAsia="en-GB"/>
        </w:rPr>
        <w:t xml:space="preserve">) </w:t>
      </w:r>
    </w:p>
    <w:p w:rsidR="00BC6B55" w:rsidRDefault="00BC6B55" w:rsidP="00BC6B55">
      <w:pPr>
        <w:rPr>
          <w:rFonts w:cstheme="minorHAnsi"/>
          <w:sz w:val="24"/>
          <w:szCs w:val="24"/>
        </w:rPr>
      </w:pPr>
    </w:p>
    <w:p w:rsidR="00BC6B55" w:rsidRPr="00293A7D" w:rsidRDefault="00976D3F" w:rsidP="00BC6B55">
      <w:pPr>
        <w:spacing w:after="0"/>
        <w:rPr>
          <w:rFonts w:eastAsia="Times New Roman" w:cstheme="minorHAnsi"/>
          <w:b/>
          <w:sz w:val="24"/>
          <w:szCs w:val="24"/>
          <w:lang w:eastAsia="en-GB"/>
        </w:rPr>
      </w:pPr>
      <w:r>
        <w:rPr>
          <w:rFonts w:eastAsia="Times New Roman" w:cstheme="minorHAnsi"/>
          <w:b/>
          <w:sz w:val="24"/>
          <w:szCs w:val="24"/>
          <w:lang w:eastAsia="en-GB"/>
        </w:rPr>
        <w:t>5.5</w:t>
      </w:r>
      <w:r w:rsidR="00BC6B55" w:rsidRPr="00293A7D">
        <w:rPr>
          <w:rFonts w:eastAsia="Times New Roman" w:cstheme="minorHAnsi"/>
          <w:b/>
          <w:sz w:val="24"/>
          <w:szCs w:val="24"/>
          <w:lang w:eastAsia="en-GB"/>
        </w:rPr>
        <w:t>.4 Early implementation of EU/International measures by less than 12 months</w:t>
      </w:r>
    </w:p>
    <w:p w:rsidR="00BC6B55" w:rsidRPr="001B074F" w:rsidRDefault="00BC6B55" w:rsidP="00BC6B55">
      <w:pPr>
        <w:spacing w:after="0"/>
        <w:rPr>
          <w:rFonts w:eastAsia="Times New Roman" w:cstheme="minorHAnsi"/>
          <w:b/>
          <w:sz w:val="24"/>
          <w:szCs w:val="24"/>
          <w:lang w:eastAsia="en-GB"/>
        </w:rPr>
      </w:pPr>
    </w:p>
    <w:p w:rsidR="00BC6B55" w:rsidRPr="001B074F" w:rsidRDefault="00BC6B55" w:rsidP="00BC6B55">
      <w:pPr>
        <w:spacing w:after="0"/>
        <w:rPr>
          <w:rFonts w:eastAsia="Times New Roman" w:cstheme="minorHAnsi"/>
          <w:sz w:val="24"/>
          <w:szCs w:val="24"/>
          <w:lang w:eastAsia="en-GB"/>
        </w:rPr>
      </w:pPr>
      <w:r w:rsidRPr="001B074F">
        <w:rPr>
          <w:rFonts w:eastAsia="Times New Roman" w:cstheme="minorHAnsi"/>
          <w:sz w:val="24"/>
          <w:szCs w:val="24"/>
          <w:lang w:eastAsia="en-GB"/>
        </w:rPr>
        <w:t xml:space="preserve">EU and International measures implemented early are in scope of </w:t>
      </w:r>
      <w:r>
        <w:rPr>
          <w:rFonts w:eastAsia="Times New Roman" w:cstheme="minorHAnsi"/>
          <w:sz w:val="24"/>
          <w:szCs w:val="24"/>
          <w:lang w:eastAsia="en-GB"/>
        </w:rPr>
        <w:t>the BIT</w:t>
      </w:r>
      <w:r w:rsidRPr="001B074F">
        <w:rPr>
          <w:rFonts w:eastAsia="Times New Roman" w:cstheme="minorHAnsi"/>
          <w:sz w:val="24"/>
          <w:szCs w:val="24"/>
          <w:lang w:eastAsia="en-GB"/>
        </w:rPr>
        <w:t>. Only the costs and benefits that occur during the period of early implementation will be scored. This is true for any period length</w:t>
      </w:r>
      <w:r>
        <w:rPr>
          <w:rFonts w:eastAsia="Times New Roman" w:cstheme="minorHAnsi"/>
          <w:sz w:val="24"/>
          <w:szCs w:val="24"/>
          <w:lang w:eastAsia="en-GB"/>
        </w:rPr>
        <w:t>,</w:t>
      </w:r>
      <w:r w:rsidRPr="001B074F">
        <w:rPr>
          <w:rFonts w:eastAsia="Times New Roman" w:cstheme="minorHAnsi"/>
          <w:sz w:val="24"/>
          <w:szCs w:val="24"/>
          <w:lang w:eastAsia="en-GB"/>
        </w:rPr>
        <w:t xml:space="preserve"> including those less than 12 months. </w:t>
      </w:r>
    </w:p>
    <w:p w:rsidR="00BC6B55" w:rsidRPr="001B074F" w:rsidRDefault="00BC6B55" w:rsidP="00BC6B55">
      <w:pPr>
        <w:spacing w:after="0"/>
        <w:rPr>
          <w:rFonts w:eastAsia="Times New Roman" w:cstheme="minorHAnsi"/>
          <w:sz w:val="24"/>
          <w:szCs w:val="24"/>
          <w:lang w:eastAsia="en-GB"/>
        </w:rPr>
      </w:pPr>
    </w:p>
    <w:p w:rsidR="00BC6B55" w:rsidRPr="00293A7D" w:rsidRDefault="00BC6B55" w:rsidP="00BC6B55">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sz w:val="24"/>
          <w:szCs w:val="24"/>
          <w:lang w:eastAsia="en-GB"/>
        </w:rPr>
      </w:pPr>
      <w:proofErr w:type="gramStart"/>
      <w:r w:rsidRPr="00293A7D">
        <w:rPr>
          <w:rFonts w:eastAsia="Times New Roman" w:cstheme="minorHAnsi"/>
          <w:b/>
          <w:sz w:val="24"/>
          <w:szCs w:val="24"/>
          <w:lang w:eastAsia="en-GB"/>
        </w:rPr>
        <w:t xml:space="preserve">Implementation of Chapter 6 EU transparency Directive – Country by Country Reporting (RPC14-HMT-2237): </w:t>
      </w:r>
      <w:r w:rsidRPr="00293A7D">
        <w:rPr>
          <w:rFonts w:eastAsia="Times New Roman" w:cstheme="minorHAnsi"/>
          <w:sz w:val="24"/>
          <w:szCs w:val="24"/>
          <w:lang w:eastAsia="en-GB"/>
        </w:rPr>
        <w:t>This proposal aimed to increase global standards of transparency in the extractives sector by requiring companies to report publically on the payments they make to governments in all their countries of operation.</w:t>
      </w:r>
      <w:proofErr w:type="gramEnd"/>
      <w:r w:rsidRPr="00293A7D">
        <w:rPr>
          <w:rFonts w:eastAsia="Times New Roman" w:cstheme="minorHAnsi"/>
          <w:sz w:val="24"/>
          <w:szCs w:val="24"/>
          <w:lang w:eastAsia="en-GB"/>
        </w:rPr>
        <w:t xml:space="preserve">  The proposal was a European Directive to be implemented 11 months in advance of the deadline set by the EU.  Because of ambiguity in the guidance, there was uncertainty as to whether or not the 11 month early implementation of the EU directive was out of scope of OITO under the guidance on time-limited measures (BRFM paragraph 1.9.26). The </w:t>
      </w:r>
      <w:r>
        <w:rPr>
          <w:rFonts w:eastAsia="Times New Roman" w:cstheme="minorHAnsi"/>
          <w:sz w:val="24"/>
          <w:szCs w:val="24"/>
          <w:lang w:eastAsia="en-GB"/>
        </w:rPr>
        <w:t>RPC</w:t>
      </w:r>
      <w:r w:rsidRPr="00293A7D">
        <w:rPr>
          <w:rFonts w:eastAsia="Times New Roman" w:cstheme="minorHAnsi"/>
          <w:sz w:val="24"/>
          <w:szCs w:val="24"/>
          <w:lang w:eastAsia="en-GB"/>
        </w:rPr>
        <w:t xml:space="preserve"> agreed that early implementation of EU directives, even if less than 12 months, are still in scope of OITO.</w:t>
      </w:r>
      <w:r w:rsidR="00DF3AFA" w:rsidRPr="00293A7D">
        <w:rPr>
          <w:rFonts w:eastAsia="Times New Roman" w:cstheme="minorHAnsi"/>
          <w:sz w:val="24"/>
          <w:szCs w:val="24"/>
          <w:lang w:eastAsia="en-GB"/>
        </w:rPr>
        <w:t xml:space="preserve"> </w:t>
      </w:r>
      <w:r w:rsidRPr="00293A7D">
        <w:rPr>
          <w:rFonts w:eastAsia="Times New Roman" w:cstheme="minorHAnsi"/>
          <w:sz w:val="24"/>
          <w:szCs w:val="24"/>
          <w:lang w:eastAsia="en-GB"/>
        </w:rPr>
        <w:t>(</w:t>
      </w:r>
      <w:hyperlink r:id="rId56" w:history="1">
        <w:r w:rsidRPr="00293A7D">
          <w:rPr>
            <w:rStyle w:val="Hyperlink"/>
            <w:rFonts w:eastAsia="Times New Roman" w:cstheme="minorHAnsi"/>
            <w:sz w:val="24"/>
            <w:szCs w:val="24"/>
            <w:u w:val="none"/>
            <w:lang w:eastAsia="en-GB"/>
          </w:rPr>
          <w:t>Opinion</w:t>
        </w:r>
      </w:hyperlink>
      <w:r w:rsidRPr="00293A7D">
        <w:rPr>
          <w:rFonts w:eastAsia="Times New Roman" w:cstheme="minorHAnsi"/>
          <w:sz w:val="24"/>
          <w:szCs w:val="24"/>
          <w:lang w:eastAsia="en-GB"/>
        </w:rPr>
        <w:t>)</w:t>
      </w:r>
    </w:p>
    <w:p w:rsidR="00BC6B55" w:rsidRDefault="00BC6B55" w:rsidP="00BC6B55">
      <w:pPr>
        <w:rPr>
          <w:rFonts w:eastAsia="Times New Roman" w:cstheme="minorHAnsi"/>
          <w:b/>
          <w:color w:val="984806" w:themeColor="accent6" w:themeShade="80"/>
          <w:sz w:val="28"/>
          <w:szCs w:val="28"/>
          <w:lang w:eastAsia="en-GB"/>
        </w:rPr>
      </w:pPr>
    </w:p>
    <w:p w:rsidR="00BC6B55" w:rsidRPr="00976D3F" w:rsidRDefault="00976D3F" w:rsidP="00976D3F">
      <w:pPr>
        <w:rPr>
          <w:rFonts w:eastAsia="Times New Roman" w:cstheme="minorHAnsi"/>
          <w:b/>
          <w:color w:val="984806" w:themeColor="accent6" w:themeShade="80"/>
          <w:sz w:val="28"/>
          <w:szCs w:val="28"/>
          <w:lang w:eastAsia="en-GB"/>
        </w:rPr>
      </w:pPr>
      <w:r>
        <w:rPr>
          <w:rFonts w:eastAsia="Times New Roman" w:cstheme="minorHAnsi"/>
          <w:b/>
          <w:color w:val="984806" w:themeColor="accent6" w:themeShade="80"/>
          <w:sz w:val="28"/>
          <w:szCs w:val="28"/>
          <w:lang w:eastAsia="en-GB"/>
        </w:rPr>
        <w:t>5.6</w:t>
      </w:r>
      <w:r w:rsidR="00BC6B55" w:rsidRPr="00976D3F">
        <w:rPr>
          <w:rFonts w:eastAsia="Times New Roman" w:cstheme="minorHAnsi"/>
          <w:b/>
          <w:color w:val="984806" w:themeColor="accent6" w:themeShade="80"/>
          <w:sz w:val="28"/>
          <w:szCs w:val="28"/>
          <w:lang w:eastAsia="en-GB"/>
        </w:rPr>
        <w:t xml:space="preserve"> Measures implementing (non-EU) international agreements</w:t>
      </w:r>
    </w:p>
    <w:p w:rsidR="00BC6B55" w:rsidRPr="001B074F" w:rsidRDefault="00BC6B55" w:rsidP="00BC6B55">
      <w:pPr>
        <w:spacing w:after="0"/>
        <w:rPr>
          <w:rFonts w:eastAsia="Times New Roman" w:cstheme="minorHAnsi"/>
          <w:b/>
          <w:sz w:val="24"/>
          <w:szCs w:val="24"/>
          <w:u w:val="single"/>
          <w:lang w:eastAsia="en-GB"/>
        </w:rPr>
      </w:pPr>
    </w:p>
    <w:p w:rsidR="00BC6B55" w:rsidRPr="001F0DB2" w:rsidRDefault="00976D3F" w:rsidP="00BC6B55">
      <w:pPr>
        <w:spacing w:after="0"/>
        <w:rPr>
          <w:rFonts w:eastAsia="Times New Roman" w:cstheme="minorHAnsi"/>
          <w:b/>
          <w:sz w:val="24"/>
          <w:szCs w:val="24"/>
          <w:lang w:eastAsia="en-GB"/>
        </w:rPr>
      </w:pPr>
      <w:r>
        <w:rPr>
          <w:rFonts w:eastAsia="Times New Roman" w:cstheme="minorHAnsi"/>
          <w:b/>
          <w:sz w:val="24"/>
          <w:szCs w:val="24"/>
          <w:lang w:eastAsia="en-GB"/>
        </w:rPr>
        <w:t>5.6</w:t>
      </w:r>
      <w:r w:rsidR="00BC6B55" w:rsidRPr="001F0DB2">
        <w:rPr>
          <w:rFonts w:eastAsia="Times New Roman" w:cstheme="minorHAnsi"/>
          <w:b/>
          <w:sz w:val="24"/>
          <w:szCs w:val="24"/>
          <w:lang w:eastAsia="en-GB"/>
        </w:rPr>
        <w:t>.1 Treatment of international agreements in the Framework</w:t>
      </w:r>
    </w:p>
    <w:p w:rsidR="00BC6B55" w:rsidRPr="001B074F" w:rsidRDefault="00BC6B55" w:rsidP="00BC6B55">
      <w:pPr>
        <w:spacing w:after="0"/>
        <w:rPr>
          <w:rFonts w:eastAsia="Times New Roman" w:cstheme="minorHAnsi"/>
          <w:b/>
          <w:sz w:val="24"/>
          <w:szCs w:val="24"/>
          <w:u w:val="single"/>
          <w:lang w:eastAsia="en-GB"/>
        </w:rPr>
      </w:pPr>
    </w:p>
    <w:p w:rsidR="00BC6B55" w:rsidRPr="001B074F" w:rsidRDefault="00BC6B55" w:rsidP="00BC6B55">
      <w:pPr>
        <w:spacing w:after="0"/>
        <w:rPr>
          <w:rFonts w:eastAsia="Times New Roman" w:cstheme="minorHAnsi"/>
          <w:sz w:val="24"/>
          <w:szCs w:val="24"/>
          <w:lang w:eastAsia="en-GB"/>
        </w:rPr>
      </w:pPr>
      <w:r w:rsidRPr="001B074F">
        <w:rPr>
          <w:rFonts w:eastAsia="Times New Roman" w:cstheme="minorHAnsi"/>
          <w:sz w:val="24"/>
          <w:szCs w:val="24"/>
          <w:lang w:eastAsia="en-GB"/>
        </w:rPr>
        <w:t xml:space="preserve">Where the implementation of an international agreement goes beyond minimum requirements, this would be in scope of </w:t>
      </w:r>
      <w:r>
        <w:rPr>
          <w:rFonts w:eastAsia="Times New Roman" w:cstheme="minorHAnsi"/>
          <w:sz w:val="24"/>
          <w:szCs w:val="24"/>
          <w:lang w:eastAsia="en-GB"/>
        </w:rPr>
        <w:t>BIT</w:t>
      </w:r>
      <w:r w:rsidRPr="001B074F">
        <w:rPr>
          <w:rFonts w:eastAsia="Times New Roman" w:cstheme="minorHAnsi"/>
          <w:sz w:val="24"/>
          <w:szCs w:val="24"/>
          <w:lang w:eastAsia="en-GB"/>
        </w:rPr>
        <w:t xml:space="preserve"> (unless it was </w:t>
      </w:r>
      <w:r>
        <w:rPr>
          <w:rFonts w:eastAsia="Times New Roman" w:cstheme="minorHAnsi"/>
          <w:sz w:val="24"/>
          <w:szCs w:val="24"/>
          <w:lang w:eastAsia="en-GB"/>
        </w:rPr>
        <w:t>non-qualifying</w:t>
      </w:r>
      <w:r w:rsidRPr="001B074F">
        <w:rPr>
          <w:rFonts w:eastAsia="Times New Roman" w:cstheme="minorHAnsi"/>
          <w:sz w:val="24"/>
          <w:szCs w:val="24"/>
          <w:lang w:eastAsia="en-GB"/>
        </w:rPr>
        <w:t xml:space="preserve"> under a different exemption). This is consistent with the approach to EU regulation, where going beyond minimum implementation is considered to be gold plating. Where implementation of an </w:t>
      </w:r>
      <w:r w:rsidRPr="001B074F">
        <w:rPr>
          <w:rFonts w:eastAsia="Times New Roman" w:cstheme="minorHAnsi"/>
          <w:sz w:val="24"/>
          <w:szCs w:val="24"/>
          <w:lang w:eastAsia="en-GB"/>
        </w:rPr>
        <w:lastRenderedPageBreak/>
        <w:t xml:space="preserve">international agreement is in line with the minimum necessary, this would be out of scope of </w:t>
      </w:r>
      <w:r>
        <w:rPr>
          <w:rFonts w:eastAsia="Times New Roman" w:cstheme="minorHAnsi"/>
          <w:sz w:val="24"/>
          <w:szCs w:val="24"/>
          <w:lang w:eastAsia="en-GB"/>
        </w:rPr>
        <w:t>BIT</w:t>
      </w:r>
      <w:r w:rsidRPr="001B074F">
        <w:rPr>
          <w:rFonts w:eastAsia="Times New Roman" w:cstheme="minorHAnsi"/>
          <w:sz w:val="24"/>
          <w:szCs w:val="24"/>
          <w:lang w:eastAsia="en-GB"/>
        </w:rPr>
        <w:t xml:space="preserve">. </w:t>
      </w:r>
    </w:p>
    <w:p w:rsidR="00BC6B55" w:rsidRPr="001B074F" w:rsidRDefault="00BC6B55" w:rsidP="00BC6B55">
      <w:pPr>
        <w:spacing w:after="0"/>
        <w:rPr>
          <w:rFonts w:eastAsia="Times New Roman" w:cstheme="minorHAnsi"/>
          <w:sz w:val="24"/>
          <w:szCs w:val="24"/>
          <w:lang w:eastAsia="en-GB"/>
        </w:rPr>
      </w:pPr>
    </w:p>
    <w:p w:rsidR="00BC6B55" w:rsidRDefault="00BC6B55" w:rsidP="00BC6B55">
      <w:pPr>
        <w:spacing w:after="0"/>
        <w:rPr>
          <w:rFonts w:eastAsia="Times New Roman" w:cstheme="minorHAnsi"/>
          <w:sz w:val="24"/>
          <w:szCs w:val="24"/>
          <w:lang w:eastAsia="en-GB"/>
        </w:rPr>
      </w:pPr>
      <w:r>
        <w:rPr>
          <w:rFonts w:eastAsia="Times New Roman" w:cstheme="minorHAnsi"/>
          <w:sz w:val="24"/>
          <w:szCs w:val="24"/>
          <w:lang w:eastAsia="en-GB"/>
        </w:rPr>
        <w:t>As with</w:t>
      </w:r>
      <w:r w:rsidRPr="001B074F">
        <w:rPr>
          <w:rFonts w:eastAsia="Times New Roman" w:cstheme="minorHAnsi"/>
          <w:sz w:val="24"/>
          <w:szCs w:val="24"/>
          <w:lang w:eastAsia="en-GB"/>
        </w:rPr>
        <w:t xml:space="preserve"> EU </w:t>
      </w:r>
      <w:r>
        <w:rPr>
          <w:rFonts w:eastAsia="Times New Roman" w:cstheme="minorHAnsi"/>
          <w:sz w:val="24"/>
          <w:szCs w:val="24"/>
          <w:lang w:eastAsia="en-GB"/>
        </w:rPr>
        <w:t xml:space="preserve">measures (and NQRPs more generally), there is a requirement for </w:t>
      </w:r>
      <w:r w:rsidRPr="001B074F">
        <w:rPr>
          <w:rFonts w:eastAsia="Times New Roman" w:cstheme="minorHAnsi"/>
          <w:sz w:val="24"/>
          <w:szCs w:val="24"/>
          <w:lang w:eastAsia="en-GB"/>
        </w:rPr>
        <w:t xml:space="preserve">departments to have </w:t>
      </w:r>
      <w:r>
        <w:rPr>
          <w:rFonts w:eastAsia="Times New Roman" w:cstheme="minorHAnsi"/>
          <w:sz w:val="24"/>
          <w:szCs w:val="24"/>
          <w:lang w:eastAsia="en-GB"/>
        </w:rPr>
        <w:t>an</w:t>
      </w:r>
      <w:r w:rsidRPr="001B074F">
        <w:rPr>
          <w:rFonts w:eastAsia="Times New Roman" w:cstheme="minorHAnsi"/>
          <w:sz w:val="24"/>
          <w:szCs w:val="24"/>
          <w:lang w:eastAsia="en-GB"/>
        </w:rPr>
        <w:t xml:space="preserve"> EAN</w:t>
      </w:r>
      <w:r>
        <w:rPr>
          <w:rFonts w:eastAsia="Times New Roman" w:cstheme="minorHAnsi"/>
          <w:sz w:val="24"/>
          <w:szCs w:val="24"/>
          <w:lang w:eastAsia="en-GB"/>
        </w:rPr>
        <w:t>D</w:t>
      </w:r>
      <w:r w:rsidRPr="001B074F">
        <w:rPr>
          <w:rFonts w:eastAsia="Times New Roman" w:cstheme="minorHAnsi"/>
          <w:sz w:val="24"/>
          <w:szCs w:val="24"/>
          <w:lang w:eastAsia="en-GB"/>
        </w:rPr>
        <w:t>CB</w:t>
      </w:r>
      <w:r>
        <w:rPr>
          <w:rFonts w:eastAsia="Times New Roman" w:cstheme="minorHAnsi"/>
          <w:sz w:val="24"/>
          <w:szCs w:val="24"/>
          <w:lang w:eastAsia="en-GB"/>
        </w:rPr>
        <w:t xml:space="preserve"> figure validated by the RPC</w:t>
      </w:r>
      <w:r w:rsidRPr="001B074F">
        <w:rPr>
          <w:rFonts w:eastAsia="Times New Roman" w:cstheme="minorHAnsi"/>
          <w:sz w:val="24"/>
          <w:szCs w:val="24"/>
          <w:lang w:eastAsia="en-GB"/>
        </w:rPr>
        <w:t xml:space="preserve"> even </w:t>
      </w:r>
      <w:r>
        <w:rPr>
          <w:rFonts w:eastAsia="Times New Roman" w:cstheme="minorHAnsi"/>
          <w:sz w:val="24"/>
          <w:szCs w:val="24"/>
          <w:lang w:eastAsia="en-GB"/>
        </w:rPr>
        <w:t>if they are going no further than</w:t>
      </w:r>
      <w:r w:rsidRPr="001B074F">
        <w:rPr>
          <w:rFonts w:eastAsia="Times New Roman" w:cstheme="minorHAnsi"/>
          <w:sz w:val="24"/>
          <w:szCs w:val="24"/>
          <w:lang w:eastAsia="en-GB"/>
        </w:rPr>
        <w:t xml:space="preserve"> minimum </w:t>
      </w:r>
      <w:r>
        <w:rPr>
          <w:rFonts w:eastAsia="Times New Roman" w:cstheme="minorHAnsi"/>
          <w:sz w:val="24"/>
          <w:szCs w:val="24"/>
          <w:lang w:eastAsia="en-GB"/>
        </w:rPr>
        <w:t>requirements, although this will not be scored against</w:t>
      </w:r>
      <w:r w:rsidRPr="001B074F">
        <w:rPr>
          <w:rFonts w:eastAsia="Times New Roman" w:cstheme="minorHAnsi"/>
          <w:sz w:val="24"/>
          <w:szCs w:val="24"/>
          <w:lang w:eastAsia="en-GB"/>
        </w:rPr>
        <w:t xml:space="preserve"> </w:t>
      </w:r>
      <w:r>
        <w:rPr>
          <w:rFonts w:eastAsia="Times New Roman" w:cstheme="minorHAnsi"/>
          <w:sz w:val="24"/>
          <w:szCs w:val="24"/>
          <w:lang w:eastAsia="en-GB"/>
        </w:rPr>
        <w:t>the BIT</w:t>
      </w:r>
      <w:r w:rsidRPr="001B074F">
        <w:rPr>
          <w:rFonts w:eastAsia="Times New Roman" w:cstheme="minorHAnsi"/>
          <w:sz w:val="24"/>
          <w:szCs w:val="24"/>
          <w:lang w:eastAsia="en-GB"/>
        </w:rPr>
        <w:t xml:space="preserve">. </w:t>
      </w:r>
    </w:p>
    <w:p w:rsidR="00BC6B55" w:rsidRPr="001B074F" w:rsidRDefault="00BC6B55" w:rsidP="00BC6B55">
      <w:pPr>
        <w:spacing w:after="0"/>
        <w:rPr>
          <w:rFonts w:eastAsia="Times New Roman" w:cstheme="minorHAnsi"/>
          <w:sz w:val="24"/>
          <w:szCs w:val="24"/>
          <w:lang w:eastAsia="en-GB"/>
        </w:rPr>
      </w:pPr>
    </w:p>
    <w:p w:rsidR="00BC6B55" w:rsidRPr="00293A7D" w:rsidRDefault="00976D3F" w:rsidP="00BC6B55">
      <w:pPr>
        <w:spacing w:after="0"/>
        <w:rPr>
          <w:rFonts w:eastAsia="Times New Roman" w:cstheme="minorHAnsi"/>
          <w:b/>
          <w:sz w:val="24"/>
          <w:szCs w:val="24"/>
          <w:lang w:eastAsia="en-GB"/>
        </w:rPr>
      </w:pPr>
      <w:r>
        <w:rPr>
          <w:rFonts w:eastAsia="Times New Roman" w:cstheme="minorHAnsi"/>
          <w:b/>
          <w:sz w:val="24"/>
          <w:szCs w:val="24"/>
          <w:lang w:eastAsia="en-GB"/>
        </w:rPr>
        <w:t>5.6</w:t>
      </w:r>
      <w:r w:rsidR="00BC6B55" w:rsidRPr="00293A7D">
        <w:rPr>
          <w:rFonts w:eastAsia="Times New Roman" w:cstheme="minorHAnsi"/>
          <w:b/>
          <w:sz w:val="24"/>
          <w:szCs w:val="24"/>
          <w:lang w:eastAsia="en-GB"/>
        </w:rPr>
        <w:t>.</w:t>
      </w:r>
      <w:r w:rsidR="00BC6B55">
        <w:rPr>
          <w:rFonts w:eastAsia="Times New Roman" w:cstheme="minorHAnsi"/>
          <w:b/>
          <w:sz w:val="24"/>
          <w:szCs w:val="24"/>
          <w:lang w:eastAsia="en-GB"/>
        </w:rPr>
        <w:t>2</w:t>
      </w:r>
      <w:r w:rsidR="00BC6B55" w:rsidRPr="00293A7D">
        <w:rPr>
          <w:rFonts w:eastAsia="Times New Roman" w:cstheme="minorHAnsi"/>
          <w:b/>
          <w:sz w:val="24"/>
          <w:szCs w:val="24"/>
          <w:lang w:eastAsia="en-GB"/>
        </w:rPr>
        <w:t xml:space="preserve"> Defining minimum requirements</w:t>
      </w:r>
    </w:p>
    <w:p w:rsidR="00BC6B55" w:rsidRPr="001B074F" w:rsidRDefault="00BC6B55" w:rsidP="00BC6B55">
      <w:pPr>
        <w:spacing w:after="0"/>
        <w:rPr>
          <w:rFonts w:eastAsia="Times New Roman" w:cstheme="minorHAnsi"/>
          <w:sz w:val="24"/>
          <w:szCs w:val="24"/>
          <w:lang w:eastAsia="en-GB"/>
        </w:rPr>
      </w:pPr>
    </w:p>
    <w:p w:rsidR="00BC6B55" w:rsidRPr="007630CA" w:rsidRDefault="00BC6B55" w:rsidP="00BC6B55">
      <w:pPr>
        <w:tabs>
          <w:tab w:val="left" w:pos="993"/>
        </w:tabs>
        <w:spacing w:after="240"/>
        <w:rPr>
          <w:rFonts w:eastAsia="Times New Roman" w:cstheme="minorHAnsi"/>
        </w:rPr>
      </w:pPr>
      <w:r w:rsidRPr="001B074F">
        <w:rPr>
          <w:rFonts w:eastAsia="Times New Roman" w:cstheme="minorHAnsi"/>
          <w:sz w:val="24"/>
          <w:szCs w:val="24"/>
          <w:lang w:eastAsia="en-GB"/>
        </w:rPr>
        <w:t xml:space="preserve">A key issue with international agreements is that, compared to EU measures, there is less likely to be a clear minimum level of implementation. This might simply be due to the lack of a clear description or it might reflect that what constitutes a minimum could vary across countries. </w:t>
      </w:r>
      <w:r>
        <w:rPr>
          <w:rFonts w:eastAsia="Times New Roman" w:cstheme="minorHAnsi"/>
          <w:sz w:val="24"/>
          <w:szCs w:val="24"/>
          <w:lang w:eastAsia="en-GB"/>
        </w:rPr>
        <w:t xml:space="preserve">However, paragraph </w:t>
      </w:r>
      <w:r w:rsidRPr="001A0A45">
        <w:rPr>
          <w:rFonts w:eastAsia="Times New Roman" w:cstheme="minorHAnsi"/>
        </w:rPr>
        <w:t>1.5.16</w:t>
      </w:r>
      <w:r>
        <w:rPr>
          <w:rFonts w:eastAsia="Times New Roman" w:cstheme="minorHAnsi"/>
        </w:rPr>
        <w:t xml:space="preserve"> of the BRFM states:</w:t>
      </w:r>
      <w:r w:rsidRPr="001A0A45">
        <w:rPr>
          <w:rFonts w:eastAsia="Times New Roman" w:cstheme="minorHAnsi"/>
        </w:rPr>
        <w:t xml:space="preserve"> </w:t>
      </w:r>
      <w:r>
        <w:rPr>
          <w:rFonts w:eastAsia="Times New Roman" w:cstheme="minorHAnsi"/>
        </w:rPr>
        <w:t>“</w:t>
      </w:r>
      <w:r w:rsidRPr="00BA3D9D">
        <w:rPr>
          <w:rFonts w:eastAsia="Times New Roman" w:cstheme="minorHAnsi"/>
          <w:i/>
        </w:rPr>
        <w:t xml:space="preserve">Even where there is no clearly prescribed minimum requirement in an international agreement, it is the department’s responsibility to show that it is doing the minimum that would be acceptable to meet the UK’s obligations. This should include, for example, consideration of whether any, less costly, options could meet the UK’s obligations and what other countries are doing to meet the international commitment. </w:t>
      </w:r>
      <w:r>
        <w:rPr>
          <w:rFonts w:eastAsia="Times New Roman" w:cstheme="minorHAnsi"/>
        </w:rPr>
        <w:t>“</w:t>
      </w:r>
    </w:p>
    <w:p w:rsidR="00BC6B55" w:rsidRDefault="00BC6B55" w:rsidP="00BC6B55">
      <w:pPr>
        <w:spacing w:after="0"/>
        <w:rPr>
          <w:rFonts w:eastAsia="Times New Roman" w:cstheme="minorHAnsi"/>
          <w:sz w:val="24"/>
          <w:szCs w:val="24"/>
          <w:lang w:eastAsia="en-GB"/>
        </w:rPr>
      </w:pPr>
    </w:p>
    <w:p w:rsidR="00BC6B55" w:rsidRDefault="00BC6B55" w:rsidP="00BC6B55">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Calibri" w:cstheme="minorHAnsi"/>
          <w:sz w:val="24"/>
          <w:szCs w:val="24"/>
        </w:rPr>
      </w:pPr>
      <w:r w:rsidRPr="00293A7D">
        <w:rPr>
          <w:rFonts w:eastAsia="Times New Roman" w:cstheme="minorHAnsi"/>
          <w:b/>
          <w:sz w:val="24"/>
          <w:szCs w:val="24"/>
          <w:lang w:eastAsia="en-GB"/>
        </w:rPr>
        <w:t xml:space="preserve"> “Enhanced Transparency of Company Beneficial Ownership” (RPC13-BIS-1990(2)) implemented a key part of a G8 agreement (known as the “Trust &amp; Transparency” measures</w:t>
      </w:r>
      <w:r>
        <w:rPr>
          <w:rFonts w:eastAsia="Times New Roman" w:cstheme="minorHAnsi"/>
          <w:sz w:val="24"/>
          <w:szCs w:val="24"/>
          <w:lang w:eastAsia="en-GB"/>
        </w:rPr>
        <w:t>:</w:t>
      </w:r>
      <w:r w:rsidRPr="00293A7D">
        <w:rPr>
          <w:rFonts w:eastAsia="Times New Roman" w:cstheme="minorHAnsi"/>
          <w:sz w:val="24"/>
          <w:szCs w:val="24"/>
          <w:lang w:eastAsia="en-GB"/>
        </w:rPr>
        <w:t xml:space="preserve">  The G8 agreement principles and Action Plan required companies to </w:t>
      </w:r>
      <w:r w:rsidRPr="00293A7D">
        <w:rPr>
          <w:rFonts w:eastAsia="Times New Roman" w:cstheme="minorHAnsi"/>
          <w:iCs/>
          <w:sz w:val="24"/>
          <w:szCs w:val="24"/>
          <w:lang w:eastAsia="en-GB"/>
        </w:rPr>
        <w:t>"...obtain and hold their beneficial ownership and basic information, and ensure documentation of this information is accurate</w:t>
      </w:r>
      <w:r w:rsidRPr="00293A7D">
        <w:rPr>
          <w:rFonts w:eastAsia="Times New Roman" w:cstheme="minorHAnsi"/>
          <w:sz w:val="24"/>
          <w:szCs w:val="24"/>
          <w:lang w:eastAsia="en-GB"/>
        </w:rPr>
        <w:t>".</w:t>
      </w:r>
      <w:r w:rsidRPr="00293A7D">
        <w:rPr>
          <w:rFonts w:eastAsia="Times New Roman" w:cstheme="minorHAnsi"/>
          <w:color w:val="0000FF"/>
          <w:sz w:val="24"/>
          <w:szCs w:val="24"/>
          <w:lang w:eastAsia="en-GB"/>
        </w:rPr>
        <w:t xml:space="preserve"> </w:t>
      </w:r>
      <w:r w:rsidRPr="00293A7D">
        <w:rPr>
          <w:rFonts w:eastAsia="Calibri" w:cstheme="minorHAnsi"/>
          <w:sz w:val="24"/>
          <w:szCs w:val="24"/>
        </w:rPr>
        <w:t>The UK’s proposed implementation to have a central registry of company beneficial ownership information was not mentioned as a specific requirement in the G8 agreement. To demonstrate that the UK’s implementation did not go beyond the minimum required by the international agreement, the RPC asked the Department to provide:</w:t>
      </w:r>
    </w:p>
    <w:p w:rsidR="00BC6B55" w:rsidRDefault="00BC6B55" w:rsidP="00BC6B55">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contextualSpacing/>
        <w:rPr>
          <w:rFonts w:eastAsia="Calibri" w:cstheme="minorHAnsi"/>
          <w:sz w:val="24"/>
          <w:szCs w:val="24"/>
        </w:rPr>
      </w:pPr>
    </w:p>
    <w:p w:rsidR="00BC6B55" w:rsidRPr="00293A7D" w:rsidRDefault="00BC6B55" w:rsidP="00BC6B55">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ind w:left="426" w:hanging="426"/>
        <w:rPr>
          <w:rFonts w:eastAsia="Calibri" w:cstheme="minorHAnsi"/>
          <w:sz w:val="24"/>
          <w:szCs w:val="24"/>
        </w:rPr>
      </w:pPr>
      <w:r>
        <w:rPr>
          <w:rFonts w:eastAsia="Calibri" w:cstheme="minorHAnsi"/>
          <w:sz w:val="24"/>
          <w:szCs w:val="24"/>
        </w:rPr>
        <w:t xml:space="preserve">▪ </w:t>
      </w:r>
      <w:r>
        <w:rPr>
          <w:rFonts w:eastAsia="Calibri" w:cstheme="minorHAnsi"/>
          <w:sz w:val="24"/>
          <w:szCs w:val="24"/>
        </w:rPr>
        <w:tab/>
      </w:r>
      <w:proofErr w:type="gramStart"/>
      <w:r w:rsidRPr="00293A7D">
        <w:rPr>
          <w:rFonts w:eastAsia="Calibri" w:cstheme="minorHAnsi"/>
          <w:sz w:val="24"/>
          <w:szCs w:val="24"/>
        </w:rPr>
        <w:t>the</w:t>
      </w:r>
      <w:proofErr w:type="gramEnd"/>
      <w:r w:rsidRPr="00293A7D">
        <w:rPr>
          <w:rFonts w:eastAsia="Calibri" w:cstheme="minorHAnsi"/>
          <w:sz w:val="24"/>
          <w:szCs w:val="24"/>
        </w:rPr>
        <w:t xml:space="preserve"> specific nature of the international commitment;</w:t>
      </w:r>
    </w:p>
    <w:p w:rsidR="00BC6B55" w:rsidRPr="00293A7D" w:rsidRDefault="00BC6B55" w:rsidP="00BC6B55">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ind w:left="426" w:hanging="426"/>
        <w:rPr>
          <w:rFonts w:eastAsia="Calibri" w:cstheme="minorHAnsi"/>
          <w:sz w:val="24"/>
          <w:szCs w:val="24"/>
        </w:rPr>
      </w:pPr>
      <w:r>
        <w:rPr>
          <w:rFonts w:eastAsia="Calibri" w:cstheme="minorHAnsi"/>
          <w:sz w:val="24"/>
          <w:szCs w:val="24"/>
        </w:rPr>
        <w:t xml:space="preserve">▪ </w:t>
      </w:r>
      <w:r>
        <w:rPr>
          <w:rFonts w:eastAsia="Calibri" w:cstheme="minorHAnsi"/>
          <w:sz w:val="24"/>
          <w:szCs w:val="24"/>
        </w:rPr>
        <w:tab/>
      </w:r>
      <w:proofErr w:type="gramStart"/>
      <w:r w:rsidRPr="00293A7D">
        <w:rPr>
          <w:rFonts w:eastAsia="Calibri" w:cstheme="minorHAnsi"/>
          <w:sz w:val="24"/>
          <w:szCs w:val="24"/>
        </w:rPr>
        <w:t>what</w:t>
      </w:r>
      <w:proofErr w:type="gramEnd"/>
      <w:r w:rsidRPr="00293A7D">
        <w:rPr>
          <w:rFonts w:eastAsia="Calibri" w:cstheme="minorHAnsi"/>
          <w:sz w:val="24"/>
          <w:szCs w:val="24"/>
        </w:rPr>
        <w:t xml:space="preserve"> other G8 countries were doing to meet the commitment;</w:t>
      </w:r>
    </w:p>
    <w:p w:rsidR="00BC6B55" w:rsidRPr="00293A7D" w:rsidRDefault="00BC6B55" w:rsidP="00BC6B55">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ind w:left="426" w:hanging="426"/>
        <w:rPr>
          <w:rFonts w:eastAsia="Calibri" w:cstheme="minorHAnsi"/>
          <w:sz w:val="24"/>
          <w:szCs w:val="24"/>
        </w:rPr>
      </w:pPr>
      <w:r>
        <w:rPr>
          <w:rFonts w:eastAsia="Calibri" w:cstheme="minorHAnsi"/>
          <w:sz w:val="24"/>
          <w:szCs w:val="24"/>
        </w:rPr>
        <w:t>▪</w:t>
      </w:r>
      <w:r>
        <w:rPr>
          <w:rFonts w:eastAsia="Calibri" w:cstheme="minorHAnsi"/>
          <w:sz w:val="24"/>
          <w:szCs w:val="24"/>
        </w:rPr>
        <w:tab/>
      </w:r>
      <w:proofErr w:type="gramStart"/>
      <w:r w:rsidRPr="00293A7D">
        <w:rPr>
          <w:rFonts w:eastAsia="Calibri" w:cstheme="minorHAnsi"/>
          <w:sz w:val="24"/>
          <w:szCs w:val="24"/>
        </w:rPr>
        <w:t>how</w:t>
      </w:r>
      <w:proofErr w:type="gramEnd"/>
      <w:r w:rsidRPr="00293A7D">
        <w:rPr>
          <w:rFonts w:eastAsia="Calibri" w:cstheme="minorHAnsi"/>
          <w:sz w:val="24"/>
          <w:szCs w:val="24"/>
        </w:rPr>
        <w:t xml:space="preserve"> the individual policy proposals of the UK Action Plan corresponded to the specific commitments in the G8 agreement.</w:t>
      </w:r>
    </w:p>
    <w:p w:rsidR="00BC6B55" w:rsidRPr="00293A7D" w:rsidRDefault="00BC6B55" w:rsidP="00BC6B55">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sz w:val="24"/>
          <w:szCs w:val="24"/>
          <w:lang w:eastAsia="en-GB"/>
        </w:rPr>
      </w:pPr>
    </w:p>
    <w:p w:rsidR="00BC6B55" w:rsidRPr="00293A7D" w:rsidRDefault="00BC6B55" w:rsidP="00BC6B55">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sz w:val="24"/>
          <w:szCs w:val="24"/>
          <w:lang w:eastAsia="en-GB"/>
        </w:rPr>
      </w:pPr>
      <w:r w:rsidRPr="00293A7D">
        <w:rPr>
          <w:rFonts w:eastAsia="Calibri" w:cstheme="minorHAnsi"/>
          <w:sz w:val="24"/>
          <w:szCs w:val="24"/>
        </w:rPr>
        <w:t xml:space="preserve">After providing this information, and in line with the </w:t>
      </w:r>
      <w:r w:rsidRPr="00293A7D">
        <w:rPr>
          <w:rFonts w:eastAsia="Times New Roman" w:cstheme="minorHAnsi"/>
          <w:sz w:val="24"/>
          <w:szCs w:val="24"/>
          <w:lang w:eastAsia="en-GB"/>
        </w:rPr>
        <w:t>G8 agreement providing no clear level of implementation that could be regarded as being a minimum level of compliance, the RPC accepted that the proposal, was, therefore, entirely out of scope of OITO in accordance with</w:t>
      </w:r>
      <w:r w:rsidR="00A23053">
        <w:rPr>
          <w:rFonts w:eastAsia="Times New Roman" w:cstheme="minorHAnsi"/>
          <w:sz w:val="24"/>
          <w:szCs w:val="24"/>
          <w:lang w:eastAsia="en-GB"/>
        </w:rPr>
        <w:t xml:space="preserve"> the then</w:t>
      </w:r>
      <w:r w:rsidRPr="00293A7D">
        <w:rPr>
          <w:rFonts w:eastAsia="Times New Roman" w:cstheme="minorHAnsi"/>
          <w:sz w:val="24"/>
          <w:szCs w:val="24"/>
          <w:lang w:eastAsia="en-GB"/>
        </w:rPr>
        <w:t xml:space="preserve"> paragraph </w:t>
      </w:r>
      <w:r>
        <w:rPr>
          <w:rFonts w:eastAsia="Times New Roman" w:cstheme="minorHAnsi"/>
          <w:sz w:val="24"/>
          <w:szCs w:val="24"/>
          <w:lang w:eastAsia="en-GB"/>
        </w:rPr>
        <w:t>[</w:t>
      </w:r>
      <w:r w:rsidRPr="00293A7D">
        <w:rPr>
          <w:rFonts w:eastAsia="Times New Roman" w:cstheme="minorHAnsi"/>
          <w:sz w:val="24"/>
          <w:szCs w:val="24"/>
          <w:lang w:eastAsia="en-GB"/>
        </w:rPr>
        <w:t>1.9.9 iii</w:t>
      </w:r>
      <w:r>
        <w:rPr>
          <w:rFonts w:eastAsia="Times New Roman" w:cstheme="minorHAnsi"/>
          <w:sz w:val="24"/>
          <w:szCs w:val="24"/>
          <w:lang w:eastAsia="en-GB"/>
        </w:rPr>
        <w:t>]</w:t>
      </w:r>
      <w:r w:rsidRPr="00293A7D">
        <w:rPr>
          <w:rFonts w:eastAsia="Times New Roman" w:cstheme="minorHAnsi"/>
          <w:sz w:val="24"/>
          <w:szCs w:val="24"/>
          <w:lang w:eastAsia="en-GB"/>
        </w:rPr>
        <w:t xml:space="preserve"> of the BRFM.</w:t>
      </w:r>
    </w:p>
    <w:p w:rsidR="00BC6B55" w:rsidRDefault="00BC6B55" w:rsidP="00BC6B55">
      <w:pPr>
        <w:spacing w:after="0"/>
        <w:rPr>
          <w:rFonts w:eastAsia="Times New Roman" w:cstheme="minorHAnsi"/>
          <w:sz w:val="24"/>
          <w:szCs w:val="24"/>
          <w:lang w:eastAsia="en-GB"/>
        </w:rPr>
      </w:pPr>
    </w:p>
    <w:p w:rsidR="00BC6B55" w:rsidRPr="000C2133" w:rsidRDefault="00BC6B55" w:rsidP="00BC6B55">
      <w:pPr>
        <w:spacing w:after="0"/>
        <w:rPr>
          <w:rFonts w:ascii="Arial" w:eastAsia="Times New Roman" w:hAnsi="Arial" w:cs="Times New Roman"/>
          <w:sz w:val="24"/>
          <w:szCs w:val="24"/>
        </w:rPr>
      </w:pPr>
      <w:r w:rsidRPr="001B074F">
        <w:rPr>
          <w:rFonts w:eastAsia="Calibri" w:cstheme="minorHAnsi"/>
          <w:sz w:val="24"/>
          <w:szCs w:val="24"/>
        </w:rPr>
        <w:t>The</w:t>
      </w:r>
      <w:r>
        <w:rPr>
          <w:rFonts w:eastAsia="Calibri" w:cstheme="minorHAnsi"/>
          <w:sz w:val="24"/>
          <w:szCs w:val="24"/>
        </w:rPr>
        <w:t xml:space="preserve"> requirement to show that</w:t>
      </w:r>
      <w:r w:rsidRPr="001B074F">
        <w:rPr>
          <w:rFonts w:eastAsia="Calibri" w:cstheme="minorHAnsi"/>
          <w:sz w:val="24"/>
          <w:szCs w:val="24"/>
        </w:rPr>
        <w:t xml:space="preserve"> </w:t>
      </w:r>
      <w:r>
        <w:rPr>
          <w:rFonts w:eastAsia="Calibri" w:cstheme="minorHAnsi"/>
          <w:sz w:val="24"/>
          <w:szCs w:val="24"/>
        </w:rPr>
        <w:t>unnecessary costs to business have been minimised is consistent with paragraph 1.5.15 of the BRFM which states: “</w:t>
      </w:r>
      <w:r w:rsidRPr="000C2133">
        <w:rPr>
          <w:rFonts w:eastAsia="Times New Roman" w:cstheme="minorHAnsi"/>
        </w:rPr>
        <w:t xml:space="preserve">Regulatory Impact Assessments </w:t>
      </w:r>
      <w:r w:rsidRPr="000C2133">
        <w:rPr>
          <w:rFonts w:eastAsia="Times New Roman" w:cstheme="minorHAnsi"/>
        </w:rPr>
        <w:lastRenderedPageBreak/>
        <w:t>for measures required to implement international commitments and obligations must show how better regulation principles, have been considered in the implementation of these measures</w:t>
      </w:r>
      <w:r w:rsidRPr="000C2133">
        <w:rPr>
          <w:rFonts w:ascii="Arial" w:eastAsia="Times New Roman" w:hAnsi="Arial" w:cs="Times New Roman"/>
          <w:sz w:val="24"/>
          <w:szCs w:val="24"/>
        </w:rPr>
        <w:t>.</w:t>
      </w:r>
      <w:r>
        <w:rPr>
          <w:rFonts w:ascii="Arial" w:eastAsia="Times New Roman" w:hAnsi="Arial" w:cs="Times New Roman"/>
          <w:sz w:val="24"/>
          <w:szCs w:val="24"/>
        </w:rPr>
        <w:t>”</w:t>
      </w:r>
    </w:p>
    <w:p w:rsidR="00A23053" w:rsidRDefault="00A23053" w:rsidP="00DB59F0">
      <w:pPr>
        <w:spacing w:after="0"/>
        <w:rPr>
          <w:rFonts w:eastAsia="Times New Roman" w:cstheme="minorHAnsi"/>
          <w:b/>
          <w:color w:val="984806" w:themeColor="accent6" w:themeShade="80"/>
          <w:sz w:val="28"/>
          <w:szCs w:val="28"/>
          <w:lang w:eastAsia="en-GB"/>
        </w:rPr>
      </w:pPr>
    </w:p>
    <w:p w:rsidR="00DB59F0" w:rsidRPr="00FB3DF8" w:rsidRDefault="00DB59F0" w:rsidP="00DB59F0">
      <w:pPr>
        <w:spacing w:after="0"/>
        <w:rPr>
          <w:rFonts w:eastAsia="Times New Roman" w:cstheme="minorHAnsi"/>
          <w:b/>
          <w:color w:val="984806" w:themeColor="accent6" w:themeShade="80"/>
          <w:sz w:val="28"/>
          <w:szCs w:val="28"/>
          <w:lang w:eastAsia="en-GB"/>
        </w:rPr>
      </w:pPr>
      <w:r w:rsidRPr="00FB3DF8">
        <w:rPr>
          <w:rFonts w:eastAsia="Times New Roman" w:cstheme="minorHAnsi"/>
          <w:b/>
          <w:color w:val="984806" w:themeColor="accent6" w:themeShade="80"/>
          <w:sz w:val="28"/>
          <w:szCs w:val="28"/>
          <w:lang w:eastAsia="en-GB"/>
        </w:rPr>
        <w:t>5.</w:t>
      </w:r>
      <w:r>
        <w:rPr>
          <w:rFonts w:eastAsia="Times New Roman" w:cstheme="minorHAnsi"/>
          <w:b/>
          <w:color w:val="984806" w:themeColor="accent6" w:themeShade="80"/>
          <w:sz w:val="28"/>
          <w:szCs w:val="28"/>
          <w:lang w:eastAsia="en-GB"/>
        </w:rPr>
        <w:t>7</w:t>
      </w:r>
      <w:r w:rsidRPr="00FB3DF8">
        <w:rPr>
          <w:rFonts w:eastAsia="Times New Roman" w:cstheme="minorHAnsi"/>
          <w:b/>
          <w:color w:val="984806" w:themeColor="accent6" w:themeShade="80"/>
          <w:sz w:val="28"/>
          <w:szCs w:val="28"/>
          <w:lang w:eastAsia="en-GB"/>
        </w:rPr>
        <w:t xml:space="preserve"> </w:t>
      </w:r>
      <w:r>
        <w:rPr>
          <w:rFonts w:eastAsia="Times New Roman" w:cstheme="minorHAnsi"/>
          <w:b/>
          <w:color w:val="984806" w:themeColor="accent6" w:themeShade="80"/>
          <w:sz w:val="28"/>
          <w:szCs w:val="28"/>
          <w:lang w:eastAsia="en-GB"/>
        </w:rPr>
        <w:t>Price controls</w:t>
      </w:r>
    </w:p>
    <w:p w:rsidR="00DB59F0" w:rsidRDefault="00DB59F0" w:rsidP="00DB59F0">
      <w:pPr>
        <w:spacing w:after="0"/>
        <w:rPr>
          <w:rFonts w:ascii="Calibri" w:eastAsia="Times New Roman" w:hAnsi="Calibri" w:cs="Calibri"/>
          <w:color w:val="000000" w:themeColor="text1"/>
          <w:sz w:val="24"/>
          <w:szCs w:val="24"/>
          <w:lang w:eastAsia="en-GB"/>
        </w:rPr>
      </w:pPr>
    </w:p>
    <w:p w:rsidR="00DB59F0" w:rsidRPr="009834E9" w:rsidRDefault="00DB59F0" w:rsidP="00DB59F0">
      <w:pPr>
        <w:spacing w:after="0"/>
        <w:rPr>
          <w:rFonts w:ascii="Calibri" w:eastAsia="Times New Roman" w:hAnsi="Calibri" w:cs="Calibri"/>
          <w:color w:val="000000" w:themeColor="text1"/>
          <w:sz w:val="24"/>
          <w:szCs w:val="24"/>
        </w:rPr>
      </w:pPr>
      <w:r w:rsidRPr="006D7C42">
        <w:rPr>
          <w:rFonts w:ascii="Calibri" w:eastAsia="Times New Roman" w:hAnsi="Calibri" w:cs="Calibri"/>
          <w:color w:val="000000" w:themeColor="text1"/>
          <w:sz w:val="24"/>
          <w:szCs w:val="24"/>
          <w:lang w:eastAsia="en-GB"/>
        </w:rPr>
        <w:t>The example</w:t>
      </w:r>
      <w:r>
        <w:rPr>
          <w:rFonts w:ascii="Calibri" w:eastAsia="Times New Roman" w:hAnsi="Calibri" w:cs="Calibri"/>
          <w:color w:val="000000" w:themeColor="text1"/>
          <w:sz w:val="24"/>
          <w:szCs w:val="24"/>
          <w:lang w:eastAsia="en-GB"/>
        </w:rPr>
        <w:t xml:space="preserve"> below illustrates how a revision to an existing price control is excluded from the BIT. Note that the introduction of a new price control would be a qualifying regulatory provision.</w:t>
      </w:r>
    </w:p>
    <w:p w:rsidR="00DB59F0" w:rsidRDefault="00DB59F0" w:rsidP="00DB59F0">
      <w:pPr>
        <w:spacing w:after="0"/>
        <w:rPr>
          <w:rFonts w:eastAsia="Times New Roman" w:cstheme="minorHAnsi"/>
          <w:color w:val="984806" w:themeColor="accent6" w:themeShade="80"/>
          <w:sz w:val="28"/>
          <w:szCs w:val="28"/>
          <w:lang w:eastAsia="en-GB"/>
        </w:rPr>
      </w:pPr>
    </w:p>
    <w:p w:rsidR="00DB59F0" w:rsidRDefault="00DB59F0" w:rsidP="00DB59F0">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b/>
          <w:sz w:val="24"/>
          <w:szCs w:val="24"/>
          <w:lang w:eastAsia="en-GB"/>
        </w:rPr>
      </w:pPr>
      <w:r>
        <w:rPr>
          <w:rFonts w:eastAsia="Times New Roman" w:cstheme="minorHAnsi"/>
          <w:b/>
          <w:sz w:val="24"/>
          <w:szCs w:val="24"/>
          <w:lang w:eastAsia="en-GB"/>
        </w:rPr>
        <w:t>Teaching Excellence Framework</w:t>
      </w:r>
      <w:r w:rsidRPr="00FD6744">
        <w:rPr>
          <w:rFonts w:eastAsia="Times New Roman" w:cstheme="minorHAnsi"/>
          <w:b/>
          <w:sz w:val="24"/>
          <w:szCs w:val="24"/>
          <w:lang w:eastAsia="en-GB"/>
        </w:rPr>
        <w:t xml:space="preserve"> </w:t>
      </w:r>
      <w:r>
        <w:rPr>
          <w:rFonts w:eastAsia="Times New Roman" w:cstheme="minorHAnsi"/>
          <w:b/>
          <w:sz w:val="24"/>
          <w:szCs w:val="24"/>
          <w:lang w:eastAsia="en-GB"/>
        </w:rPr>
        <w:t>(RPC16-BIS</w:t>
      </w:r>
      <w:r w:rsidRPr="00E729E8">
        <w:rPr>
          <w:rFonts w:eastAsia="Times New Roman" w:cstheme="minorHAnsi"/>
          <w:b/>
          <w:sz w:val="24"/>
          <w:szCs w:val="24"/>
          <w:lang w:eastAsia="en-GB"/>
        </w:rPr>
        <w:t>-</w:t>
      </w:r>
      <w:r>
        <w:rPr>
          <w:rFonts w:eastAsia="Times New Roman" w:cstheme="minorHAnsi"/>
          <w:b/>
          <w:sz w:val="24"/>
          <w:szCs w:val="24"/>
          <w:lang w:eastAsia="en-GB"/>
        </w:rPr>
        <w:t>3339)</w:t>
      </w:r>
    </w:p>
    <w:p w:rsidR="00DB59F0" w:rsidRDefault="00DB59F0" w:rsidP="00DB59F0">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ascii="Calibri" w:hAnsi="Calibri" w:cs="Calibri"/>
          <w:sz w:val="24"/>
        </w:rPr>
      </w:pPr>
      <w:r w:rsidRPr="007D1D3A">
        <w:rPr>
          <w:rFonts w:ascii="Calibri" w:eastAsia="Times New Roman" w:hAnsi="Calibri" w:cs="Calibri"/>
          <w:sz w:val="24"/>
          <w:szCs w:val="24"/>
          <w:lang w:eastAsia="en-GB"/>
        </w:rPr>
        <w:t xml:space="preserve">This proposal meant that higher education institutions (HEIs) meeting defined criteria demonstrating high quality teaching would be allowed to increase their fees beyond the current government imposed caps in line with inflation. The proposal was estimated to </w:t>
      </w:r>
      <w:r>
        <w:rPr>
          <w:rFonts w:ascii="Calibri" w:eastAsia="Times New Roman" w:hAnsi="Calibri" w:cs="Calibri"/>
          <w:sz w:val="24"/>
          <w:szCs w:val="24"/>
          <w:lang w:eastAsia="en-GB"/>
        </w:rPr>
        <w:t>benefit HEIs by £1.1bn each year.</w:t>
      </w:r>
      <w:r w:rsidRPr="007D1D3A">
        <w:rPr>
          <w:rFonts w:ascii="Calibri" w:eastAsia="Times New Roman" w:hAnsi="Calibri" w:cs="Calibri"/>
          <w:sz w:val="24"/>
          <w:szCs w:val="24"/>
          <w:lang w:eastAsia="en-GB"/>
        </w:rPr>
        <w:t xml:space="preserve"> However, the proposal was classified </w:t>
      </w:r>
      <w:r>
        <w:rPr>
          <w:rFonts w:ascii="Calibri" w:eastAsia="Times New Roman" w:hAnsi="Calibri" w:cs="Calibri"/>
          <w:sz w:val="24"/>
          <w:szCs w:val="24"/>
          <w:lang w:eastAsia="en-GB"/>
        </w:rPr>
        <w:t xml:space="preserve">as an </w:t>
      </w:r>
      <w:r w:rsidRPr="007D1D3A">
        <w:rPr>
          <w:rFonts w:ascii="Calibri" w:hAnsi="Calibri" w:cs="Calibri"/>
          <w:sz w:val="24"/>
        </w:rPr>
        <w:t>expansion of an existing price control and, therefore, a non-qualifying regulatory provision.</w:t>
      </w:r>
    </w:p>
    <w:p w:rsidR="00DB59F0" w:rsidRPr="007D1D3A" w:rsidRDefault="00DB59F0" w:rsidP="00DB59F0">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ascii="Calibri" w:eastAsia="Times New Roman" w:hAnsi="Calibri" w:cs="Calibri"/>
          <w:b/>
          <w:sz w:val="24"/>
          <w:szCs w:val="24"/>
          <w:lang w:eastAsia="en-GB"/>
        </w:rPr>
      </w:pPr>
    </w:p>
    <w:p w:rsidR="00DB59F0" w:rsidRDefault="00DB59F0" w:rsidP="00DB59F0">
      <w:pPr>
        <w:rPr>
          <w:rFonts w:eastAsia="Times New Roman" w:cstheme="minorHAnsi"/>
          <w:b/>
          <w:sz w:val="24"/>
          <w:szCs w:val="24"/>
        </w:rPr>
      </w:pPr>
    </w:p>
    <w:p w:rsidR="00DB59F0" w:rsidRPr="001A2F20" w:rsidRDefault="00DB59F0" w:rsidP="00DB59F0">
      <w:pPr>
        <w:rPr>
          <w:rFonts w:eastAsia="Times New Roman" w:cstheme="minorHAnsi"/>
          <w:sz w:val="24"/>
          <w:szCs w:val="24"/>
        </w:rPr>
      </w:pPr>
      <w:r w:rsidRPr="001A2F20">
        <w:rPr>
          <w:rFonts w:eastAsia="Times New Roman" w:cstheme="minorHAnsi"/>
          <w:sz w:val="24"/>
          <w:szCs w:val="24"/>
        </w:rPr>
        <w:t xml:space="preserve">The </w:t>
      </w:r>
      <w:r>
        <w:rPr>
          <w:rFonts w:eastAsia="Times New Roman" w:cstheme="minorHAnsi"/>
          <w:sz w:val="24"/>
          <w:szCs w:val="24"/>
        </w:rPr>
        <w:t xml:space="preserve">examples below relate to the same policy area. </w:t>
      </w:r>
      <w:proofErr w:type="gramStart"/>
      <w:r>
        <w:rPr>
          <w:rFonts w:eastAsia="Times New Roman" w:cstheme="minorHAnsi"/>
          <w:sz w:val="24"/>
          <w:szCs w:val="24"/>
        </w:rPr>
        <w:t xml:space="preserve">The first a price control under OITO; the second </w:t>
      </w:r>
      <w:r w:rsidR="00A23053">
        <w:rPr>
          <w:rFonts w:eastAsia="Times New Roman" w:cstheme="minorHAnsi"/>
          <w:sz w:val="24"/>
          <w:szCs w:val="24"/>
        </w:rPr>
        <w:t>under the BIT</w:t>
      </w:r>
      <w:r>
        <w:rPr>
          <w:rFonts w:eastAsia="Times New Roman" w:cstheme="minorHAnsi"/>
          <w:sz w:val="24"/>
          <w:szCs w:val="24"/>
        </w:rPr>
        <w:t>.</w:t>
      </w:r>
      <w:proofErr w:type="gramEnd"/>
    </w:p>
    <w:p w:rsidR="00DB59F0" w:rsidRPr="001C6AA6" w:rsidRDefault="00DB59F0" w:rsidP="00DB59F0">
      <w:pPr>
        <w:spacing w:after="0"/>
        <w:rPr>
          <w:rFonts w:eastAsia="Times New Roman" w:cstheme="minorHAnsi"/>
          <w:i/>
          <w:sz w:val="24"/>
          <w:szCs w:val="24"/>
          <w:lang w:eastAsia="en-GB"/>
        </w:rPr>
      </w:pPr>
    </w:p>
    <w:p w:rsidR="00DB59F0" w:rsidRDefault="00DB59F0" w:rsidP="00DB59F0">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sz w:val="24"/>
          <w:szCs w:val="24"/>
          <w:lang w:eastAsia="en-GB"/>
        </w:rPr>
      </w:pPr>
      <w:proofErr w:type="spellStart"/>
      <w:r>
        <w:rPr>
          <w:rFonts w:eastAsia="Times New Roman" w:cstheme="minorHAnsi"/>
          <w:b/>
          <w:sz w:val="24"/>
          <w:szCs w:val="24"/>
          <w:lang w:eastAsia="en-GB"/>
        </w:rPr>
        <w:t>MoT</w:t>
      </w:r>
      <w:proofErr w:type="spellEnd"/>
      <w:r>
        <w:rPr>
          <w:rFonts w:eastAsia="Times New Roman" w:cstheme="minorHAnsi"/>
          <w:b/>
          <w:sz w:val="24"/>
          <w:szCs w:val="24"/>
          <w:lang w:eastAsia="en-GB"/>
        </w:rPr>
        <w:t xml:space="preserve"> fee review (RPC13-FT-Df</w:t>
      </w:r>
      <w:r w:rsidRPr="00222362">
        <w:rPr>
          <w:rFonts w:eastAsia="Times New Roman" w:cstheme="minorHAnsi"/>
          <w:b/>
          <w:sz w:val="24"/>
          <w:szCs w:val="24"/>
          <w:lang w:eastAsia="en-GB"/>
        </w:rPr>
        <w:t xml:space="preserve">T-1836): </w:t>
      </w:r>
      <w:r w:rsidRPr="00222362">
        <w:rPr>
          <w:rFonts w:eastAsia="Times New Roman" w:cstheme="minorHAnsi"/>
          <w:sz w:val="24"/>
          <w:szCs w:val="24"/>
          <w:lang w:eastAsia="en-GB"/>
        </w:rPr>
        <w:t>the maximum amount a firm can charge is fixed by legislation. The proposal was to increase th</w:t>
      </w:r>
      <w:r>
        <w:rPr>
          <w:rFonts w:eastAsia="Times New Roman" w:cstheme="minorHAnsi"/>
          <w:sz w:val="24"/>
          <w:szCs w:val="24"/>
          <w:lang w:eastAsia="en-GB"/>
        </w:rPr>
        <w:t>is</w:t>
      </w:r>
      <w:r w:rsidRPr="00222362">
        <w:rPr>
          <w:rFonts w:eastAsia="Times New Roman" w:cstheme="minorHAnsi"/>
          <w:sz w:val="24"/>
          <w:szCs w:val="24"/>
          <w:lang w:eastAsia="en-GB"/>
        </w:rPr>
        <w:t xml:space="preserve"> maximum. This was considered a regulated price rather than a fee or charge </w:t>
      </w:r>
      <w:r>
        <w:rPr>
          <w:rFonts w:eastAsia="Times New Roman" w:cstheme="minorHAnsi"/>
          <w:sz w:val="24"/>
          <w:szCs w:val="24"/>
          <w:lang w:eastAsia="en-GB"/>
        </w:rPr>
        <w:t>because</w:t>
      </w:r>
      <w:r w:rsidRPr="00222362">
        <w:rPr>
          <w:rFonts w:eastAsia="Times New Roman" w:cstheme="minorHAnsi"/>
          <w:sz w:val="24"/>
          <w:szCs w:val="24"/>
          <w:lang w:eastAsia="en-GB"/>
        </w:rPr>
        <w:t xml:space="preserve"> it was charged by businesses </w:t>
      </w:r>
      <w:r>
        <w:rPr>
          <w:rFonts w:eastAsia="Times New Roman" w:cstheme="minorHAnsi"/>
          <w:sz w:val="24"/>
          <w:szCs w:val="24"/>
          <w:lang w:eastAsia="en-GB"/>
        </w:rPr>
        <w:t xml:space="preserve">and </w:t>
      </w:r>
      <w:r w:rsidRPr="00222362">
        <w:rPr>
          <w:rFonts w:eastAsia="Times New Roman" w:cstheme="minorHAnsi"/>
          <w:sz w:val="24"/>
          <w:szCs w:val="24"/>
          <w:lang w:eastAsia="en-GB"/>
        </w:rPr>
        <w:t>not an enforcement body, and because it was a maximum rather than a set level.</w:t>
      </w:r>
      <w:r>
        <w:rPr>
          <w:rFonts w:eastAsia="Times New Roman" w:cstheme="minorHAnsi"/>
          <w:sz w:val="24"/>
          <w:szCs w:val="24"/>
          <w:lang w:eastAsia="en-GB"/>
        </w:rPr>
        <w:t xml:space="preserve"> </w:t>
      </w:r>
      <w:r w:rsidRPr="00222362">
        <w:rPr>
          <w:rFonts w:eastAsia="Times New Roman" w:cstheme="minorHAnsi"/>
          <w:sz w:val="24"/>
          <w:szCs w:val="24"/>
          <w:lang w:eastAsia="en-GB"/>
        </w:rPr>
        <w:t>However, the measure was still out of scope of OITO as it represented a periodic adjustment to an existing scheme (the changes were in line with inflation). This was a fast track out of scope proposal so no full opinion was published.</w:t>
      </w:r>
    </w:p>
    <w:p w:rsidR="00DB59F0" w:rsidRDefault="00DB59F0" w:rsidP="00DB59F0">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sz w:val="24"/>
          <w:szCs w:val="24"/>
          <w:lang w:eastAsia="en-GB"/>
        </w:rPr>
      </w:pPr>
    </w:p>
    <w:p w:rsidR="00DB59F0" w:rsidRDefault="00DB59F0" w:rsidP="00DB59F0">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sz w:val="24"/>
          <w:szCs w:val="24"/>
          <w:lang w:eastAsia="en-GB"/>
        </w:rPr>
      </w:pPr>
      <w:r>
        <w:rPr>
          <w:rFonts w:eastAsia="Times New Roman" w:cstheme="minorHAnsi"/>
          <w:sz w:val="24"/>
          <w:szCs w:val="24"/>
          <w:lang w:eastAsia="en-GB"/>
        </w:rPr>
        <w:t>Note that ‘periodic adjustment’ is no longer a specific exclusion under the BIT.</w:t>
      </w:r>
    </w:p>
    <w:p w:rsidR="00DB59F0" w:rsidRDefault="00DB59F0" w:rsidP="00DB59F0">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sz w:val="24"/>
          <w:szCs w:val="24"/>
          <w:lang w:eastAsia="en-GB"/>
        </w:rPr>
      </w:pPr>
    </w:p>
    <w:p w:rsidR="00DB59F0" w:rsidRPr="004409D4" w:rsidRDefault="00DB59F0" w:rsidP="00DB59F0">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b/>
          <w:sz w:val="24"/>
          <w:szCs w:val="24"/>
          <w:lang w:eastAsia="en-GB"/>
        </w:rPr>
      </w:pPr>
      <w:proofErr w:type="spellStart"/>
      <w:r w:rsidRPr="004409D4">
        <w:rPr>
          <w:rFonts w:eastAsia="Times New Roman" w:cstheme="minorHAnsi"/>
          <w:b/>
          <w:sz w:val="24"/>
          <w:szCs w:val="24"/>
          <w:lang w:eastAsia="en-GB"/>
        </w:rPr>
        <w:t>MoT</w:t>
      </w:r>
      <w:proofErr w:type="spellEnd"/>
      <w:r w:rsidRPr="004409D4">
        <w:rPr>
          <w:rFonts w:eastAsia="Times New Roman" w:cstheme="minorHAnsi"/>
          <w:b/>
          <w:sz w:val="24"/>
          <w:szCs w:val="24"/>
          <w:lang w:eastAsia="en-GB"/>
        </w:rPr>
        <w:t xml:space="preserve"> fee revision (RPC16-DfT-3477(1))</w:t>
      </w:r>
    </w:p>
    <w:p w:rsidR="00DB59F0" w:rsidRPr="004409D4" w:rsidRDefault="00DB59F0" w:rsidP="00DB59F0">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sz w:val="24"/>
          <w:szCs w:val="24"/>
          <w:lang w:eastAsia="en-GB"/>
        </w:rPr>
      </w:pPr>
      <w:r w:rsidRPr="004409D4">
        <w:rPr>
          <w:rFonts w:eastAsia="Times New Roman" w:cstheme="minorHAnsi"/>
          <w:sz w:val="24"/>
          <w:szCs w:val="24"/>
          <w:lang w:eastAsia="en-GB"/>
        </w:rPr>
        <w:t>The proposal would increase the maximum fees that testing stations can charge for</w:t>
      </w:r>
    </w:p>
    <w:p w:rsidR="00DB59F0" w:rsidRPr="00222362" w:rsidRDefault="00DB59F0" w:rsidP="00DB59F0">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sz w:val="24"/>
          <w:szCs w:val="24"/>
          <w:lang w:eastAsia="en-GB"/>
        </w:rPr>
      </w:pPr>
      <w:proofErr w:type="gramStart"/>
      <w:r w:rsidRPr="004409D4">
        <w:rPr>
          <w:rFonts w:eastAsia="Times New Roman" w:cstheme="minorHAnsi"/>
          <w:sz w:val="24"/>
          <w:szCs w:val="24"/>
          <w:lang w:eastAsia="en-GB"/>
        </w:rPr>
        <w:t>an</w:t>
      </w:r>
      <w:proofErr w:type="gramEnd"/>
      <w:r w:rsidRPr="004409D4">
        <w:rPr>
          <w:rFonts w:eastAsia="Times New Roman" w:cstheme="minorHAnsi"/>
          <w:sz w:val="24"/>
          <w:szCs w:val="24"/>
          <w:lang w:eastAsia="en-GB"/>
        </w:rPr>
        <w:t xml:space="preserve"> </w:t>
      </w:r>
      <w:proofErr w:type="spellStart"/>
      <w:r w:rsidRPr="004409D4">
        <w:rPr>
          <w:rFonts w:eastAsia="Times New Roman" w:cstheme="minorHAnsi"/>
          <w:sz w:val="24"/>
          <w:szCs w:val="24"/>
          <w:lang w:eastAsia="en-GB"/>
        </w:rPr>
        <w:t>MoT</w:t>
      </w:r>
      <w:proofErr w:type="spellEnd"/>
      <w:r w:rsidRPr="004409D4">
        <w:rPr>
          <w:rFonts w:eastAsia="Times New Roman" w:cstheme="minorHAnsi"/>
          <w:sz w:val="24"/>
          <w:szCs w:val="24"/>
          <w:lang w:eastAsia="en-GB"/>
        </w:rPr>
        <w:t xml:space="preserve"> test. This was a consultation stage IA that received an IRN. Although the measure would loosen an existing price control, and therefore be beneficial to garages, the analysis of the impact on owners of business vehicles was insufficient, including those operated by small and micro businesses. The Department also incorrectly classified the measure as not being a regulatory provision on the basis that it was a fee/charge. The measure should have been classified as a non-qualifying regulatory provision on the basis that it is an amendment to an existing price control.</w:t>
      </w:r>
    </w:p>
    <w:p w:rsidR="00DB59F0" w:rsidRPr="00FB3DF8" w:rsidRDefault="00DB59F0" w:rsidP="00DB59F0">
      <w:pPr>
        <w:spacing w:after="0"/>
        <w:rPr>
          <w:rFonts w:eastAsia="Times New Roman" w:cstheme="minorHAnsi"/>
          <w:b/>
          <w:color w:val="984806" w:themeColor="accent6" w:themeShade="80"/>
          <w:sz w:val="28"/>
          <w:szCs w:val="28"/>
          <w:lang w:eastAsia="en-GB"/>
        </w:rPr>
      </w:pPr>
      <w:bookmarkStart w:id="9" w:name="Feesregulatoryburdens"/>
      <w:bookmarkStart w:id="10" w:name="beyondcost"/>
      <w:bookmarkEnd w:id="9"/>
      <w:bookmarkEnd w:id="10"/>
      <w:r w:rsidRPr="00FB3DF8">
        <w:rPr>
          <w:rFonts w:eastAsia="Times New Roman" w:cstheme="minorHAnsi"/>
          <w:b/>
          <w:color w:val="984806" w:themeColor="accent6" w:themeShade="80"/>
          <w:sz w:val="28"/>
          <w:szCs w:val="28"/>
          <w:lang w:eastAsia="en-GB"/>
        </w:rPr>
        <w:lastRenderedPageBreak/>
        <w:t>5.</w:t>
      </w:r>
      <w:r>
        <w:rPr>
          <w:rFonts w:eastAsia="Times New Roman" w:cstheme="minorHAnsi"/>
          <w:b/>
          <w:color w:val="984806" w:themeColor="accent6" w:themeShade="80"/>
          <w:sz w:val="28"/>
          <w:szCs w:val="28"/>
          <w:lang w:eastAsia="en-GB"/>
        </w:rPr>
        <w:t>8</w:t>
      </w:r>
      <w:r w:rsidRPr="00FB3DF8">
        <w:rPr>
          <w:rFonts w:eastAsia="Times New Roman" w:cstheme="minorHAnsi"/>
          <w:b/>
          <w:color w:val="984806" w:themeColor="accent6" w:themeShade="80"/>
          <w:sz w:val="28"/>
          <w:szCs w:val="28"/>
          <w:lang w:eastAsia="en-GB"/>
        </w:rPr>
        <w:t xml:space="preserve"> </w:t>
      </w:r>
      <w:r>
        <w:rPr>
          <w:rFonts w:eastAsia="Times New Roman" w:cstheme="minorHAnsi"/>
          <w:b/>
          <w:color w:val="984806" w:themeColor="accent6" w:themeShade="80"/>
          <w:sz w:val="28"/>
          <w:szCs w:val="28"/>
          <w:lang w:eastAsia="en-GB"/>
        </w:rPr>
        <w:t>Fines and penalties</w:t>
      </w:r>
    </w:p>
    <w:p w:rsidR="00DB59F0" w:rsidRDefault="00DB59F0" w:rsidP="00DB59F0">
      <w:pPr>
        <w:spacing w:after="300"/>
        <w:contextualSpacing/>
        <w:rPr>
          <w:rFonts w:eastAsiaTheme="majorEastAsia" w:cstheme="minorHAnsi"/>
          <w:color w:val="C00000"/>
          <w:spacing w:val="5"/>
          <w:kern w:val="28"/>
          <w:sz w:val="24"/>
          <w:szCs w:val="24"/>
        </w:rPr>
      </w:pPr>
    </w:p>
    <w:p w:rsidR="00DB59F0" w:rsidRDefault="00DB59F0" w:rsidP="00DB59F0">
      <w:pPr>
        <w:spacing w:after="0"/>
        <w:rPr>
          <w:rFonts w:eastAsia="Times New Roman" w:cstheme="minorHAnsi"/>
          <w:sz w:val="24"/>
          <w:szCs w:val="24"/>
          <w:lang w:eastAsia="en-GB"/>
        </w:rPr>
      </w:pPr>
      <w:r w:rsidRPr="002E1BAA">
        <w:rPr>
          <w:rFonts w:eastAsia="Times New Roman" w:cstheme="minorHAnsi"/>
          <w:sz w:val="24"/>
          <w:szCs w:val="24"/>
          <w:lang w:eastAsia="en-GB"/>
        </w:rPr>
        <w:t xml:space="preserve">When calculating </w:t>
      </w:r>
      <w:r>
        <w:rPr>
          <w:rFonts w:eastAsia="Times New Roman" w:cstheme="minorHAnsi"/>
          <w:sz w:val="24"/>
          <w:szCs w:val="24"/>
          <w:lang w:eastAsia="en-GB"/>
        </w:rPr>
        <w:t xml:space="preserve">the </w:t>
      </w:r>
      <w:r w:rsidRPr="002E1BAA">
        <w:rPr>
          <w:rFonts w:eastAsia="Times New Roman" w:cstheme="minorHAnsi"/>
          <w:sz w:val="24"/>
          <w:szCs w:val="24"/>
          <w:lang w:eastAsia="en-GB"/>
        </w:rPr>
        <w:t>EAN</w:t>
      </w:r>
      <w:r>
        <w:rPr>
          <w:rFonts w:eastAsia="Times New Roman" w:cstheme="minorHAnsi"/>
          <w:sz w:val="24"/>
          <w:szCs w:val="24"/>
          <w:lang w:eastAsia="en-GB"/>
        </w:rPr>
        <w:t>D</w:t>
      </w:r>
      <w:r w:rsidRPr="002E1BAA">
        <w:rPr>
          <w:rFonts w:eastAsia="Times New Roman" w:cstheme="minorHAnsi"/>
          <w:sz w:val="24"/>
          <w:szCs w:val="24"/>
          <w:lang w:eastAsia="en-GB"/>
        </w:rPr>
        <w:t xml:space="preserve">CB of a policy, any costs that are incurred as a direct result of </w:t>
      </w:r>
      <w:r w:rsidRPr="00FB2573">
        <w:rPr>
          <w:rFonts w:eastAsia="Times New Roman" w:cstheme="minorHAnsi"/>
          <w:b/>
          <w:sz w:val="24"/>
          <w:szCs w:val="24"/>
          <w:lang w:eastAsia="en-GB"/>
        </w:rPr>
        <w:t>non-compliant activity</w:t>
      </w:r>
      <w:r w:rsidRPr="002E1BAA">
        <w:rPr>
          <w:rFonts w:eastAsia="Times New Roman" w:cstheme="minorHAnsi"/>
          <w:sz w:val="24"/>
          <w:szCs w:val="24"/>
          <w:lang w:eastAsia="en-GB"/>
        </w:rPr>
        <w:t xml:space="preserve"> should not be included. </w:t>
      </w:r>
      <w:r>
        <w:rPr>
          <w:rFonts w:eastAsia="Times New Roman" w:cstheme="minorHAnsi"/>
          <w:sz w:val="24"/>
          <w:szCs w:val="24"/>
          <w:lang w:eastAsia="en-GB"/>
        </w:rPr>
        <w:t xml:space="preserve">It would also not normally be included in the NPV. </w:t>
      </w:r>
      <w:r w:rsidRPr="002E1BAA">
        <w:rPr>
          <w:rFonts w:eastAsia="Times New Roman" w:cstheme="minorHAnsi"/>
          <w:sz w:val="24"/>
          <w:szCs w:val="24"/>
          <w:lang w:eastAsia="en-GB"/>
        </w:rPr>
        <w:t>This applies both to costs from non-compliant activity that is now prevented (e.g. lost revenue from prevented theft) and to costs of punishments (e.g. fines). These impacts should, nevertheless, be discussed within the IA and monetised where appropriate.</w:t>
      </w:r>
      <w:bookmarkStart w:id="11" w:name="Fines"/>
      <w:bookmarkEnd w:id="11"/>
    </w:p>
    <w:p w:rsidR="00DB59F0" w:rsidRDefault="00DB59F0" w:rsidP="00DB59F0">
      <w:pPr>
        <w:spacing w:after="0"/>
        <w:rPr>
          <w:rFonts w:eastAsia="Times New Roman" w:cstheme="minorHAnsi"/>
          <w:sz w:val="24"/>
          <w:szCs w:val="24"/>
          <w:lang w:eastAsia="en-GB"/>
        </w:rPr>
      </w:pPr>
    </w:p>
    <w:p w:rsidR="00DB59F0" w:rsidRPr="00C36CF1" w:rsidRDefault="00DB59F0" w:rsidP="00DB59F0">
      <w:pPr>
        <w:spacing w:after="0"/>
        <w:rPr>
          <w:rFonts w:eastAsia="Times New Roman" w:cstheme="minorHAnsi"/>
          <w:b/>
          <w:sz w:val="24"/>
          <w:szCs w:val="24"/>
          <w:lang w:eastAsia="en-GB"/>
        </w:rPr>
      </w:pPr>
      <w:r w:rsidRPr="00C36CF1">
        <w:rPr>
          <w:rFonts w:eastAsia="Times New Roman" w:cstheme="minorHAnsi"/>
          <w:b/>
          <w:sz w:val="24"/>
          <w:szCs w:val="24"/>
          <w:lang w:eastAsia="en-GB"/>
        </w:rPr>
        <w:t>5.</w:t>
      </w:r>
      <w:r>
        <w:rPr>
          <w:rFonts w:eastAsia="Times New Roman" w:cstheme="minorHAnsi"/>
          <w:b/>
          <w:sz w:val="24"/>
          <w:szCs w:val="24"/>
          <w:lang w:eastAsia="en-GB"/>
        </w:rPr>
        <w:t>8</w:t>
      </w:r>
      <w:r w:rsidRPr="00C36CF1">
        <w:rPr>
          <w:rFonts w:eastAsia="Times New Roman" w:cstheme="minorHAnsi"/>
          <w:b/>
          <w:sz w:val="24"/>
          <w:szCs w:val="24"/>
          <w:lang w:eastAsia="en-GB"/>
        </w:rPr>
        <w:t>.</w:t>
      </w:r>
      <w:r>
        <w:rPr>
          <w:rFonts w:eastAsia="Times New Roman" w:cstheme="minorHAnsi"/>
          <w:b/>
          <w:sz w:val="24"/>
          <w:szCs w:val="24"/>
          <w:lang w:eastAsia="en-GB"/>
        </w:rPr>
        <w:t>1</w:t>
      </w:r>
      <w:r w:rsidRPr="00C36CF1">
        <w:rPr>
          <w:rFonts w:eastAsia="Times New Roman" w:cstheme="minorHAnsi"/>
          <w:b/>
          <w:sz w:val="24"/>
          <w:szCs w:val="24"/>
          <w:lang w:eastAsia="en-GB"/>
        </w:rPr>
        <w:t xml:space="preserve"> </w:t>
      </w:r>
      <w:r w:rsidRPr="002E1BAA">
        <w:rPr>
          <w:rFonts w:eastAsia="Times New Roman" w:cstheme="minorHAnsi"/>
          <w:b/>
          <w:color w:val="000000" w:themeColor="text1"/>
          <w:sz w:val="24"/>
          <w:szCs w:val="24"/>
          <w:lang w:eastAsia="en-GB"/>
        </w:rPr>
        <w:t>Settlements without admission of guilt</w:t>
      </w:r>
    </w:p>
    <w:p w:rsidR="00DB59F0" w:rsidRDefault="00DB59F0" w:rsidP="00DB59F0">
      <w:pPr>
        <w:spacing w:after="0"/>
        <w:rPr>
          <w:rFonts w:eastAsia="Times New Roman" w:cstheme="minorHAnsi"/>
          <w:sz w:val="24"/>
          <w:szCs w:val="24"/>
          <w:lang w:eastAsia="en-GB"/>
        </w:rPr>
      </w:pPr>
      <w:r w:rsidRPr="002E1BAA">
        <w:rPr>
          <w:rFonts w:eastAsia="Times New Roman" w:cstheme="minorHAnsi"/>
          <w:sz w:val="24"/>
          <w:szCs w:val="24"/>
          <w:lang w:eastAsia="en-GB"/>
        </w:rPr>
        <w:t xml:space="preserve">When a court finds against an actor it is assumed that they are non-compliant. When an actor chooses to settle without an admission of guilt it should not </w:t>
      </w:r>
      <w:r>
        <w:rPr>
          <w:rFonts w:eastAsia="Times New Roman" w:cstheme="minorHAnsi"/>
          <w:sz w:val="24"/>
          <w:szCs w:val="24"/>
          <w:lang w:eastAsia="en-GB"/>
        </w:rPr>
        <w:t xml:space="preserve">necessarily </w:t>
      </w:r>
      <w:r w:rsidRPr="002E1BAA">
        <w:rPr>
          <w:rFonts w:eastAsia="Times New Roman" w:cstheme="minorHAnsi"/>
          <w:sz w:val="24"/>
          <w:szCs w:val="24"/>
          <w:lang w:eastAsia="en-GB"/>
        </w:rPr>
        <w:t>be assumed that they are non-compliant. Where evidence is available that a proportion of settlements are an attempt by businesses to avoid court costs or reputational damage of fighting a case, and that in a proportion of these cases firms are not non-compliant, this should be reflected in the IA.</w:t>
      </w:r>
    </w:p>
    <w:p w:rsidR="00DB59F0" w:rsidRPr="002E1BAA" w:rsidRDefault="00DB59F0" w:rsidP="00DB59F0">
      <w:pPr>
        <w:spacing w:after="0"/>
        <w:rPr>
          <w:rFonts w:eastAsia="Times New Roman" w:cstheme="minorHAnsi"/>
          <w:sz w:val="24"/>
          <w:szCs w:val="24"/>
          <w:lang w:eastAsia="en-GB"/>
        </w:rPr>
      </w:pPr>
    </w:p>
    <w:p w:rsidR="00DB59F0" w:rsidRPr="002E1BAA" w:rsidRDefault="00DB59F0" w:rsidP="00DB59F0">
      <w:pPr>
        <w:spacing w:after="0"/>
        <w:rPr>
          <w:rFonts w:eastAsia="Times New Roman" w:cstheme="minorHAnsi"/>
          <w:b/>
          <w:color w:val="000000" w:themeColor="text1"/>
          <w:sz w:val="24"/>
          <w:szCs w:val="24"/>
          <w:lang w:eastAsia="en-GB"/>
        </w:rPr>
      </w:pPr>
      <w:r>
        <w:rPr>
          <w:rFonts w:eastAsia="Times New Roman" w:cstheme="minorHAnsi"/>
          <w:b/>
          <w:color w:val="000000" w:themeColor="text1"/>
          <w:sz w:val="24"/>
          <w:szCs w:val="24"/>
          <w:lang w:eastAsia="en-GB"/>
        </w:rPr>
        <w:t>5</w:t>
      </w:r>
      <w:r w:rsidRPr="002E1BAA">
        <w:rPr>
          <w:rFonts w:eastAsia="Times New Roman" w:cstheme="minorHAnsi"/>
          <w:b/>
          <w:color w:val="000000" w:themeColor="text1"/>
          <w:sz w:val="24"/>
          <w:szCs w:val="24"/>
          <w:lang w:eastAsia="en-GB"/>
        </w:rPr>
        <w:t>.</w:t>
      </w:r>
      <w:r>
        <w:rPr>
          <w:rFonts w:eastAsia="Times New Roman" w:cstheme="minorHAnsi"/>
          <w:b/>
          <w:color w:val="000000" w:themeColor="text1"/>
          <w:sz w:val="24"/>
          <w:szCs w:val="24"/>
          <w:lang w:eastAsia="en-GB"/>
        </w:rPr>
        <w:t>8</w:t>
      </w:r>
      <w:r w:rsidRPr="002E1BAA">
        <w:rPr>
          <w:rFonts w:eastAsia="Times New Roman" w:cstheme="minorHAnsi"/>
          <w:b/>
          <w:color w:val="000000" w:themeColor="text1"/>
          <w:sz w:val="24"/>
          <w:szCs w:val="24"/>
          <w:lang w:eastAsia="en-GB"/>
        </w:rPr>
        <w:t>.</w:t>
      </w:r>
      <w:r>
        <w:rPr>
          <w:rFonts w:eastAsia="Times New Roman" w:cstheme="minorHAnsi"/>
          <w:b/>
          <w:color w:val="000000" w:themeColor="text1"/>
          <w:sz w:val="24"/>
          <w:szCs w:val="24"/>
          <w:lang w:eastAsia="en-GB"/>
        </w:rPr>
        <w:t>2</w:t>
      </w:r>
      <w:r w:rsidRPr="002E1BAA">
        <w:rPr>
          <w:rFonts w:eastAsia="Times New Roman" w:cstheme="minorHAnsi"/>
          <w:b/>
          <w:color w:val="000000" w:themeColor="text1"/>
          <w:sz w:val="24"/>
          <w:szCs w:val="24"/>
          <w:lang w:eastAsia="en-GB"/>
        </w:rPr>
        <w:t xml:space="preserve"> Insurance</w:t>
      </w:r>
    </w:p>
    <w:p w:rsidR="00DB59F0" w:rsidRPr="002E1BAA" w:rsidRDefault="00DB59F0" w:rsidP="00DB59F0">
      <w:pPr>
        <w:spacing w:after="0"/>
        <w:rPr>
          <w:rFonts w:eastAsia="Times New Roman" w:cstheme="minorHAnsi"/>
          <w:sz w:val="24"/>
          <w:szCs w:val="24"/>
          <w:lang w:eastAsia="en-GB"/>
        </w:rPr>
      </w:pPr>
      <w:r w:rsidRPr="002E1BAA">
        <w:rPr>
          <w:rFonts w:eastAsia="Times New Roman" w:cstheme="minorHAnsi"/>
          <w:sz w:val="24"/>
          <w:szCs w:val="24"/>
          <w:lang w:eastAsia="en-GB"/>
        </w:rPr>
        <w:t>Businesses often have insurance against liability. Any costs these firms are forced to pay as a result of non-compliance, including legal costs, are ultimately passed on to insurance companies. This is best understood by separating the transfers into costs and benefits. There is a cost to the business as a result of non-compliance; this should not be included in the EAN</w:t>
      </w:r>
      <w:r>
        <w:rPr>
          <w:rFonts w:eastAsia="Times New Roman" w:cstheme="minorHAnsi"/>
          <w:sz w:val="24"/>
          <w:szCs w:val="24"/>
          <w:lang w:eastAsia="en-GB"/>
        </w:rPr>
        <w:t>D</w:t>
      </w:r>
      <w:r w:rsidRPr="002E1BAA">
        <w:rPr>
          <w:rFonts w:eastAsia="Times New Roman" w:cstheme="minorHAnsi"/>
          <w:sz w:val="24"/>
          <w:szCs w:val="24"/>
          <w:lang w:eastAsia="en-GB"/>
        </w:rPr>
        <w:t>CB. Insurance company payments result in a benefit to the business and an equal cost to the insurance company. This cost is not included in the EAN</w:t>
      </w:r>
      <w:r w:rsidR="00A23053">
        <w:rPr>
          <w:rFonts w:eastAsia="Times New Roman" w:cstheme="minorHAnsi"/>
          <w:sz w:val="24"/>
          <w:szCs w:val="24"/>
          <w:lang w:eastAsia="en-GB"/>
        </w:rPr>
        <w:t>D</w:t>
      </w:r>
      <w:r w:rsidRPr="002E1BAA">
        <w:rPr>
          <w:rFonts w:eastAsia="Times New Roman" w:cstheme="minorHAnsi"/>
          <w:sz w:val="24"/>
          <w:szCs w:val="24"/>
          <w:lang w:eastAsia="en-GB"/>
        </w:rPr>
        <w:t>CB b</w:t>
      </w:r>
      <w:r>
        <w:rPr>
          <w:rFonts w:eastAsia="Times New Roman" w:cstheme="minorHAnsi"/>
          <w:sz w:val="24"/>
          <w:szCs w:val="24"/>
          <w:lang w:eastAsia="en-GB"/>
        </w:rPr>
        <w:t>ecause it is indirect (see pass-</w:t>
      </w:r>
      <w:r w:rsidRPr="002E1BAA">
        <w:rPr>
          <w:rFonts w:eastAsia="Times New Roman" w:cstheme="minorHAnsi"/>
          <w:sz w:val="24"/>
          <w:szCs w:val="24"/>
          <w:lang w:eastAsia="en-GB"/>
        </w:rPr>
        <w:t>through) and is not included in the NPV because it is a transfer and not a true resource cost.</w:t>
      </w:r>
    </w:p>
    <w:p w:rsidR="00DB59F0" w:rsidRDefault="00DB59F0" w:rsidP="00DB59F0">
      <w:pPr>
        <w:spacing w:after="0"/>
        <w:rPr>
          <w:rFonts w:eastAsia="Times New Roman" w:cstheme="minorHAnsi"/>
          <w:b/>
          <w:color w:val="984806" w:themeColor="accent6" w:themeShade="80"/>
          <w:sz w:val="28"/>
          <w:szCs w:val="28"/>
          <w:lang w:eastAsia="en-GB"/>
        </w:rPr>
      </w:pPr>
    </w:p>
    <w:p w:rsidR="00DB59F0" w:rsidRPr="00FB3DF8" w:rsidRDefault="00DB59F0" w:rsidP="00DB59F0">
      <w:pPr>
        <w:spacing w:after="0"/>
        <w:rPr>
          <w:rFonts w:eastAsia="Times New Roman" w:cstheme="minorHAnsi"/>
          <w:b/>
          <w:color w:val="984806" w:themeColor="accent6" w:themeShade="80"/>
          <w:sz w:val="28"/>
          <w:szCs w:val="28"/>
          <w:lang w:eastAsia="en-GB"/>
        </w:rPr>
      </w:pPr>
      <w:r w:rsidRPr="00FB3DF8">
        <w:rPr>
          <w:rFonts w:eastAsia="Times New Roman" w:cstheme="minorHAnsi"/>
          <w:b/>
          <w:color w:val="984806" w:themeColor="accent6" w:themeShade="80"/>
          <w:sz w:val="28"/>
          <w:szCs w:val="28"/>
          <w:lang w:eastAsia="en-GB"/>
        </w:rPr>
        <w:t>5.</w:t>
      </w:r>
      <w:r>
        <w:rPr>
          <w:rFonts w:eastAsia="Times New Roman" w:cstheme="minorHAnsi"/>
          <w:b/>
          <w:color w:val="984806" w:themeColor="accent6" w:themeShade="80"/>
          <w:sz w:val="28"/>
          <w:szCs w:val="28"/>
          <w:lang w:eastAsia="en-GB"/>
        </w:rPr>
        <w:t>9</w:t>
      </w:r>
      <w:r w:rsidRPr="00FB3DF8">
        <w:rPr>
          <w:rFonts w:eastAsia="Times New Roman" w:cstheme="minorHAnsi"/>
          <w:b/>
          <w:color w:val="984806" w:themeColor="accent6" w:themeShade="80"/>
          <w:sz w:val="28"/>
          <w:szCs w:val="28"/>
          <w:lang w:eastAsia="en-GB"/>
        </w:rPr>
        <w:t xml:space="preserve"> </w:t>
      </w:r>
      <w:r>
        <w:rPr>
          <w:rFonts w:eastAsia="Times New Roman" w:cstheme="minorHAnsi"/>
          <w:b/>
          <w:color w:val="984806" w:themeColor="accent6" w:themeShade="80"/>
          <w:sz w:val="28"/>
          <w:szCs w:val="28"/>
          <w:lang w:eastAsia="en-GB"/>
        </w:rPr>
        <w:t xml:space="preserve">Pro-competition </w:t>
      </w:r>
    </w:p>
    <w:p w:rsidR="00DB59F0" w:rsidRDefault="00DB59F0" w:rsidP="00DB59F0">
      <w:pPr>
        <w:spacing w:after="0"/>
        <w:rPr>
          <w:rFonts w:eastAsia="Times New Roman" w:cstheme="minorHAnsi"/>
          <w:sz w:val="24"/>
          <w:szCs w:val="24"/>
          <w:lang w:eastAsia="en-GB"/>
        </w:rPr>
      </w:pPr>
      <w:r>
        <w:rPr>
          <w:rFonts w:eastAsia="Times New Roman" w:cstheme="minorHAnsi"/>
          <w:sz w:val="24"/>
          <w:szCs w:val="24"/>
          <w:lang w:eastAsia="en-GB"/>
        </w:rPr>
        <w:t xml:space="preserve">Regulatory provisions promoting competition that result in an increase in the net direct burden on business are non-qualifying. This is providing they meet the </w:t>
      </w:r>
      <w:r w:rsidRPr="0086076D">
        <w:rPr>
          <w:rFonts w:eastAsia="Times New Roman" w:cstheme="minorHAnsi"/>
          <w:sz w:val="24"/>
          <w:szCs w:val="24"/>
          <w:lang w:eastAsia="en-GB"/>
        </w:rPr>
        <w:t xml:space="preserve">four tests </w:t>
      </w:r>
      <w:r>
        <w:rPr>
          <w:rFonts w:eastAsia="Times New Roman" w:cstheme="minorHAnsi"/>
          <w:sz w:val="24"/>
          <w:szCs w:val="24"/>
          <w:lang w:eastAsia="en-GB"/>
        </w:rPr>
        <w:t>listed under ‘definitions’ in the exclusion (page 111 of the</w:t>
      </w:r>
      <w:r w:rsidRPr="0086076D">
        <w:rPr>
          <w:rFonts w:eastAsia="Times New Roman" w:cstheme="minorHAnsi"/>
          <w:sz w:val="24"/>
          <w:szCs w:val="24"/>
          <w:lang w:eastAsia="en-GB"/>
        </w:rPr>
        <w:t xml:space="preserve"> BRFM</w:t>
      </w:r>
      <w:r>
        <w:rPr>
          <w:rFonts w:eastAsia="Times New Roman" w:cstheme="minorHAnsi"/>
          <w:sz w:val="24"/>
          <w:szCs w:val="24"/>
          <w:lang w:eastAsia="en-GB"/>
        </w:rPr>
        <w:t>).</w:t>
      </w:r>
    </w:p>
    <w:p w:rsidR="00DB59F0" w:rsidRDefault="00DB59F0" w:rsidP="00DB59F0">
      <w:pPr>
        <w:spacing w:after="0"/>
        <w:rPr>
          <w:rFonts w:eastAsia="Times New Roman" w:cstheme="minorHAnsi"/>
          <w:sz w:val="24"/>
          <w:szCs w:val="24"/>
          <w:lang w:eastAsia="en-GB"/>
        </w:rPr>
      </w:pPr>
    </w:p>
    <w:p w:rsidR="00DB59F0" w:rsidRDefault="00DB59F0" w:rsidP="00DB59F0">
      <w:pPr>
        <w:spacing w:after="0"/>
        <w:rPr>
          <w:rFonts w:eastAsia="Times New Roman" w:cstheme="minorHAnsi"/>
          <w:sz w:val="24"/>
          <w:szCs w:val="24"/>
          <w:lang w:eastAsia="en-GB"/>
        </w:rPr>
      </w:pPr>
      <w:r w:rsidRPr="0086076D">
        <w:rPr>
          <w:rFonts w:eastAsia="Times New Roman" w:cstheme="minorHAnsi"/>
          <w:sz w:val="24"/>
          <w:szCs w:val="24"/>
          <w:lang w:eastAsia="en-GB"/>
        </w:rPr>
        <w:t xml:space="preserve">If a measure is not solely about promoting competition, then, where possible, costs and benefits related to </w:t>
      </w:r>
      <w:r>
        <w:rPr>
          <w:rFonts w:eastAsia="Times New Roman" w:cstheme="minorHAnsi"/>
          <w:sz w:val="24"/>
          <w:szCs w:val="24"/>
          <w:lang w:eastAsia="en-GB"/>
        </w:rPr>
        <w:t xml:space="preserve">the </w:t>
      </w:r>
      <w:r w:rsidRPr="0086076D">
        <w:rPr>
          <w:rFonts w:eastAsia="Times New Roman" w:cstheme="minorHAnsi"/>
          <w:sz w:val="24"/>
          <w:szCs w:val="24"/>
          <w:lang w:eastAsia="en-GB"/>
        </w:rPr>
        <w:t xml:space="preserve">pro-competition </w:t>
      </w:r>
      <w:r>
        <w:rPr>
          <w:rFonts w:eastAsia="Times New Roman" w:cstheme="minorHAnsi"/>
          <w:sz w:val="24"/>
          <w:szCs w:val="24"/>
          <w:lang w:eastAsia="en-GB"/>
        </w:rPr>
        <w:t xml:space="preserve">elements </w:t>
      </w:r>
      <w:r w:rsidRPr="0086076D">
        <w:rPr>
          <w:rFonts w:eastAsia="Times New Roman" w:cstheme="minorHAnsi"/>
          <w:sz w:val="24"/>
          <w:szCs w:val="24"/>
          <w:lang w:eastAsia="en-GB"/>
        </w:rPr>
        <w:t>should be separated</w:t>
      </w:r>
      <w:r>
        <w:rPr>
          <w:rFonts w:eastAsia="Times New Roman" w:cstheme="minorHAnsi"/>
          <w:sz w:val="24"/>
          <w:szCs w:val="24"/>
          <w:lang w:eastAsia="en-GB"/>
        </w:rPr>
        <w:t xml:space="preserve"> and scored against the BIT</w:t>
      </w:r>
      <w:r w:rsidRPr="0086076D">
        <w:rPr>
          <w:rFonts w:eastAsia="Times New Roman" w:cstheme="minorHAnsi"/>
          <w:sz w:val="24"/>
          <w:szCs w:val="24"/>
          <w:lang w:eastAsia="en-GB"/>
        </w:rPr>
        <w:t xml:space="preserve">. When it is </w:t>
      </w:r>
      <w:r>
        <w:rPr>
          <w:rFonts w:eastAsia="Times New Roman" w:cstheme="minorHAnsi"/>
          <w:sz w:val="24"/>
          <w:szCs w:val="24"/>
          <w:lang w:eastAsia="en-GB"/>
        </w:rPr>
        <w:t>demonstrated that it is no</w:t>
      </w:r>
      <w:r w:rsidRPr="0086076D">
        <w:rPr>
          <w:rFonts w:eastAsia="Times New Roman" w:cstheme="minorHAnsi"/>
          <w:sz w:val="24"/>
          <w:szCs w:val="24"/>
          <w:lang w:eastAsia="en-GB"/>
        </w:rPr>
        <w:t xml:space="preserve">t possible </w:t>
      </w:r>
      <w:r>
        <w:rPr>
          <w:rFonts w:eastAsia="Times New Roman" w:cstheme="minorHAnsi"/>
          <w:sz w:val="24"/>
          <w:szCs w:val="24"/>
          <w:lang w:eastAsia="en-GB"/>
        </w:rPr>
        <w:t xml:space="preserve">or proportionate </w:t>
      </w:r>
      <w:r w:rsidRPr="0086076D">
        <w:rPr>
          <w:rFonts w:eastAsia="Times New Roman" w:cstheme="minorHAnsi"/>
          <w:sz w:val="24"/>
          <w:szCs w:val="24"/>
          <w:lang w:eastAsia="en-GB"/>
        </w:rPr>
        <w:t>to separate them</w:t>
      </w:r>
      <w:r>
        <w:rPr>
          <w:rFonts w:eastAsia="Times New Roman" w:cstheme="minorHAnsi"/>
          <w:sz w:val="24"/>
          <w:szCs w:val="24"/>
          <w:lang w:eastAsia="en-GB"/>
        </w:rPr>
        <w:t>,</w:t>
      </w:r>
      <w:r w:rsidRPr="0086076D">
        <w:rPr>
          <w:rFonts w:eastAsia="Times New Roman" w:cstheme="minorHAnsi"/>
          <w:sz w:val="24"/>
          <w:szCs w:val="24"/>
          <w:lang w:eastAsia="en-GB"/>
        </w:rPr>
        <w:t xml:space="preserve"> the</w:t>
      </w:r>
      <w:r>
        <w:rPr>
          <w:rFonts w:eastAsia="Times New Roman" w:cstheme="minorHAnsi"/>
          <w:sz w:val="24"/>
          <w:szCs w:val="24"/>
          <w:lang w:eastAsia="en-GB"/>
        </w:rPr>
        <w:t>n the</w:t>
      </w:r>
      <w:r w:rsidRPr="0086076D">
        <w:rPr>
          <w:rFonts w:eastAsia="Times New Roman" w:cstheme="minorHAnsi"/>
          <w:sz w:val="24"/>
          <w:szCs w:val="24"/>
          <w:lang w:eastAsia="en-GB"/>
        </w:rPr>
        <w:t xml:space="preserve"> </w:t>
      </w:r>
      <w:r>
        <w:rPr>
          <w:rFonts w:eastAsia="Times New Roman" w:cstheme="minorHAnsi"/>
          <w:sz w:val="24"/>
          <w:szCs w:val="24"/>
          <w:lang w:eastAsia="en-GB"/>
        </w:rPr>
        <w:t xml:space="preserve">non-pro-competition elements may be treated as non-monetised and, therefore, scored as zero. </w:t>
      </w:r>
    </w:p>
    <w:p w:rsidR="00454D41" w:rsidRDefault="00454D41" w:rsidP="00DB59F0">
      <w:pPr>
        <w:spacing w:after="0"/>
        <w:rPr>
          <w:rFonts w:eastAsia="Times New Roman" w:cstheme="minorHAnsi"/>
          <w:sz w:val="24"/>
          <w:szCs w:val="24"/>
          <w:lang w:eastAsia="en-GB"/>
        </w:rPr>
      </w:pPr>
    </w:p>
    <w:p w:rsidR="00454D41" w:rsidRDefault="00454D41" w:rsidP="00DB59F0">
      <w:pPr>
        <w:spacing w:after="0"/>
        <w:rPr>
          <w:rFonts w:eastAsia="Times New Roman" w:cstheme="minorHAnsi"/>
          <w:sz w:val="24"/>
          <w:szCs w:val="24"/>
          <w:lang w:eastAsia="en-GB"/>
        </w:rPr>
      </w:pPr>
    </w:p>
    <w:p w:rsidR="00DB59F0" w:rsidRPr="0086076D" w:rsidRDefault="00DB59F0" w:rsidP="00DB59F0">
      <w:pPr>
        <w:spacing w:after="0"/>
        <w:rPr>
          <w:rFonts w:eastAsia="Times New Roman" w:cstheme="minorHAnsi"/>
          <w:b/>
          <w:sz w:val="24"/>
          <w:szCs w:val="24"/>
          <w:lang w:eastAsia="en-GB"/>
        </w:rPr>
      </w:pPr>
    </w:p>
    <w:p w:rsidR="00DB59F0" w:rsidRDefault="00DB59F0" w:rsidP="00DB59F0">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sz w:val="24"/>
          <w:szCs w:val="24"/>
          <w:lang w:eastAsia="en-GB"/>
        </w:rPr>
      </w:pPr>
      <w:r w:rsidRPr="0086076D">
        <w:rPr>
          <w:rFonts w:eastAsia="Times New Roman" w:cstheme="minorHAnsi"/>
          <w:b/>
          <w:sz w:val="24"/>
          <w:szCs w:val="24"/>
          <w:lang w:eastAsia="en-GB"/>
        </w:rPr>
        <w:lastRenderedPageBreak/>
        <w:t xml:space="preserve">The regulation of payments networks (RPC13-HMT-1877): </w:t>
      </w:r>
      <w:r w:rsidRPr="0086076D">
        <w:rPr>
          <w:rFonts w:eastAsia="Times New Roman" w:cstheme="minorHAnsi"/>
          <w:sz w:val="24"/>
          <w:szCs w:val="24"/>
          <w:lang w:eastAsia="en-GB"/>
        </w:rPr>
        <w:t xml:space="preserve">the department claimed that the proposal </w:t>
      </w:r>
      <w:r>
        <w:rPr>
          <w:rFonts w:eastAsia="Times New Roman" w:cstheme="minorHAnsi"/>
          <w:sz w:val="24"/>
          <w:szCs w:val="24"/>
          <w:lang w:eastAsia="en-GB"/>
        </w:rPr>
        <w:t>was</w:t>
      </w:r>
      <w:r w:rsidRPr="0086076D">
        <w:rPr>
          <w:rFonts w:eastAsia="Times New Roman" w:cstheme="minorHAnsi"/>
          <w:sz w:val="24"/>
          <w:szCs w:val="24"/>
          <w:lang w:eastAsia="en-GB"/>
        </w:rPr>
        <w:t xml:space="preserve"> out of scope of OITO on the grounds that the regulation is for pro-competition purposes. The RPC rejected this assessment on the grounds that some elements of the objectives are focused on consumer protection. This was the basis of a red-rated opinion </w:t>
      </w:r>
      <w:r>
        <w:rPr>
          <w:rFonts w:eastAsia="Times New Roman" w:cstheme="minorHAnsi"/>
          <w:sz w:val="24"/>
          <w:szCs w:val="24"/>
          <w:lang w:eastAsia="en-GB"/>
        </w:rPr>
        <w:t>bec</w:t>
      </w:r>
      <w:r w:rsidRPr="0086076D">
        <w:rPr>
          <w:rFonts w:eastAsia="Times New Roman" w:cstheme="minorHAnsi"/>
          <w:sz w:val="24"/>
          <w:szCs w:val="24"/>
          <w:lang w:eastAsia="en-GB"/>
        </w:rPr>
        <w:t>a</w:t>
      </w:r>
      <w:r>
        <w:rPr>
          <w:rFonts w:eastAsia="Times New Roman" w:cstheme="minorHAnsi"/>
          <w:sz w:val="24"/>
          <w:szCs w:val="24"/>
          <w:lang w:eastAsia="en-GB"/>
        </w:rPr>
        <w:t>u</w:t>
      </w:r>
      <w:r w:rsidRPr="0086076D">
        <w:rPr>
          <w:rFonts w:eastAsia="Times New Roman" w:cstheme="minorHAnsi"/>
          <w:sz w:val="24"/>
          <w:szCs w:val="24"/>
          <w:lang w:eastAsia="en-GB"/>
        </w:rPr>
        <w:t>s</w:t>
      </w:r>
      <w:r>
        <w:rPr>
          <w:rFonts w:eastAsia="Times New Roman" w:cstheme="minorHAnsi"/>
          <w:sz w:val="24"/>
          <w:szCs w:val="24"/>
          <w:lang w:eastAsia="en-GB"/>
        </w:rPr>
        <w:t>e</w:t>
      </w:r>
      <w:r w:rsidRPr="0086076D">
        <w:rPr>
          <w:rFonts w:eastAsia="Times New Roman" w:cstheme="minorHAnsi"/>
          <w:sz w:val="24"/>
          <w:szCs w:val="24"/>
          <w:lang w:eastAsia="en-GB"/>
        </w:rPr>
        <w:t xml:space="preserve"> the BRFM state</w:t>
      </w:r>
      <w:r>
        <w:rPr>
          <w:rFonts w:eastAsia="Times New Roman" w:cstheme="minorHAnsi"/>
          <w:sz w:val="24"/>
          <w:szCs w:val="24"/>
          <w:lang w:eastAsia="en-GB"/>
        </w:rPr>
        <w:t>d</w:t>
      </w:r>
      <w:r w:rsidRPr="0086076D">
        <w:rPr>
          <w:rFonts w:eastAsia="Times New Roman" w:cstheme="minorHAnsi"/>
          <w:sz w:val="24"/>
          <w:szCs w:val="24"/>
          <w:lang w:eastAsia="en-GB"/>
        </w:rPr>
        <w:t xml:space="preserve"> that departments need to identify</w:t>
      </w:r>
      <w:r w:rsidRPr="0086076D">
        <w:rPr>
          <w:rFonts w:eastAsia="Times New Roman" w:cstheme="minorHAnsi"/>
          <w:iCs/>
          <w:sz w:val="24"/>
          <w:szCs w:val="24"/>
          <w:lang w:eastAsia="en-GB"/>
        </w:rPr>
        <w:t>,</w:t>
      </w:r>
      <w:r w:rsidRPr="0086076D">
        <w:rPr>
          <w:rFonts w:eastAsia="Times New Roman" w:cstheme="minorHAnsi"/>
          <w:sz w:val="24"/>
          <w:szCs w:val="24"/>
          <w:lang w:eastAsia="en-GB"/>
        </w:rPr>
        <w:t xml:space="preserve"> and score for OITO</w:t>
      </w:r>
      <w:r w:rsidRPr="0086076D">
        <w:rPr>
          <w:rFonts w:eastAsia="Times New Roman" w:cstheme="minorHAnsi"/>
          <w:iCs/>
          <w:sz w:val="24"/>
          <w:szCs w:val="24"/>
          <w:lang w:eastAsia="en-GB"/>
        </w:rPr>
        <w:t>,</w:t>
      </w:r>
      <w:r w:rsidRPr="0086076D">
        <w:rPr>
          <w:rFonts w:eastAsia="Times New Roman" w:cstheme="minorHAnsi"/>
          <w:sz w:val="24"/>
          <w:szCs w:val="24"/>
          <w:lang w:eastAsia="en-GB"/>
        </w:rPr>
        <w:t xml:space="preserve"> any impacts not related to the pro-competition purpose of the measure. In the revised IA, the department emphasised the pro-competition nature of the proposal, explaining how the objectives and policy has evolved over time. The RPC concluded that, although a small aspect of the proposal remained in scope of OITO, it would be too difficult, and therefore disproportionate, for the department to monetise it. In line with the BRFM</w:t>
      </w:r>
      <w:r>
        <w:rPr>
          <w:rFonts w:eastAsia="Times New Roman" w:cstheme="minorHAnsi"/>
          <w:sz w:val="24"/>
          <w:szCs w:val="24"/>
          <w:lang w:eastAsia="en-GB"/>
        </w:rPr>
        <w:t xml:space="preserve"> at that time</w:t>
      </w:r>
      <w:r w:rsidRPr="0086076D">
        <w:rPr>
          <w:rFonts w:eastAsia="Times New Roman" w:cstheme="minorHAnsi"/>
          <w:sz w:val="24"/>
          <w:szCs w:val="24"/>
          <w:lang w:eastAsia="en-GB"/>
        </w:rPr>
        <w:t>, the proposal was classified as zero net cost</w:t>
      </w:r>
      <w:r>
        <w:rPr>
          <w:rFonts w:eastAsia="Times New Roman" w:cstheme="minorHAnsi"/>
          <w:sz w:val="24"/>
          <w:szCs w:val="24"/>
          <w:lang w:eastAsia="en-GB"/>
        </w:rPr>
        <w:t xml:space="preserve"> under OITO</w:t>
      </w:r>
      <w:r w:rsidRPr="0086076D">
        <w:rPr>
          <w:rFonts w:eastAsia="Times New Roman" w:cstheme="minorHAnsi"/>
          <w:sz w:val="24"/>
          <w:szCs w:val="24"/>
          <w:lang w:eastAsia="en-GB"/>
        </w:rPr>
        <w:t>.  (</w:t>
      </w:r>
      <w:hyperlink r:id="rId57" w:history="1">
        <w:r w:rsidRPr="0086076D">
          <w:rPr>
            <w:rFonts w:eastAsia="Times New Roman" w:cstheme="minorHAnsi"/>
            <w:color w:val="0000FF"/>
            <w:sz w:val="24"/>
            <w:szCs w:val="24"/>
            <w:u w:val="single"/>
            <w:lang w:eastAsia="en-GB"/>
          </w:rPr>
          <w:t>IA</w:t>
        </w:r>
      </w:hyperlink>
      <w:r w:rsidRPr="0086076D">
        <w:rPr>
          <w:rFonts w:eastAsia="Times New Roman" w:cstheme="minorHAnsi"/>
          <w:sz w:val="24"/>
          <w:szCs w:val="24"/>
          <w:lang w:eastAsia="en-GB"/>
        </w:rPr>
        <w:t>)</w:t>
      </w:r>
    </w:p>
    <w:p w:rsidR="00DB59F0" w:rsidRDefault="00DB59F0" w:rsidP="00DB59F0">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sz w:val="24"/>
          <w:szCs w:val="24"/>
          <w:lang w:eastAsia="en-GB"/>
        </w:rPr>
      </w:pPr>
    </w:p>
    <w:p w:rsidR="00DB59F0" w:rsidRPr="0086076D" w:rsidRDefault="00DB59F0" w:rsidP="00DB59F0">
      <w:pPr>
        <w:spacing w:after="0"/>
        <w:rPr>
          <w:rFonts w:eastAsia="Times New Roman" w:cstheme="minorHAnsi"/>
          <w:b/>
          <w:sz w:val="24"/>
          <w:szCs w:val="24"/>
          <w:lang w:eastAsia="en-GB"/>
        </w:rPr>
      </w:pPr>
    </w:p>
    <w:p w:rsidR="00DB59F0" w:rsidRPr="00F73C01" w:rsidRDefault="00DB59F0" w:rsidP="00DB59F0">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ascii="Calibri" w:eastAsia="Times New Roman" w:hAnsi="Calibri" w:cs="Calibri"/>
          <w:sz w:val="24"/>
          <w:szCs w:val="24"/>
          <w:lang w:eastAsia="en-GB"/>
        </w:rPr>
      </w:pPr>
      <w:r w:rsidRPr="00EB71FC">
        <w:rPr>
          <w:rFonts w:eastAsia="Times New Roman" w:cstheme="minorHAnsi"/>
          <w:b/>
          <w:sz w:val="24"/>
          <w:szCs w:val="24"/>
          <w:lang w:eastAsia="en-GB"/>
        </w:rPr>
        <w:t>Order-making power for quicker switching of service providers</w:t>
      </w:r>
      <w:r w:rsidRPr="0086076D">
        <w:rPr>
          <w:rFonts w:eastAsia="Times New Roman" w:cstheme="minorHAnsi"/>
          <w:b/>
          <w:sz w:val="24"/>
          <w:szCs w:val="24"/>
          <w:lang w:eastAsia="en-GB"/>
        </w:rPr>
        <w:t xml:space="preserve"> (RPC1</w:t>
      </w:r>
      <w:r>
        <w:rPr>
          <w:rFonts w:eastAsia="Times New Roman" w:cstheme="minorHAnsi"/>
          <w:b/>
          <w:sz w:val="24"/>
          <w:szCs w:val="24"/>
          <w:lang w:eastAsia="en-GB"/>
        </w:rPr>
        <w:t>6</w:t>
      </w:r>
      <w:r w:rsidRPr="0086076D">
        <w:rPr>
          <w:rFonts w:eastAsia="Times New Roman" w:cstheme="minorHAnsi"/>
          <w:b/>
          <w:sz w:val="24"/>
          <w:szCs w:val="24"/>
          <w:lang w:eastAsia="en-GB"/>
        </w:rPr>
        <w:t>-BIS-</w:t>
      </w:r>
      <w:r>
        <w:rPr>
          <w:rFonts w:eastAsia="Times New Roman" w:cstheme="minorHAnsi"/>
          <w:b/>
          <w:sz w:val="24"/>
          <w:szCs w:val="24"/>
          <w:lang w:eastAsia="en-GB"/>
        </w:rPr>
        <w:t>3442</w:t>
      </w:r>
      <w:r w:rsidRPr="0086076D">
        <w:rPr>
          <w:rFonts w:eastAsia="Times New Roman" w:cstheme="minorHAnsi"/>
          <w:b/>
          <w:sz w:val="24"/>
          <w:szCs w:val="24"/>
          <w:lang w:eastAsia="en-GB"/>
        </w:rPr>
        <w:t xml:space="preserve">): </w:t>
      </w:r>
      <w:r w:rsidRPr="0086076D">
        <w:rPr>
          <w:rFonts w:eastAsia="Times New Roman" w:cstheme="minorHAnsi"/>
          <w:sz w:val="24"/>
          <w:szCs w:val="24"/>
          <w:lang w:eastAsia="en-GB"/>
        </w:rPr>
        <w:t xml:space="preserve"> </w:t>
      </w:r>
      <w:r w:rsidRPr="00EB71FC">
        <w:rPr>
          <w:rFonts w:ascii="Calibri" w:hAnsi="Calibri" w:cs="Calibri"/>
          <w:sz w:val="24"/>
        </w:rPr>
        <w:t xml:space="preserve">The proposal was to provide a power to legislate via secondary legislation to </w:t>
      </w:r>
      <w:r w:rsidRPr="00F73C01">
        <w:rPr>
          <w:rFonts w:ascii="Calibri" w:hAnsi="Calibri" w:cs="Calibri"/>
          <w:sz w:val="24"/>
        </w:rPr>
        <w:t xml:space="preserve">impose contractual terms for consumers to be able to switch suppliers within a set timescale. </w:t>
      </w:r>
      <w:r>
        <w:rPr>
          <w:rFonts w:ascii="Calibri" w:hAnsi="Calibri" w:cs="Calibri"/>
          <w:sz w:val="24"/>
        </w:rPr>
        <w:t>On re-submission, t</w:t>
      </w:r>
      <w:r w:rsidRPr="00F73C01">
        <w:rPr>
          <w:rFonts w:ascii="Calibri" w:hAnsi="Calibri" w:cs="Calibri"/>
          <w:sz w:val="24"/>
        </w:rPr>
        <w:t>he Department provided an assessment against the four pro-competition tests. “</w:t>
      </w:r>
      <w:r w:rsidRPr="00F73C01">
        <w:rPr>
          <w:rFonts w:ascii="Calibri" w:hAnsi="Calibri" w:cs="Calibri"/>
          <w:i/>
          <w:sz w:val="24"/>
        </w:rPr>
        <w:t>Promotion of switching and active engagement by consumers</w:t>
      </w:r>
      <w:r w:rsidRPr="00F73C01">
        <w:rPr>
          <w:rFonts w:ascii="Calibri" w:hAnsi="Calibri" w:cs="Calibri"/>
          <w:sz w:val="24"/>
        </w:rPr>
        <w:t>” is listed in the Better Regulation Framework Manual as a type of measure that falls within the pro-competition exclusion and the Department’s proposal</w:t>
      </w:r>
      <w:r>
        <w:rPr>
          <w:rFonts w:ascii="Calibri" w:hAnsi="Calibri" w:cs="Calibri"/>
          <w:sz w:val="24"/>
        </w:rPr>
        <w:t xml:space="preserve"> was</w:t>
      </w:r>
      <w:r w:rsidRPr="00F73C01">
        <w:rPr>
          <w:rFonts w:ascii="Calibri" w:hAnsi="Calibri" w:cs="Calibri"/>
          <w:sz w:val="24"/>
        </w:rPr>
        <w:t xml:space="preserve"> clearly of this nature. As a pro-competition measure with a net burden on business, the RPC verified the proposal as a non-qualifying regulatory provision.  </w:t>
      </w:r>
    </w:p>
    <w:p w:rsidR="00DB59F0" w:rsidRDefault="00DB59F0" w:rsidP="00DB59F0">
      <w:pPr>
        <w:rPr>
          <w:b/>
          <w:color w:val="984806" w:themeColor="accent6" w:themeShade="80"/>
          <w:sz w:val="28"/>
          <w:szCs w:val="28"/>
        </w:rPr>
      </w:pPr>
    </w:p>
    <w:p w:rsidR="00DB59F0" w:rsidRDefault="00DB59F0" w:rsidP="00DB59F0">
      <w:pPr>
        <w:spacing w:after="0"/>
        <w:rPr>
          <w:rFonts w:eastAsia="Times New Roman" w:cstheme="minorHAnsi"/>
          <w:b/>
          <w:color w:val="984806" w:themeColor="accent6" w:themeShade="80"/>
          <w:sz w:val="28"/>
          <w:szCs w:val="28"/>
          <w:lang w:eastAsia="en-GB"/>
        </w:rPr>
      </w:pPr>
      <w:r w:rsidRPr="00FB3DF8">
        <w:rPr>
          <w:rFonts w:eastAsia="Times New Roman" w:cstheme="minorHAnsi"/>
          <w:b/>
          <w:color w:val="984806" w:themeColor="accent6" w:themeShade="80"/>
          <w:sz w:val="28"/>
          <w:szCs w:val="28"/>
          <w:lang w:eastAsia="en-GB"/>
        </w:rPr>
        <w:t>5.</w:t>
      </w:r>
      <w:r>
        <w:rPr>
          <w:rFonts w:eastAsia="Times New Roman" w:cstheme="minorHAnsi"/>
          <w:b/>
          <w:color w:val="984806" w:themeColor="accent6" w:themeShade="80"/>
          <w:sz w:val="28"/>
          <w:szCs w:val="28"/>
          <w:lang w:eastAsia="en-GB"/>
        </w:rPr>
        <w:t>10</w:t>
      </w:r>
      <w:r w:rsidRPr="00FB3DF8">
        <w:rPr>
          <w:rFonts w:eastAsia="Times New Roman" w:cstheme="minorHAnsi"/>
          <w:b/>
          <w:color w:val="984806" w:themeColor="accent6" w:themeShade="80"/>
          <w:sz w:val="28"/>
          <w:szCs w:val="28"/>
          <w:lang w:eastAsia="en-GB"/>
        </w:rPr>
        <w:t xml:space="preserve"> </w:t>
      </w:r>
      <w:r>
        <w:rPr>
          <w:rFonts w:eastAsia="Times New Roman" w:cstheme="minorHAnsi"/>
          <w:b/>
          <w:color w:val="984806" w:themeColor="accent6" w:themeShade="80"/>
          <w:sz w:val="28"/>
          <w:szCs w:val="28"/>
          <w:lang w:eastAsia="en-GB"/>
        </w:rPr>
        <w:t>Misuse of Drugs Act and National Minimum Wage</w:t>
      </w:r>
    </w:p>
    <w:p w:rsidR="00DB59F0" w:rsidRPr="0086076D" w:rsidRDefault="00DB59F0" w:rsidP="00DB59F0">
      <w:pPr>
        <w:spacing w:after="0"/>
        <w:rPr>
          <w:rFonts w:eastAsia="Times New Roman" w:cstheme="minorHAnsi"/>
          <w:sz w:val="24"/>
          <w:szCs w:val="24"/>
          <w:lang w:eastAsia="en-GB"/>
        </w:rPr>
      </w:pPr>
      <w:r>
        <w:rPr>
          <w:rFonts w:eastAsia="Times New Roman" w:cstheme="minorHAnsi"/>
          <w:sz w:val="24"/>
          <w:szCs w:val="24"/>
          <w:lang w:eastAsia="en-GB"/>
        </w:rPr>
        <w:t>Regulatory provisions that</w:t>
      </w:r>
      <w:r w:rsidRPr="00C31420">
        <w:t xml:space="preserve"> </w:t>
      </w:r>
      <w:r w:rsidRPr="004D2940">
        <w:t xml:space="preserve">implement changes to the classification and scheduling of drugs under the Misuse of Drugs Act 1971, or to the National Minimum Wage hourly rates, where these follow the recommendations of the </w:t>
      </w:r>
      <w:r w:rsidRPr="009C2543">
        <w:t>relevant independent advisory body</w:t>
      </w:r>
      <w:r>
        <w:t xml:space="preserve"> are non-qualifying.</w:t>
      </w:r>
    </w:p>
    <w:p w:rsidR="00DB59F0" w:rsidRPr="0086076D" w:rsidRDefault="00DB59F0" w:rsidP="00DB59F0">
      <w:pPr>
        <w:spacing w:after="0"/>
        <w:rPr>
          <w:rFonts w:eastAsia="Times New Roman" w:cstheme="minorHAnsi"/>
          <w:b/>
          <w:sz w:val="24"/>
          <w:szCs w:val="24"/>
          <w:lang w:eastAsia="en-GB"/>
        </w:rPr>
      </w:pPr>
    </w:p>
    <w:p w:rsidR="00DB59F0" w:rsidRPr="0086076D" w:rsidRDefault="00DB59F0" w:rsidP="00DB59F0">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sz w:val="24"/>
          <w:szCs w:val="24"/>
          <w:lang w:eastAsia="en-GB"/>
        </w:rPr>
      </w:pPr>
      <w:r w:rsidRPr="0086076D">
        <w:rPr>
          <w:rFonts w:eastAsia="Times New Roman" w:cstheme="minorHAnsi"/>
          <w:b/>
          <w:sz w:val="24"/>
          <w:szCs w:val="24"/>
          <w:lang w:eastAsia="en-GB"/>
        </w:rPr>
        <w:t>Amendment to the National Minimum Wage regulations 201</w:t>
      </w:r>
      <w:r>
        <w:rPr>
          <w:rFonts w:eastAsia="Times New Roman" w:cstheme="minorHAnsi"/>
          <w:b/>
          <w:sz w:val="24"/>
          <w:szCs w:val="24"/>
          <w:lang w:eastAsia="en-GB"/>
        </w:rPr>
        <w:t>5</w:t>
      </w:r>
      <w:r w:rsidRPr="0086076D">
        <w:rPr>
          <w:rFonts w:eastAsia="Times New Roman" w:cstheme="minorHAnsi"/>
          <w:b/>
          <w:sz w:val="24"/>
          <w:szCs w:val="24"/>
          <w:lang w:eastAsia="en-GB"/>
        </w:rPr>
        <w:t xml:space="preserve"> - increase in NMW rates (RPC1</w:t>
      </w:r>
      <w:r>
        <w:rPr>
          <w:rFonts w:eastAsia="Times New Roman" w:cstheme="minorHAnsi"/>
          <w:b/>
          <w:sz w:val="24"/>
          <w:szCs w:val="24"/>
          <w:lang w:eastAsia="en-GB"/>
        </w:rPr>
        <w:t>5</w:t>
      </w:r>
      <w:r w:rsidRPr="0086076D">
        <w:rPr>
          <w:rFonts w:eastAsia="Times New Roman" w:cstheme="minorHAnsi"/>
          <w:b/>
          <w:sz w:val="24"/>
          <w:szCs w:val="24"/>
          <w:lang w:eastAsia="en-GB"/>
        </w:rPr>
        <w:t>-BIS-</w:t>
      </w:r>
      <w:r>
        <w:rPr>
          <w:rFonts w:eastAsia="Times New Roman" w:cstheme="minorHAnsi"/>
          <w:b/>
          <w:sz w:val="24"/>
          <w:szCs w:val="24"/>
          <w:lang w:eastAsia="en-GB"/>
        </w:rPr>
        <w:t>2382</w:t>
      </w:r>
      <w:r w:rsidRPr="0086076D">
        <w:rPr>
          <w:rFonts w:eastAsia="Times New Roman" w:cstheme="minorHAnsi"/>
          <w:b/>
          <w:sz w:val="24"/>
          <w:szCs w:val="24"/>
          <w:lang w:eastAsia="en-GB"/>
        </w:rPr>
        <w:t xml:space="preserve">): </w:t>
      </w:r>
      <w:r w:rsidRPr="0086076D">
        <w:rPr>
          <w:rFonts w:eastAsia="Times New Roman" w:cstheme="minorHAnsi"/>
          <w:sz w:val="24"/>
          <w:szCs w:val="24"/>
          <w:lang w:eastAsia="en-GB"/>
        </w:rPr>
        <w:t xml:space="preserve"> The IA was for the annual update of NMW rates. The </w:t>
      </w:r>
      <w:r>
        <w:rPr>
          <w:rFonts w:eastAsia="Times New Roman" w:cstheme="minorHAnsi"/>
          <w:sz w:val="24"/>
          <w:szCs w:val="24"/>
          <w:lang w:eastAsia="en-GB"/>
        </w:rPr>
        <w:t xml:space="preserve">large </w:t>
      </w:r>
      <w:r w:rsidRPr="0086076D">
        <w:rPr>
          <w:rFonts w:eastAsia="Times New Roman" w:cstheme="minorHAnsi"/>
          <w:sz w:val="24"/>
          <w:szCs w:val="24"/>
          <w:lang w:eastAsia="en-GB"/>
        </w:rPr>
        <w:t xml:space="preserve">majority of the policy was out of scope of </w:t>
      </w:r>
      <w:r>
        <w:rPr>
          <w:rFonts w:eastAsia="Times New Roman" w:cstheme="minorHAnsi"/>
          <w:sz w:val="24"/>
          <w:szCs w:val="24"/>
          <w:lang w:eastAsia="en-GB"/>
        </w:rPr>
        <w:t>the BIT</w:t>
      </w:r>
      <w:r w:rsidRPr="0086076D">
        <w:rPr>
          <w:rFonts w:eastAsia="Times New Roman" w:cstheme="minorHAnsi"/>
          <w:sz w:val="24"/>
          <w:szCs w:val="24"/>
          <w:lang w:eastAsia="en-GB"/>
        </w:rPr>
        <w:t xml:space="preserve"> as it </w:t>
      </w:r>
      <w:r>
        <w:rPr>
          <w:rFonts w:eastAsia="Times New Roman" w:cstheme="minorHAnsi"/>
          <w:sz w:val="24"/>
          <w:szCs w:val="24"/>
          <w:lang w:eastAsia="en-GB"/>
        </w:rPr>
        <w:t>followed</w:t>
      </w:r>
      <w:r w:rsidRPr="0086076D">
        <w:rPr>
          <w:rFonts w:eastAsia="Times New Roman" w:cstheme="minorHAnsi"/>
          <w:sz w:val="24"/>
          <w:szCs w:val="24"/>
          <w:lang w:eastAsia="en-GB"/>
        </w:rPr>
        <w:t xml:space="preserve"> the recommendations of the independent Low Pay Commission (LPC). However</w:t>
      </w:r>
      <w:r>
        <w:rPr>
          <w:rFonts w:eastAsia="Times New Roman" w:cstheme="minorHAnsi"/>
          <w:sz w:val="24"/>
          <w:szCs w:val="24"/>
          <w:lang w:eastAsia="en-GB"/>
        </w:rPr>
        <w:t>,</w:t>
      </w:r>
      <w:r w:rsidRPr="0086076D">
        <w:rPr>
          <w:rFonts w:eastAsia="Times New Roman" w:cstheme="minorHAnsi"/>
          <w:sz w:val="24"/>
          <w:szCs w:val="24"/>
          <w:lang w:eastAsia="en-GB"/>
        </w:rPr>
        <w:t xml:space="preserve"> the Government had chosen to deviate from the LPC’s recommendations with respect to the minimum wage for apprentices. As the Government raised this part of the minimum wage by more than the LPC’s recommendation this element was in scope of </w:t>
      </w:r>
      <w:r>
        <w:rPr>
          <w:rFonts w:eastAsia="Times New Roman" w:cstheme="minorHAnsi"/>
          <w:sz w:val="24"/>
          <w:szCs w:val="24"/>
          <w:lang w:eastAsia="en-GB"/>
        </w:rPr>
        <w:t>the BIT</w:t>
      </w:r>
      <w:r w:rsidRPr="0086076D">
        <w:rPr>
          <w:rFonts w:eastAsia="Times New Roman" w:cstheme="minorHAnsi"/>
          <w:sz w:val="24"/>
          <w:szCs w:val="24"/>
          <w:lang w:eastAsia="en-GB"/>
        </w:rPr>
        <w:t xml:space="preserve"> and scored as an IN. </w:t>
      </w:r>
    </w:p>
    <w:p w:rsidR="00DB59F0" w:rsidRDefault="00DB59F0" w:rsidP="00DB59F0">
      <w:pPr>
        <w:rPr>
          <w:b/>
          <w:color w:val="984806" w:themeColor="accent6" w:themeShade="80"/>
          <w:sz w:val="28"/>
          <w:szCs w:val="28"/>
        </w:rPr>
      </w:pPr>
    </w:p>
    <w:p w:rsidR="00454D41" w:rsidRDefault="00454D41" w:rsidP="00DB59F0">
      <w:pPr>
        <w:spacing w:after="0"/>
        <w:rPr>
          <w:b/>
          <w:color w:val="984806" w:themeColor="accent6" w:themeShade="80"/>
          <w:sz w:val="28"/>
          <w:szCs w:val="28"/>
        </w:rPr>
      </w:pPr>
    </w:p>
    <w:p w:rsidR="00454D41" w:rsidRDefault="00454D41" w:rsidP="00DB59F0">
      <w:pPr>
        <w:spacing w:after="0"/>
        <w:rPr>
          <w:b/>
          <w:color w:val="984806" w:themeColor="accent6" w:themeShade="80"/>
          <w:sz w:val="28"/>
          <w:szCs w:val="28"/>
        </w:rPr>
      </w:pPr>
    </w:p>
    <w:p w:rsidR="00DB59F0" w:rsidRDefault="00DB59F0" w:rsidP="00DB59F0">
      <w:pPr>
        <w:spacing w:after="0"/>
        <w:rPr>
          <w:rFonts w:eastAsia="Times New Roman" w:cstheme="minorHAnsi"/>
          <w:b/>
          <w:color w:val="000000" w:themeColor="text1"/>
          <w:sz w:val="24"/>
          <w:szCs w:val="24"/>
          <w:lang w:eastAsia="en-GB"/>
        </w:rPr>
      </w:pPr>
      <w:r>
        <w:rPr>
          <w:b/>
          <w:color w:val="984806" w:themeColor="accent6" w:themeShade="80"/>
          <w:sz w:val="28"/>
          <w:szCs w:val="28"/>
        </w:rPr>
        <w:lastRenderedPageBreak/>
        <w:t>5</w:t>
      </w:r>
      <w:r w:rsidRPr="00293A7D">
        <w:rPr>
          <w:b/>
          <w:color w:val="984806" w:themeColor="accent6" w:themeShade="80"/>
          <w:sz w:val="28"/>
          <w:szCs w:val="28"/>
        </w:rPr>
        <w:t>.</w:t>
      </w:r>
      <w:r>
        <w:rPr>
          <w:b/>
          <w:color w:val="984806" w:themeColor="accent6" w:themeShade="80"/>
          <w:sz w:val="28"/>
          <w:szCs w:val="28"/>
        </w:rPr>
        <w:t>11</w:t>
      </w:r>
      <w:r w:rsidRPr="00293A7D">
        <w:rPr>
          <w:b/>
          <w:color w:val="984806" w:themeColor="accent6" w:themeShade="80"/>
          <w:sz w:val="28"/>
          <w:szCs w:val="28"/>
        </w:rPr>
        <w:t xml:space="preserve"> </w:t>
      </w:r>
      <w:r>
        <w:rPr>
          <w:b/>
          <w:color w:val="984806" w:themeColor="accent6" w:themeShade="80"/>
          <w:sz w:val="28"/>
          <w:szCs w:val="28"/>
        </w:rPr>
        <w:t>Systemic financial risk</w:t>
      </w:r>
    </w:p>
    <w:p w:rsidR="00DB59F0" w:rsidRDefault="00DB59F0" w:rsidP="00DB59F0">
      <w:pPr>
        <w:spacing w:after="0"/>
        <w:rPr>
          <w:rFonts w:eastAsia="Times New Roman" w:cstheme="minorHAnsi"/>
          <w:sz w:val="24"/>
          <w:szCs w:val="24"/>
          <w:lang w:eastAsia="en-GB"/>
        </w:rPr>
      </w:pPr>
    </w:p>
    <w:p w:rsidR="00DB59F0" w:rsidRPr="0086076D" w:rsidRDefault="00DB59F0" w:rsidP="00DB59F0">
      <w:pPr>
        <w:spacing w:after="0"/>
        <w:rPr>
          <w:rFonts w:eastAsia="Times New Roman" w:cstheme="minorHAnsi"/>
          <w:sz w:val="24"/>
          <w:szCs w:val="24"/>
          <w:lang w:eastAsia="en-GB"/>
        </w:rPr>
      </w:pPr>
      <w:r w:rsidRPr="0086076D">
        <w:rPr>
          <w:rFonts w:eastAsia="Times New Roman" w:cstheme="minorHAnsi"/>
          <w:sz w:val="24"/>
          <w:szCs w:val="24"/>
          <w:lang w:eastAsia="en-GB"/>
        </w:rPr>
        <w:t xml:space="preserve">Measures that specifically </w:t>
      </w:r>
      <w:r>
        <w:rPr>
          <w:rFonts w:eastAsia="Times New Roman" w:cstheme="minorHAnsi"/>
          <w:sz w:val="24"/>
          <w:szCs w:val="24"/>
          <w:lang w:eastAsia="en-GB"/>
        </w:rPr>
        <w:t xml:space="preserve">address </w:t>
      </w:r>
      <w:r w:rsidRPr="0086076D">
        <w:rPr>
          <w:rFonts w:eastAsia="Times New Roman" w:cstheme="minorHAnsi"/>
          <w:sz w:val="24"/>
          <w:szCs w:val="24"/>
          <w:lang w:eastAsia="en-GB"/>
        </w:rPr>
        <w:t xml:space="preserve">financial systemic risk are </w:t>
      </w:r>
      <w:r>
        <w:rPr>
          <w:rFonts w:eastAsia="Times New Roman" w:cstheme="minorHAnsi"/>
          <w:sz w:val="24"/>
          <w:szCs w:val="24"/>
          <w:lang w:eastAsia="en-GB"/>
        </w:rPr>
        <w:t xml:space="preserve">NQRPs. </w:t>
      </w:r>
      <w:r w:rsidRPr="0086076D">
        <w:rPr>
          <w:rFonts w:eastAsia="Times New Roman" w:cstheme="minorHAnsi"/>
          <w:sz w:val="24"/>
          <w:szCs w:val="24"/>
          <w:lang w:eastAsia="en-GB"/>
        </w:rPr>
        <w:t>Financial systemic risk</w:t>
      </w:r>
      <w:r>
        <w:rPr>
          <w:rFonts w:eastAsia="Times New Roman" w:cstheme="minorHAnsi"/>
          <w:sz w:val="24"/>
          <w:szCs w:val="24"/>
          <w:lang w:eastAsia="en-GB"/>
        </w:rPr>
        <w:t xml:space="preserve"> is defined in the BRFM (page 114).</w:t>
      </w:r>
    </w:p>
    <w:p w:rsidR="00DB59F0" w:rsidRPr="0086076D" w:rsidRDefault="00DB59F0" w:rsidP="00DB59F0">
      <w:pPr>
        <w:spacing w:after="0"/>
        <w:rPr>
          <w:rFonts w:eastAsia="Times New Roman" w:cstheme="minorHAnsi"/>
          <w:b/>
          <w:sz w:val="24"/>
          <w:szCs w:val="24"/>
          <w:lang w:eastAsia="en-GB"/>
        </w:rPr>
      </w:pPr>
    </w:p>
    <w:p w:rsidR="00DB59F0" w:rsidRPr="0086076D" w:rsidRDefault="00DB59F0" w:rsidP="00DB59F0">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sz w:val="24"/>
          <w:szCs w:val="24"/>
          <w:lang w:eastAsia="en-GB"/>
        </w:rPr>
      </w:pPr>
      <w:r w:rsidRPr="0086076D">
        <w:rPr>
          <w:rFonts w:eastAsia="Times New Roman" w:cstheme="minorHAnsi"/>
          <w:b/>
          <w:sz w:val="24"/>
          <w:szCs w:val="24"/>
          <w:lang w:eastAsia="en-GB"/>
        </w:rPr>
        <w:t xml:space="preserve">Wheatley review of LIBOR: implementation (RPC12-HMT-1603): </w:t>
      </w:r>
      <w:r w:rsidRPr="0086076D">
        <w:rPr>
          <w:rFonts w:eastAsia="Times New Roman" w:cstheme="minorHAnsi"/>
          <w:sz w:val="24"/>
          <w:szCs w:val="24"/>
          <w:lang w:eastAsia="en-GB"/>
        </w:rPr>
        <w:t>following revelations of manipulation of the London Interbank Offer Rate index HMT proposed a number of amendments to how LIBOR would be calculated. As LIBOR is referenced in a huge number of financial contracts it was accepted that there was a systemic risk to the financial system and regulations to increase confidence in LIBOR were</w:t>
      </w:r>
      <w:r>
        <w:rPr>
          <w:rFonts w:eastAsia="Times New Roman" w:cstheme="minorHAnsi"/>
          <w:sz w:val="24"/>
          <w:szCs w:val="24"/>
          <w:lang w:eastAsia="en-GB"/>
        </w:rPr>
        <w:t>, therefore,</w:t>
      </w:r>
      <w:r w:rsidRPr="0086076D">
        <w:rPr>
          <w:rFonts w:eastAsia="Times New Roman" w:cstheme="minorHAnsi"/>
          <w:sz w:val="24"/>
          <w:szCs w:val="24"/>
          <w:lang w:eastAsia="en-GB"/>
        </w:rPr>
        <w:t xml:space="preserve"> out of scope of OITO. (</w:t>
      </w:r>
      <w:hyperlink r:id="rId58" w:history="1">
        <w:r w:rsidRPr="0086076D">
          <w:rPr>
            <w:rFonts w:eastAsia="Times New Roman" w:cstheme="minorHAnsi"/>
            <w:color w:val="0000FF"/>
            <w:sz w:val="24"/>
            <w:szCs w:val="24"/>
            <w:u w:val="single"/>
            <w:lang w:eastAsia="en-GB"/>
          </w:rPr>
          <w:t>IA</w:t>
        </w:r>
      </w:hyperlink>
      <w:r w:rsidRPr="0086076D">
        <w:rPr>
          <w:rFonts w:eastAsia="Times New Roman" w:cstheme="minorHAnsi"/>
          <w:sz w:val="24"/>
          <w:szCs w:val="24"/>
          <w:lang w:eastAsia="en-GB"/>
        </w:rPr>
        <w:t>)</w:t>
      </w:r>
    </w:p>
    <w:p w:rsidR="00DB59F0" w:rsidRPr="0086076D" w:rsidRDefault="00DB59F0" w:rsidP="00DB59F0">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sz w:val="24"/>
          <w:szCs w:val="24"/>
          <w:lang w:eastAsia="en-GB"/>
        </w:rPr>
      </w:pPr>
    </w:p>
    <w:p w:rsidR="00DB59F0" w:rsidRPr="0086076D" w:rsidRDefault="00DB59F0" w:rsidP="00DB59F0">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sz w:val="24"/>
          <w:szCs w:val="24"/>
          <w:lang w:eastAsia="en-GB"/>
        </w:rPr>
      </w:pPr>
      <w:r w:rsidRPr="0086076D">
        <w:rPr>
          <w:rFonts w:eastAsia="Times New Roman" w:cstheme="minorHAnsi"/>
          <w:b/>
          <w:sz w:val="24"/>
          <w:szCs w:val="24"/>
          <w:lang w:eastAsia="en-GB"/>
        </w:rPr>
        <w:t xml:space="preserve">Alternative investors fund </w:t>
      </w:r>
      <w:proofErr w:type="gramStart"/>
      <w:r w:rsidRPr="0086076D">
        <w:rPr>
          <w:rFonts w:eastAsia="Times New Roman" w:cstheme="minorHAnsi"/>
          <w:b/>
          <w:sz w:val="24"/>
          <w:szCs w:val="24"/>
          <w:lang w:eastAsia="en-GB"/>
        </w:rPr>
        <w:t>managers</w:t>
      </w:r>
      <w:proofErr w:type="gramEnd"/>
      <w:r w:rsidRPr="0086076D">
        <w:rPr>
          <w:rFonts w:eastAsia="Times New Roman" w:cstheme="minorHAnsi"/>
          <w:b/>
          <w:sz w:val="24"/>
          <w:szCs w:val="24"/>
          <w:lang w:eastAsia="en-GB"/>
        </w:rPr>
        <w:t xml:space="preserve"> directive (RPC12-HMT-1674): </w:t>
      </w:r>
      <w:r w:rsidRPr="0086076D">
        <w:rPr>
          <w:rFonts w:eastAsia="Times New Roman" w:cstheme="minorHAnsi"/>
          <w:sz w:val="24"/>
          <w:szCs w:val="24"/>
          <w:lang w:eastAsia="en-GB"/>
        </w:rPr>
        <w:t>the proposal was to implement an EU measure regulating alternative investment funds. HMT proposed to gold plate the measure by not taking advantage of a derogation exempting smaller funds. While it was clear that the measure overall related to financial systemic risk</w:t>
      </w:r>
      <w:r>
        <w:rPr>
          <w:rFonts w:eastAsia="Times New Roman" w:cstheme="minorHAnsi"/>
          <w:sz w:val="24"/>
          <w:szCs w:val="24"/>
          <w:lang w:eastAsia="en-GB"/>
        </w:rPr>
        <w:t>,</w:t>
      </w:r>
      <w:r w:rsidRPr="0086076D">
        <w:rPr>
          <w:rFonts w:eastAsia="Times New Roman" w:cstheme="minorHAnsi"/>
          <w:sz w:val="24"/>
          <w:szCs w:val="24"/>
          <w:lang w:eastAsia="en-GB"/>
        </w:rPr>
        <w:t xml:space="preserve"> it was not clear that the specific area that was gold-plated did. This part of the measure was</w:t>
      </w:r>
      <w:r>
        <w:rPr>
          <w:rFonts w:eastAsia="Times New Roman" w:cstheme="minorHAnsi"/>
          <w:sz w:val="24"/>
          <w:szCs w:val="24"/>
          <w:lang w:eastAsia="en-GB"/>
        </w:rPr>
        <w:t>,</w:t>
      </w:r>
      <w:r w:rsidRPr="0086076D">
        <w:rPr>
          <w:rFonts w:eastAsia="Times New Roman" w:cstheme="minorHAnsi"/>
          <w:sz w:val="24"/>
          <w:szCs w:val="24"/>
          <w:lang w:eastAsia="en-GB"/>
        </w:rPr>
        <w:t xml:space="preserve"> therefore</w:t>
      </w:r>
      <w:r>
        <w:rPr>
          <w:rFonts w:eastAsia="Times New Roman" w:cstheme="minorHAnsi"/>
          <w:sz w:val="24"/>
          <w:szCs w:val="24"/>
          <w:lang w:eastAsia="en-GB"/>
        </w:rPr>
        <w:t>,</w:t>
      </w:r>
      <w:r w:rsidRPr="0086076D">
        <w:rPr>
          <w:rFonts w:eastAsia="Times New Roman" w:cstheme="minorHAnsi"/>
          <w:sz w:val="24"/>
          <w:szCs w:val="24"/>
          <w:lang w:eastAsia="en-GB"/>
        </w:rPr>
        <w:t xml:space="preserve"> covered by neither the EU nor Financial Systemic Risk and so was in scope of OITO</w:t>
      </w:r>
      <w:r>
        <w:rPr>
          <w:rFonts w:eastAsia="Times New Roman" w:cstheme="minorHAnsi"/>
          <w:sz w:val="24"/>
          <w:szCs w:val="24"/>
          <w:lang w:eastAsia="en-GB"/>
        </w:rPr>
        <w:t>.</w:t>
      </w:r>
      <w:r w:rsidRPr="0086076D">
        <w:rPr>
          <w:rFonts w:eastAsia="Times New Roman" w:cstheme="minorHAnsi"/>
          <w:sz w:val="24"/>
          <w:szCs w:val="24"/>
          <w:lang w:eastAsia="en-GB"/>
        </w:rPr>
        <w:t xml:space="preserve"> (Treasury </w:t>
      </w:r>
      <w:r>
        <w:rPr>
          <w:rFonts w:eastAsia="Times New Roman" w:cstheme="minorHAnsi"/>
          <w:sz w:val="24"/>
          <w:szCs w:val="24"/>
          <w:lang w:eastAsia="en-GB"/>
        </w:rPr>
        <w:t>subsequently</w:t>
      </w:r>
      <w:r w:rsidRPr="0086076D">
        <w:rPr>
          <w:rFonts w:eastAsia="Times New Roman" w:cstheme="minorHAnsi"/>
          <w:sz w:val="24"/>
          <w:szCs w:val="24"/>
          <w:lang w:eastAsia="en-GB"/>
        </w:rPr>
        <w:t xml:space="preserve"> amended the policy to take up the derogation)</w:t>
      </w:r>
      <w:r w:rsidR="00074B63">
        <w:rPr>
          <w:rFonts w:eastAsia="Times New Roman" w:cstheme="minorHAnsi"/>
          <w:sz w:val="24"/>
          <w:szCs w:val="24"/>
          <w:lang w:eastAsia="en-GB"/>
        </w:rPr>
        <w:t>.</w:t>
      </w:r>
    </w:p>
    <w:p w:rsidR="00DB59F0" w:rsidRPr="0086076D" w:rsidRDefault="00DB59F0" w:rsidP="00DB59F0">
      <w:pPr>
        <w:spacing w:after="0"/>
        <w:rPr>
          <w:rFonts w:eastAsia="Times New Roman" w:cstheme="minorHAnsi"/>
          <w:sz w:val="24"/>
          <w:szCs w:val="24"/>
          <w:lang w:eastAsia="en-GB"/>
        </w:rPr>
      </w:pPr>
    </w:p>
    <w:p w:rsidR="00DB59F0" w:rsidRDefault="00DB59F0" w:rsidP="00DB59F0">
      <w:pPr>
        <w:spacing w:after="0"/>
        <w:rPr>
          <w:rFonts w:eastAsia="Times New Roman" w:cstheme="minorHAnsi"/>
          <w:b/>
          <w:color w:val="000000" w:themeColor="text1"/>
          <w:sz w:val="24"/>
          <w:szCs w:val="24"/>
          <w:lang w:eastAsia="en-GB"/>
        </w:rPr>
      </w:pPr>
      <w:r>
        <w:rPr>
          <w:b/>
          <w:color w:val="984806" w:themeColor="accent6" w:themeShade="80"/>
          <w:sz w:val="28"/>
          <w:szCs w:val="28"/>
        </w:rPr>
        <w:t>5</w:t>
      </w:r>
      <w:r w:rsidRPr="00293A7D">
        <w:rPr>
          <w:b/>
          <w:color w:val="984806" w:themeColor="accent6" w:themeShade="80"/>
          <w:sz w:val="28"/>
          <w:szCs w:val="28"/>
        </w:rPr>
        <w:t>.</w:t>
      </w:r>
      <w:r>
        <w:rPr>
          <w:b/>
          <w:color w:val="984806" w:themeColor="accent6" w:themeShade="80"/>
          <w:sz w:val="28"/>
          <w:szCs w:val="28"/>
        </w:rPr>
        <w:t>12</w:t>
      </w:r>
      <w:r w:rsidRPr="00293A7D">
        <w:rPr>
          <w:b/>
          <w:color w:val="984806" w:themeColor="accent6" w:themeShade="80"/>
          <w:sz w:val="28"/>
          <w:szCs w:val="28"/>
        </w:rPr>
        <w:t xml:space="preserve"> </w:t>
      </w:r>
      <w:r>
        <w:rPr>
          <w:b/>
          <w:color w:val="984806" w:themeColor="accent6" w:themeShade="80"/>
          <w:sz w:val="28"/>
          <w:szCs w:val="28"/>
        </w:rPr>
        <w:t>National Living Wage</w:t>
      </w:r>
    </w:p>
    <w:p w:rsidR="00DB59F0" w:rsidRPr="0086076D" w:rsidRDefault="00DB59F0" w:rsidP="00DB59F0">
      <w:pPr>
        <w:spacing w:after="0"/>
        <w:rPr>
          <w:rFonts w:eastAsia="Times New Roman" w:cstheme="minorHAnsi"/>
          <w:b/>
          <w:sz w:val="24"/>
          <w:szCs w:val="24"/>
          <w:lang w:eastAsia="en-GB"/>
        </w:rPr>
      </w:pPr>
    </w:p>
    <w:p w:rsidR="00DB59F0" w:rsidRDefault="00DB59F0" w:rsidP="00DB59F0">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ascii="Calibri" w:eastAsia="Times New Roman" w:hAnsi="Calibri" w:cs="Calibri"/>
          <w:sz w:val="24"/>
          <w:szCs w:val="24"/>
          <w:lang w:eastAsia="en-GB"/>
        </w:rPr>
      </w:pPr>
      <w:r w:rsidRPr="00B33016">
        <w:rPr>
          <w:rFonts w:eastAsia="Times New Roman" w:cstheme="minorHAnsi"/>
          <w:b/>
          <w:sz w:val="24"/>
          <w:szCs w:val="24"/>
          <w:lang w:eastAsia="en-GB"/>
        </w:rPr>
        <w:t>Amendment to the National Minimum Wage Regulations 2015 - introducing a national living wage</w:t>
      </w:r>
      <w:r w:rsidRPr="0086076D">
        <w:rPr>
          <w:rFonts w:eastAsia="Times New Roman" w:cstheme="minorHAnsi"/>
          <w:b/>
          <w:sz w:val="24"/>
          <w:szCs w:val="24"/>
          <w:lang w:eastAsia="en-GB"/>
        </w:rPr>
        <w:t xml:space="preserve"> (RPC1</w:t>
      </w:r>
      <w:r>
        <w:rPr>
          <w:rFonts w:eastAsia="Times New Roman" w:cstheme="minorHAnsi"/>
          <w:b/>
          <w:sz w:val="24"/>
          <w:szCs w:val="24"/>
          <w:lang w:eastAsia="en-GB"/>
        </w:rPr>
        <w:t>5</w:t>
      </w:r>
      <w:r w:rsidRPr="0086076D">
        <w:rPr>
          <w:rFonts w:eastAsia="Times New Roman" w:cstheme="minorHAnsi"/>
          <w:b/>
          <w:sz w:val="24"/>
          <w:szCs w:val="24"/>
          <w:lang w:eastAsia="en-GB"/>
        </w:rPr>
        <w:t>-BIS-</w:t>
      </w:r>
      <w:r>
        <w:rPr>
          <w:rFonts w:eastAsia="Times New Roman" w:cstheme="minorHAnsi"/>
          <w:b/>
          <w:sz w:val="24"/>
          <w:szCs w:val="24"/>
          <w:lang w:eastAsia="en-GB"/>
        </w:rPr>
        <w:t>3140</w:t>
      </w:r>
      <w:r w:rsidRPr="00FF0DB7">
        <w:rPr>
          <w:rFonts w:eastAsia="Times New Roman" w:cstheme="minorHAnsi"/>
          <w:b/>
          <w:sz w:val="24"/>
          <w:szCs w:val="24"/>
          <w:lang w:eastAsia="en-GB"/>
        </w:rPr>
        <w:t xml:space="preserve">): </w:t>
      </w:r>
      <w:r w:rsidRPr="00FF0DB7">
        <w:rPr>
          <w:rFonts w:eastAsia="Times New Roman" w:cstheme="minorHAnsi"/>
          <w:sz w:val="24"/>
          <w:szCs w:val="24"/>
          <w:lang w:eastAsia="en-GB"/>
        </w:rPr>
        <w:t xml:space="preserve">  The proposal introduced, from April 2016, a national living wage into the existing national minimum wage framework.  This was set at £7.20 per hour and applied to those aged over 25 years.</w:t>
      </w:r>
      <w:r w:rsidRPr="00FF0DB7">
        <w:rPr>
          <w:rFonts w:ascii="Arial" w:hAnsi="Arial" w:cs="Arial"/>
          <w:color w:val="000000"/>
          <w:sz w:val="24"/>
          <w:szCs w:val="24"/>
        </w:rPr>
        <w:t xml:space="preserve"> </w:t>
      </w:r>
      <w:r w:rsidRPr="00FF0DB7">
        <w:rPr>
          <w:rFonts w:ascii="Calibri" w:hAnsi="Calibri" w:cs="Calibri"/>
          <w:color w:val="000000"/>
          <w:sz w:val="24"/>
          <w:szCs w:val="24"/>
        </w:rPr>
        <w:t>At the time of RPC opinion</w:t>
      </w:r>
      <w:r>
        <w:rPr>
          <w:rFonts w:ascii="Calibri" w:hAnsi="Calibri" w:cs="Calibri"/>
          <w:color w:val="000000"/>
          <w:sz w:val="24"/>
          <w:szCs w:val="24"/>
        </w:rPr>
        <w:t>, t</w:t>
      </w:r>
      <w:r w:rsidRPr="00FF0DB7">
        <w:rPr>
          <w:rFonts w:ascii="Calibri" w:eastAsia="Times New Roman" w:hAnsi="Calibri" w:cs="Calibri"/>
          <w:sz w:val="24"/>
          <w:szCs w:val="24"/>
          <w:lang w:eastAsia="en-GB"/>
        </w:rPr>
        <w:t>he Government ha</w:t>
      </w:r>
      <w:r>
        <w:rPr>
          <w:rFonts w:ascii="Calibri" w:eastAsia="Times New Roman" w:hAnsi="Calibri" w:cs="Calibri"/>
          <w:sz w:val="24"/>
          <w:szCs w:val="24"/>
          <w:lang w:eastAsia="en-GB"/>
        </w:rPr>
        <w:t>d</w:t>
      </w:r>
      <w:r w:rsidRPr="00FF0DB7">
        <w:rPr>
          <w:rFonts w:ascii="Calibri" w:eastAsia="Times New Roman" w:hAnsi="Calibri" w:cs="Calibri"/>
          <w:sz w:val="24"/>
          <w:szCs w:val="24"/>
          <w:lang w:eastAsia="en-GB"/>
        </w:rPr>
        <w:t xml:space="preserve"> not yet decided the categories of non-qualifying regulatory provisions </w:t>
      </w:r>
      <w:r>
        <w:rPr>
          <w:rFonts w:ascii="Calibri" w:eastAsia="Times New Roman" w:hAnsi="Calibri" w:cs="Calibri"/>
          <w:sz w:val="24"/>
          <w:szCs w:val="24"/>
          <w:lang w:eastAsia="en-GB"/>
        </w:rPr>
        <w:t>but this was su</w:t>
      </w:r>
      <w:r w:rsidR="00074B63">
        <w:rPr>
          <w:rFonts w:ascii="Calibri" w:eastAsia="Times New Roman" w:hAnsi="Calibri" w:cs="Calibri"/>
          <w:sz w:val="24"/>
          <w:szCs w:val="24"/>
          <w:lang w:eastAsia="en-GB"/>
        </w:rPr>
        <w:t>bsequently confirmed as a NQRP.</w:t>
      </w:r>
    </w:p>
    <w:p w:rsidR="00DB59F0" w:rsidRDefault="00DB59F0" w:rsidP="00DB59F0">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ascii="Calibri" w:eastAsia="Times New Roman" w:hAnsi="Calibri" w:cs="Calibri"/>
          <w:sz w:val="24"/>
          <w:szCs w:val="24"/>
          <w:lang w:eastAsia="en-GB"/>
        </w:rPr>
      </w:pPr>
    </w:p>
    <w:p w:rsidR="00DB59F0" w:rsidRDefault="00DB59F0" w:rsidP="00DB59F0">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ascii="Calibri" w:eastAsia="Times New Roman" w:hAnsi="Calibri" w:cs="Calibri"/>
          <w:sz w:val="24"/>
          <w:szCs w:val="24"/>
          <w:lang w:eastAsia="en-GB"/>
        </w:rPr>
      </w:pPr>
      <w:r>
        <w:rPr>
          <w:rFonts w:ascii="Calibri" w:eastAsia="Times New Roman" w:hAnsi="Calibri" w:cs="Calibri"/>
          <w:sz w:val="24"/>
          <w:szCs w:val="24"/>
          <w:lang w:eastAsia="en-GB"/>
        </w:rPr>
        <w:t>Annual increments to the NLW that follow the LPC recommendations will also be non-qualifying. Any deviation from the LPC recommendations will, however, be a QRP (in line with the approach to the NMW).</w:t>
      </w:r>
    </w:p>
    <w:p w:rsidR="007630CA" w:rsidRDefault="007630CA" w:rsidP="00BF6A5F">
      <w:pPr>
        <w:pStyle w:val="ListParagraph"/>
        <w:spacing w:after="120"/>
        <w:ind w:left="0"/>
      </w:pPr>
    </w:p>
    <w:p w:rsidR="007630CA" w:rsidRDefault="007630CA" w:rsidP="00BF6A5F">
      <w:pPr>
        <w:pStyle w:val="ListParagraph"/>
        <w:spacing w:after="120"/>
        <w:ind w:left="0"/>
      </w:pPr>
    </w:p>
    <w:p w:rsidR="007630CA" w:rsidRDefault="007630CA" w:rsidP="00BF6A5F">
      <w:pPr>
        <w:pStyle w:val="ListParagraph"/>
        <w:spacing w:after="120"/>
        <w:ind w:left="0"/>
      </w:pPr>
    </w:p>
    <w:p w:rsidR="007630CA" w:rsidRDefault="007630CA" w:rsidP="00BF6A5F">
      <w:pPr>
        <w:pStyle w:val="ListParagraph"/>
        <w:spacing w:after="120"/>
        <w:ind w:left="0"/>
      </w:pPr>
    </w:p>
    <w:p w:rsidR="007630CA" w:rsidRDefault="007630CA" w:rsidP="00BF6A5F">
      <w:pPr>
        <w:pStyle w:val="ListParagraph"/>
        <w:spacing w:after="120"/>
        <w:ind w:left="0"/>
      </w:pPr>
    </w:p>
    <w:p w:rsidR="007630CA" w:rsidRDefault="007630CA" w:rsidP="00BF6A5F">
      <w:pPr>
        <w:pStyle w:val="ListParagraph"/>
        <w:spacing w:after="120"/>
        <w:ind w:left="0"/>
      </w:pPr>
    </w:p>
    <w:p w:rsidR="007630CA" w:rsidRDefault="007630CA" w:rsidP="00BF6A5F">
      <w:pPr>
        <w:pStyle w:val="ListParagraph"/>
        <w:spacing w:after="120"/>
        <w:ind w:left="0"/>
      </w:pPr>
    </w:p>
    <w:p w:rsidR="007630CA" w:rsidRDefault="007630CA" w:rsidP="00BF6A5F">
      <w:pPr>
        <w:pStyle w:val="ListParagraph"/>
        <w:spacing w:after="120"/>
        <w:ind w:left="0"/>
      </w:pPr>
    </w:p>
    <w:p w:rsidR="002E1BAA" w:rsidRPr="00E94B22" w:rsidRDefault="00287E31" w:rsidP="00E94B22">
      <w:pPr>
        <w:keepNext/>
        <w:keepLines/>
        <w:spacing w:before="200" w:after="0"/>
        <w:outlineLvl w:val="1"/>
        <w:rPr>
          <w:rFonts w:eastAsia="Times New Roman" w:cstheme="minorHAnsi"/>
          <w:b/>
          <w:color w:val="984806" w:themeColor="accent6" w:themeShade="80"/>
          <w:sz w:val="28"/>
          <w:szCs w:val="28"/>
          <w:lang w:eastAsia="en-GB"/>
        </w:rPr>
      </w:pPr>
      <w:r>
        <w:rPr>
          <w:rFonts w:eastAsia="Times New Roman" w:cstheme="minorHAnsi"/>
          <w:b/>
          <w:color w:val="984806" w:themeColor="accent6" w:themeShade="80"/>
          <w:sz w:val="28"/>
          <w:szCs w:val="28"/>
          <w:lang w:eastAsia="en-GB"/>
        </w:rPr>
        <w:lastRenderedPageBreak/>
        <w:t>6</w:t>
      </w:r>
      <w:r w:rsidR="006F6046" w:rsidRPr="00E94B22">
        <w:rPr>
          <w:rFonts w:eastAsia="Times New Roman" w:cstheme="minorHAnsi"/>
          <w:b/>
          <w:color w:val="984806" w:themeColor="accent6" w:themeShade="80"/>
          <w:sz w:val="28"/>
          <w:szCs w:val="28"/>
          <w:lang w:eastAsia="en-GB"/>
        </w:rPr>
        <w:t xml:space="preserve"> </w:t>
      </w:r>
      <w:bookmarkStart w:id="12" w:name="_Toc469485882"/>
      <w:r w:rsidR="002E1BAA" w:rsidRPr="00E94B22">
        <w:rPr>
          <w:rFonts w:eastAsia="Times New Roman" w:cstheme="minorHAnsi"/>
          <w:b/>
          <w:color w:val="984806" w:themeColor="accent6" w:themeShade="80"/>
          <w:sz w:val="28"/>
          <w:szCs w:val="28"/>
          <w:lang w:eastAsia="en-GB"/>
        </w:rPr>
        <w:t>Enabling/Primary Powers</w:t>
      </w:r>
      <w:bookmarkEnd w:id="12"/>
      <w:r w:rsidR="002E1BAA" w:rsidRPr="00E94B22">
        <w:rPr>
          <w:rFonts w:eastAsia="Times New Roman" w:cstheme="minorHAnsi"/>
          <w:b/>
          <w:color w:val="984806" w:themeColor="accent6" w:themeShade="80"/>
          <w:sz w:val="28"/>
          <w:szCs w:val="28"/>
          <w:lang w:eastAsia="en-GB"/>
        </w:rPr>
        <w:t xml:space="preserve"> </w:t>
      </w:r>
    </w:p>
    <w:p w:rsidR="0097370E" w:rsidRPr="00AB6DD6" w:rsidRDefault="0097370E" w:rsidP="0097370E">
      <w:pPr>
        <w:keepNext/>
        <w:keepLines/>
        <w:spacing w:before="200" w:after="0"/>
        <w:outlineLvl w:val="1"/>
        <w:rPr>
          <w:rFonts w:eastAsiaTheme="majorEastAsia" w:cstheme="minorHAnsi"/>
          <w:bCs/>
          <w:color w:val="000000" w:themeColor="text1"/>
          <w:sz w:val="24"/>
          <w:szCs w:val="24"/>
        </w:rPr>
      </w:pPr>
      <w:bookmarkStart w:id="13" w:name="_Toc469485883"/>
      <w:r>
        <w:rPr>
          <w:rFonts w:eastAsiaTheme="majorEastAsia" w:cstheme="minorHAnsi"/>
          <w:b/>
          <w:bCs/>
          <w:color w:val="000000" w:themeColor="text1"/>
          <w:sz w:val="24"/>
          <w:szCs w:val="24"/>
          <w:u w:val="single"/>
        </w:rPr>
        <w:t>Background</w:t>
      </w:r>
      <w:bookmarkEnd w:id="13"/>
    </w:p>
    <w:p w:rsidR="0097370E" w:rsidRPr="00AB6DD6" w:rsidRDefault="0097370E" w:rsidP="0097370E">
      <w:pPr>
        <w:keepNext/>
        <w:keepLines/>
        <w:spacing w:before="200" w:after="0"/>
        <w:outlineLvl w:val="1"/>
        <w:rPr>
          <w:rFonts w:eastAsiaTheme="majorEastAsia" w:cstheme="minorHAnsi"/>
          <w:bCs/>
          <w:color w:val="000000" w:themeColor="text1"/>
          <w:sz w:val="24"/>
          <w:szCs w:val="24"/>
        </w:rPr>
      </w:pPr>
      <w:bookmarkStart w:id="14" w:name="_Toc469485884"/>
      <w:r w:rsidRPr="00AB6DD6">
        <w:rPr>
          <w:sz w:val="24"/>
          <w:szCs w:val="24"/>
        </w:rPr>
        <w:t>Ministers carefully consider new enabling powers, particularly those that confer powers to introduce new regulatory regimes (including the setting up o</w:t>
      </w:r>
      <w:r>
        <w:rPr>
          <w:sz w:val="24"/>
          <w:szCs w:val="24"/>
        </w:rPr>
        <w:t>f new regulatory bodies). While</w:t>
      </w:r>
      <w:r w:rsidRPr="00AB6DD6">
        <w:rPr>
          <w:sz w:val="24"/>
          <w:szCs w:val="24"/>
        </w:rPr>
        <w:t xml:space="preserve"> actual costs and burdens on busines</w:t>
      </w:r>
      <w:r>
        <w:rPr>
          <w:sz w:val="24"/>
          <w:szCs w:val="24"/>
        </w:rPr>
        <w:t xml:space="preserve">s usually arise from a combination of primary and secondary </w:t>
      </w:r>
      <w:r w:rsidRPr="00AB6DD6">
        <w:rPr>
          <w:sz w:val="24"/>
          <w:szCs w:val="24"/>
        </w:rPr>
        <w:t xml:space="preserve">legislation, </w:t>
      </w:r>
      <w:r>
        <w:rPr>
          <w:sz w:val="24"/>
          <w:szCs w:val="24"/>
        </w:rPr>
        <w:t>m</w:t>
      </w:r>
      <w:r w:rsidRPr="00AB6DD6">
        <w:rPr>
          <w:sz w:val="24"/>
          <w:szCs w:val="24"/>
        </w:rPr>
        <w:t>inisters want to be assured</w:t>
      </w:r>
      <w:r>
        <w:rPr>
          <w:sz w:val="24"/>
          <w:szCs w:val="24"/>
        </w:rPr>
        <w:t>,</w:t>
      </w:r>
      <w:r w:rsidRPr="00AB6DD6">
        <w:rPr>
          <w:sz w:val="24"/>
          <w:szCs w:val="24"/>
        </w:rPr>
        <w:t xml:space="preserve"> </w:t>
      </w:r>
      <w:r>
        <w:rPr>
          <w:sz w:val="24"/>
          <w:szCs w:val="24"/>
        </w:rPr>
        <w:t xml:space="preserve">before agreeing primary legislation, </w:t>
      </w:r>
      <w:r w:rsidRPr="00AB6DD6">
        <w:rPr>
          <w:sz w:val="24"/>
          <w:szCs w:val="24"/>
        </w:rPr>
        <w:t>that there is a clear justification for the</w:t>
      </w:r>
      <w:r>
        <w:rPr>
          <w:sz w:val="24"/>
          <w:szCs w:val="24"/>
        </w:rPr>
        <w:t xml:space="preserve"> proposed intervention, and </w:t>
      </w:r>
      <w:r w:rsidRPr="00AB6DD6">
        <w:rPr>
          <w:sz w:val="24"/>
          <w:szCs w:val="24"/>
        </w:rPr>
        <w:t xml:space="preserve">supporting evidence regarding likely overall impacts of </w:t>
      </w:r>
      <w:r>
        <w:rPr>
          <w:sz w:val="24"/>
          <w:szCs w:val="24"/>
        </w:rPr>
        <w:t>a</w:t>
      </w:r>
      <w:r w:rsidRPr="00AB6DD6">
        <w:rPr>
          <w:sz w:val="24"/>
          <w:szCs w:val="24"/>
        </w:rPr>
        <w:t xml:space="preserve"> proposed measure (including both primary and secondary legislation) is set out in the </w:t>
      </w:r>
      <w:r>
        <w:rPr>
          <w:sz w:val="24"/>
          <w:szCs w:val="24"/>
        </w:rPr>
        <w:t>i</w:t>
      </w:r>
      <w:r w:rsidRPr="00AB6DD6">
        <w:rPr>
          <w:sz w:val="24"/>
          <w:szCs w:val="24"/>
        </w:rPr>
        <w:t xml:space="preserve">mpact </w:t>
      </w:r>
      <w:r>
        <w:rPr>
          <w:sz w:val="24"/>
          <w:szCs w:val="24"/>
        </w:rPr>
        <w:t>a</w:t>
      </w:r>
      <w:r w:rsidRPr="00AB6DD6">
        <w:rPr>
          <w:sz w:val="24"/>
          <w:szCs w:val="24"/>
        </w:rPr>
        <w:t xml:space="preserve">ssessment at the primary legislation stage.   This includes identification of </w:t>
      </w:r>
      <w:r>
        <w:rPr>
          <w:sz w:val="24"/>
          <w:szCs w:val="24"/>
        </w:rPr>
        <w:t xml:space="preserve">at least </w:t>
      </w:r>
      <w:r w:rsidRPr="00AB6DD6">
        <w:rPr>
          <w:sz w:val="24"/>
          <w:szCs w:val="24"/>
        </w:rPr>
        <w:t>the scale of costs</w:t>
      </w:r>
      <w:r>
        <w:rPr>
          <w:sz w:val="24"/>
          <w:szCs w:val="24"/>
        </w:rPr>
        <w:t>,</w:t>
      </w:r>
      <w:r w:rsidRPr="00AB6DD6">
        <w:rPr>
          <w:sz w:val="24"/>
          <w:szCs w:val="24"/>
        </w:rPr>
        <w:t xml:space="preserve"> and on which business</w:t>
      </w:r>
      <w:r>
        <w:rPr>
          <w:sz w:val="24"/>
          <w:szCs w:val="24"/>
        </w:rPr>
        <w:t xml:space="preserve"> </w:t>
      </w:r>
      <w:r w:rsidRPr="00AB6DD6">
        <w:rPr>
          <w:sz w:val="24"/>
          <w:szCs w:val="24"/>
        </w:rPr>
        <w:t>s</w:t>
      </w:r>
      <w:r>
        <w:rPr>
          <w:sz w:val="24"/>
          <w:szCs w:val="24"/>
        </w:rPr>
        <w:t>ectors</w:t>
      </w:r>
      <w:r w:rsidRPr="00AB6DD6">
        <w:rPr>
          <w:sz w:val="24"/>
          <w:szCs w:val="24"/>
        </w:rPr>
        <w:t xml:space="preserve"> they fall and how. As well as facilitating c</w:t>
      </w:r>
      <w:r>
        <w:rPr>
          <w:sz w:val="24"/>
          <w:szCs w:val="24"/>
        </w:rPr>
        <w:t xml:space="preserve">learance, this information </w:t>
      </w:r>
      <w:r w:rsidRPr="00AB6DD6">
        <w:rPr>
          <w:sz w:val="24"/>
          <w:szCs w:val="24"/>
        </w:rPr>
        <w:t>also help</w:t>
      </w:r>
      <w:r>
        <w:rPr>
          <w:sz w:val="24"/>
          <w:szCs w:val="24"/>
        </w:rPr>
        <w:t>s</w:t>
      </w:r>
      <w:r w:rsidRPr="00AB6DD6">
        <w:rPr>
          <w:sz w:val="24"/>
          <w:szCs w:val="24"/>
        </w:rPr>
        <w:t xml:space="preserve"> </w:t>
      </w:r>
      <w:r>
        <w:rPr>
          <w:sz w:val="24"/>
          <w:szCs w:val="24"/>
        </w:rPr>
        <w:t>d</w:t>
      </w:r>
      <w:r w:rsidRPr="00AB6DD6">
        <w:rPr>
          <w:sz w:val="24"/>
          <w:szCs w:val="24"/>
        </w:rPr>
        <w:t xml:space="preserve">epartmental </w:t>
      </w:r>
      <w:r>
        <w:rPr>
          <w:sz w:val="24"/>
          <w:szCs w:val="24"/>
        </w:rPr>
        <w:t>m</w:t>
      </w:r>
      <w:r w:rsidRPr="00AB6DD6">
        <w:rPr>
          <w:sz w:val="24"/>
          <w:szCs w:val="24"/>
        </w:rPr>
        <w:t>inisters in justifying and defending in Parliament the taking of enabling powers.</w:t>
      </w:r>
      <w:bookmarkEnd w:id="14"/>
    </w:p>
    <w:p w:rsidR="0097370E" w:rsidRPr="00AA2CB6" w:rsidRDefault="0097370E" w:rsidP="0097370E">
      <w:pPr>
        <w:keepNext/>
        <w:keepLines/>
        <w:spacing w:before="200" w:after="0"/>
        <w:outlineLvl w:val="1"/>
        <w:rPr>
          <w:rFonts w:cstheme="minorHAnsi"/>
          <w:b/>
          <w:sz w:val="24"/>
          <w:szCs w:val="24"/>
          <w:u w:val="single"/>
        </w:rPr>
      </w:pPr>
      <w:bookmarkStart w:id="15" w:name="_Toc469485885"/>
      <w:r w:rsidRPr="00AA2CB6">
        <w:rPr>
          <w:rFonts w:cstheme="minorHAnsi"/>
          <w:b/>
          <w:sz w:val="24"/>
          <w:szCs w:val="24"/>
          <w:u w:val="single"/>
        </w:rPr>
        <w:t>Introduction</w:t>
      </w:r>
      <w:bookmarkEnd w:id="15"/>
    </w:p>
    <w:p w:rsidR="0097370E" w:rsidRDefault="0097370E" w:rsidP="0097370E">
      <w:pPr>
        <w:keepNext/>
        <w:keepLines/>
        <w:spacing w:before="200" w:after="0"/>
        <w:outlineLvl w:val="1"/>
        <w:rPr>
          <w:rFonts w:cstheme="minorHAnsi"/>
          <w:sz w:val="24"/>
          <w:szCs w:val="24"/>
        </w:rPr>
      </w:pPr>
      <w:r w:rsidRPr="00BB0884">
        <w:rPr>
          <w:rFonts w:cstheme="minorHAnsi"/>
          <w:sz w:val="24"/>
          <w:szCs w:val="24"/>
        </w:rPr>
        <w:t xml:space="preserve">This section </w:t>
      </w:r>
      <w:r>
        <w:rPr>
          <w:rFonts w:cstheme="minorHAnsi"/>
          <w:sz w:val="24"/>
          <w:szCs w:val="24"/>
        </w:rPr>
        <w:t>describes</w:t>
      </w:r>
      <w:r w:rsidRPr="00BB0884">
        <w:rPr>
          <w:rFonts w:cstheme="minorHAnsi"/>
          <w:sz w:val="24"/>
          <w:szCs w:val="24"/>
        </w:rPr>
        <w:t xml:space="preserve"> how </w:t>
      </w:r>
      <w:r>
        <w:rPr>
          <w:rFonts w:cstheme="minorHAnsi"/>
          <w:sz w:val="24"/>
          <w:szCs w:val="24"/>
        </w:rPr>
        <w:t xml:space="preserve">the RPC applies the framework guidance for the assessment of the impacts of a policy at the </w:t>
      </w:r>
      <w:r w:rsidRPr="00BB0884">
        <w:rPr>
          <w:rFonts w:cstheme="minorHAnsi"/>
          <w:sz w:val="24"/>
          <w:szCs w:val="24"/>
        </w:rPr>
        <w:t xml:space="preserve">primary </w:t>
      </w:r>
      <w:r>
        <w:rPr>
          <w:rFonts w:cstheme="minorHAnsi"/>
          <w:sz w:val="24"/>
          <w:szCs w:val="24"/>
        </w:rPr>
        <w:t xml:space="preserve">and secondary </w:t>
      </w:r>
      <w:r w:rsidRPr="00BB0884">
        <w:rPr>
          <w:rFonts w:cstheme="minorHAnsi"/>
          <w:sz w:val="24"/>
          <w:szCs w:val="24"/>
        </w:rPr>
        <w:t xml:space="preserve">legislation </w:t>
      </w:r>
      <w:r>
        <w:rPr>
          <w:rFonts w:cstheme="minorHAnsi"/>
          <w:sz w:val="24"/>
          <w:szCs w:val="24"/>
        </w:rPr>
        <w:t>stages. It also reflects the RPC’s position on how policies should be categorised in terms of BIT scope, and what should be scored and when, at the primary and secondary legislation stages of a policy. It also covers some potential issues that departments may find helpful to note.</w:t>
      </w:r>
    </w:p>
    <w:p w:rsidR="0097370E" w:rsidRPr="00AA2CB6" w:rsidRDefault="0097370E" w:rsidP="0097370E">
      <w:pPr>
        <w:keepNext/>
        <w:keepLines/>
        <w:spacing w:before="200" w:after="0"/>
        <w:outlineLvl w:val="1"/>
        <w:rPr>
          <w:b/>
          <w:color w:val="000000"/>
          <w:sz w:val="24"/>
          <w:szCs w:val="24"/>
          <w:u w:val="single"/>
        </w:rPr>
      </w:pPr>
      <w:bookmarkStart w:id="16" w:name="_Toc469485887"/>
      <w:r w:rsidRPr="00AA2CB6">
        <w:rPr>
          <w:b/>
          <w:color w:val="000000"/>
          <w:sz w:val="24"/>
          <w:szCs w:val="24"/>
          <w:u w:val="single"/>
        </w:rPr>
        <w:t>Framework requirement</w:t>
      </w:r>
      <w:bookmarkEnd w:id="16"/>
    </w:p>
    <w:p w:rsidR="0097370E" w:rsidRPr="003C239F" w:rsidRDefault="0097370E" w:rsidP="0097370E">
      <w:pPr>
        <w:keepNext/>
        <w:keepLines/>
        <w:spacing w:before="200" w:after="0"/>
        <w:outlineLvl w:val="1"/>
        <w:rPr>
          <w:rFonts w:cstheme="minorHAnsi"/>
          <w:sz w:val="24"/>
          <w:szCs w:val="24"/>
        </w:rPr>
      </w:pPr>
      <w:bookmarkStart w:id="17" w:name="_Toc469485888"/>
      <w:r>
        <w:rPr>
          <w:color w:val="000000"/>
          <w:sz w:val="24"/>
          <w:szCs w:val="24"/>
        </w:rPr>
        <w:t xml:space="preserve">Paragraphs 2.3.45-46 of the Better Regulation Framework Manual (March 2015) states: </w:t>
      </w:r>
      <w:r w:rsidRPr="003C239F">
        <w:rPr>
          <w:rFonts w:cstheme="minorHAnsi"/>
          <w:i/>
          <w:sz w:val="24"/>
          <w:szCs w:val="24"/>
        </w:rPr>
        <w:t>“Where you are implementing a measure through primary legislation, or through a combination of primary legislation and secondary legislation made using powers provided in the primary legislation, the primary legislation impact assessment should quantify the total expected impact of the measure.</w:t>
      </w:r>
      <w:r>
        <w:rPr>
          <w:rFonts w:cstheme="minorHAnsi"/>
          <w:i/>
          <w:sz w:val="24"/>
          <w:szCs w:val="24"/>
        </w:rPr>
        <w:t xml:space="preserve">  </w:t>
      </w:r>
      <w:r w:rsidRPr="00066E23">
        <w:rPr>
          <w:rFonts w:cstheme="minorHAnsi"/>
          <w:i/>
          <w:sz w:val="24"/>
          <w:szCs w:val="24"/>
        </w:rPr>
        <w:t>If subsequent secondary legislati</w:t>
      </w:r>
      <w:r>
        <w:rPr>
          <w:rFonts w:cstheme="minorHAnsi"/>
          <w:i/>
          <w:sz w:val="24"/>
          <w:szCs w:val="24"/>
        </w:rPr>
        <w:t xml:space="preserve">on is drafted, the original impact assessment </w:t>
      </w:r>
      <w:r w:rsidRPr="00066E23">
        <w:rPr>
          <w:rFonts w:cstheme="minorHAnsi"/>
          <w:i/>
          <w:sz w:val="24"/>
          <w:szCs w:val="24"/>
        </w:rPr>
        <w:t>should be revised as necessary to refine the estimate of relevant impacts.</w:t>
      </w:r>
      <w:r w:rsidRPr="003C239F">
        <w:rPr>
          <w:rFonts w:cstheme="minorHAnsi"/>
          <w:i/>
          <w:sz w:val="24"/>
          <w:szCs w:val="24"/>
        </w:rPr>
        <w:t>”</w:t>
      </w:r>
      <w:r>
        <w:rPr>
          <w:rFonts w:cstheme="minorHAnsi"/>
          <w:i/>
          <w:sz w:val="24"/>
          <w:szCs w:val="24"/>
        </w:rPr>
        <w:t xml:space="preserve"> </w:t>
      </w:r>
      <w:r w:rsidRPr="003C239F">
        <w:rPr>
          <w:rFonts w:cstheme="minorHAnsi"/>
          <w:sz w:val="24"/>
          <w:szCs w:val="24"/>
        </w:rPr>
        <w:t xml:space="preserve">This same </w:t>
      </w:r>
      <w:r>
        <w:rPr>
          <w:rFonts w:cstheme="minorHAnsi"/>
          <w:sz w:val="24"/>
          <w:szCs w:val="24"/>
        </w:rPr>
        <w:t xml:space="preserve">text </w:t>
      </w:r>
      <w:r w:rsidRPr="003C239F">
        <w:rPr>
          <w:rFonts w:cstheme="minorHAnsi"/>
          <w:sz w:val="24"/>
          <w:szCs w:val="24"/>
        </w:rPr>
        <w:t>is currently at para</w:t>
      </w:r>
      <w:r>
        <w:rPr>
          <w:rFonts w:cstheme="minorHAnsi"/>
          <w:sz w:val="24"/>
          <w:szCs w:val="24"/>
        </w:rPr>
        <w:t>graphs</w:t>
      </w:r>
      <w:r w:rsidRPr="003C239F">
        <w:rPr>
          <w:rFonts w:cstheme="minorHAnsi"/>
          <w:sz w:val="24"/>
          <w:szCs w:val="24"/>
        </w:rPr>
        <w:t xml:space="preserve"> 2.3.43</w:t>
      </w:r>
      <w:r>
        <w:rPr>
          <w:rFonts w:cstheme="minorHAnsi"/>
          <w:sz w:val="24"/>
          <w:szCs w:val="24"/>
        </w:rPr>
        <w:t>-44</w:t>
      </w:r>
      <w:r w:rsidRPr="003C239F">
        <w:rPr>
          <w:rFonts w:cstheme="minorHAnsi"/>
          <w:sz w:val="24"/>
          <w:szCs w:val="24"/>
        </w:rPr>
        <w:t xml:space="preserve"> </w:t>
      </w:r>
      <w:r>
        <w:rPr>
          <w:rFonts w:cstheme="minorHAnsi"/>
          <w:sz w:val="24"/>
          <w:szCs w:val="24"/>
        </w:rPr>
        <w:t>in the new version of the BRFM.</w:t>
      </w:r>
      <w:bookmarkEnd w:id="17"/>
    </w:p>
    <w:p w:rsidR="0097370E" w:rsidRPr="00AA2CB6" w:rsidRDefault="0097370E" w:rsidP="0097370E">
      <w:pPr>
        <w:keepNext/>
        <w:keepLines/>
        <w:spacing w:before="200" w:after="0"/>
        <w:outlineLvl w:val="3"/>
        <w:rPr>
          <w:rFonts w:eastAsiaTheme="majorEastAsia" w:cstheme="minorHAnsi"/>
          <w:b/>
          <w:bCs/>
          <w:iCs/>
          <w:color w:val="000000" w:themeColor="text1"/>
          <w:sz w:val="24"/>
          <w:szCs w:val="24"/>
          <w:u w:val="single"/>
        </w:rPr>
      </w:pPr>
      <w:r w:rsidRPr="00AA2CB6">
        <w:rPr>
          <w:rFonts w:eastAsiaTheme="majorEastAsia" w:cstheme="minorHAnsi"/>
          <w:b/>
          <w:bCs/>
          <w:iCs/>
          <w:color w:val="000000" w:themeColor="text1"/>
          <w:sz w:val="24"/>
          <w:szCs w:val="24"/>
          <w:u w:val="single"/>
        </w:rPr>
        <w:t xml:space="preserve">How the RPC applies this requirement – rating </w:t>
      </w:r>
      <w:r>
        <w:rPr>
          <w:rFonts w:eastAsiaTheme="majorEastAsia" w:cstheme="minorHAnsi"/>
          <w:b/>
          <w:bCs/>
          <w:iCs/>
          <w:color w:val="000000" w:themeColor="text1"/>
          <w:sz w:val="24"/>
          <w:szCs w:val="24"/>
          <w:u w:val="single"/>
        </w:rPr>
        <w:t>a</w:t>
      </w:r>
      <w:r w:rsidRPr="00AA2CB6">
        <w:rPr>
          <w:rFonts w:eastAsiaTheme="majorEastAsia" w:cstheme="minorHAnsi"/>
          <w:b/>
          <w:bCs/>
          <w:iCs/>
          <w:color w:val="000000" w:themeColor="text1"/>
          <w:sz w:val="24"/>
          <w:szCs w:val="24"/>
          <w:u w:val="single"/>
        </w:rPr>
        <w:t xml:space="preserve"> department’s assessment of the impacts of a proposal</w:t>
      </w:r>
    </w:p>
    <w:p w:rsidR="0097370E" w:rsidRDefault="0097370E" w:rsidP="0097370E">
      <w:pPr>
        <w:spacing w:after="0" w:line="240" w:lineRule="auto"/>
        <w:rPr>
          <w:rFonts w:cstheme="minorHAnsi"/>
          <w:sz w:val="24"/>
          <w:szCs w:val="24"/>
        </w:rPr>
      </w:pPr>
    </w:p>
    <w:p w:rsidR="0097370E" w:rsidRDefault="0097370E" w:rsidP="0097370E">
      <w:pPr>
        <w:spacing w:after="60"/>
        <w:outlineLvl w:val="3"/>
        <w:rPr>
          <w:rFonts w:eastAsia="+mn-ea" w:cstheme="minorHAnsi"/>
          <w:color w:val="000000"/>
          <w:kern w:val="24"/>
          <w:sz w:val="24"/>
          <w:szCs w:val="24"/>
          <w:lang w:eastAsia="en-GB"/>
        </w:rPr>
      </w:pPr>
      <w:r>
        <w:rPr>
          <w:rFonts w:eastAsia="+mn-ea" w:cstheme="minorHAnsi"/>
          <w:color w:val="000000"/>
          <w:kern w:val="24"/>
          <w:sz w:val="24"/>
          <w:szCs w:val="24"/>
          <w:lang w:eastAsia="en-GB"/>
        </w:rPr>
        <w:t xml:space="preserve">The table below sets out three main scenarios, ranging from where a department is able to provide a robust assessment of the impacts of the whole policy at the primary legislation stage (scenario 1a), to where a department provides little or no assessment (scenario 3). </w:t>
      </w:r>
    </w:p>
    <w:p w:rsidR="0097370E" w:rsidRDefault="0097370E" w:rsidP="0097370E">
      <w:pPr>
        <w:spacing w:after="60"/>
        <w:outlineLvl w:val="3"/>
        <w:rPr>
          <w:rFonts w:eastAsia="+mn-ea" w:cstheme="minorHAnsi"/>
          <w:color w:val="000000"/>
          <w:kern w:val="24"/>
          <w:sz w:val="24"/>
          <w:szCs w:val="24"/>
          <w:u w:val="single"/>
          <w:lang w:eastAsia="en-GB"/>
        </w:rPr>
      </w:pPr>
    </w:p>
    <w:p w:rsidR="0097370E" w:rsidRPr="0028304E" w:rsidRDefault="0097370E" w:rsidP="0097370E">
      <w:pPr>
        <w:spacing w:after="60"/>
        <w:outlineLvl w:val="3"/>
        <w:rPr>
          <w:rFonts w:eastAsia="+mn-ea" w:cstheme="minorHAnsi"/>
          <w:color w:val="000000"/>
          <w:kern w:val="24"/>
          <w:sz w:val="24"/>
          <w:szCs w:val="24"/>
          <w:lang w:eastAsia="en-GB"/>
        </w:rPr>
      </w:pPr>
      <w:r w:rsidRPr="0028304E">
        <w:rPr>
          <w:rFonts w:eastAsia="+mn-ea" w:cstheme="minorHAnsi"/>
          <w:color w:val="000000"/>
          <w:kern w:val="24"/>
          <w:sz w:val="24"/>
          <w:szCs w:val="24"/>
          <w:u w:val="single"/>
          <w:lang w:eastAsia="en-GB"/>
        </w:rPr>
        <w:t>Scenario 1a</w:t>
      </w:r>
      <w:r w:rsidRPr="0028304E">
        <w:rPr>
          <w:rFonts w:eastAsia="+mn-ea" w:cstheme="minorHAnsi"/>
          <w:color w:val="000000"/>
          <w:kern w:val="24"/>
          <w:sz w:val="24"/>
          <w:szCs w:val="24"/>
          <w:lang w:eastAsia="en-GB"/>
        </w:rPr>
        <w:t xml:space="preserve"> is where the RPC is able to validate an EANDCB for the whole policy at the primary legislation stage.  This is something that departments should, wherever possible, aim to achieve. An example is provided in the box below scenario 1b.</w:t>
      </w:r>
    </w:p>
    <w:p w:rsidR="0097370E" w:rsidRPr="0028304E" w:rsidRDefault="0097370E" w:rsidP="0097370E">
      <w:pPr>
        <w:spacing w:after="60"/>
        <w:outlineLvl w:val="3"/>
        <w:rPr>
          <w:rFonts w:eastAsia="+mn-ea" w:cstheme="minorHAnsi"/>
          <w:color w:val="000000"/>
          <w:kern w:val="24"/>
          <w:sz w:val="24"/>
          <w:szCs w:val="24"/>
          <w:lang w:eastAsia="en-GB"/>
        </w:rPr>
      </w:pPr>
    </w:p>
    <w:p w:rsidR="0097370E" w:rsidRPr="0028304E" w:rsidRDefault="0097370E" w:rsidP="0097370E">
      <w:pPr>
        <w:spacing w:after="60"/>
        <w:outlineLvl w:val="3"/>
        <w:rPr>
          <w:rFonts w:eastAsia="+mn-ea" w:cstheme="minorHAnsi"/>
          <w:color w:val="000000"/>
          <w:kern w:val="24"/>
          <w:sz w:val="24"/>
          <w:szCs w:val="24"/>
          <w:lang w:eastAsia="en-GB"/>
        </w:rPr>
      </w:pPr>
      <w:r w:rsidRPr="0028304E">
        <w:rPr>
          <w:rFonts w:eastAsia="+mn-ea" w:cstheme="minorHAnsi"/>
          <w:color w:val="000000"/>
          <w:kern w:val="24"/>
          <w:sz w:val="24"/>
          <w:szCs w:val="24"/>
          <w:u w:val="single"/>
          <w:lang w:eastAsia="en-GB"/>
        </w:rPr>
        <w:t>Scenario 1b</w:t>
      </w:r>
      <w:r w:rsidRPr="0028304E">
        <w:rPr>
          <w:rFonts w:eastAsia="+mn-ea" w:cstheme="minorHAnsi"/>
          <w:color w:val="000000"/>
          <w:kern w:val="24"/>
          <w:sz w:val="24"/>
          <w:szCs w:val="24"/>
          <w:lang w:eastAsia="en-GB"/>
        </w:rPr>
        <w:t xml:space="preserve"> is where the RPC is able to validate an EANDCB for parts of the proposal at the primary legislation stage (e.g. where some of the primary legislation is implemented without the need for related secondary legislation and where the detail of all the secondary legislation is not known).  Where there is uncertainty at the primary legislation stage over the full impacts of the proposal, it is necessary to also submit an adjusted, or new, IA to the RPC to validate an EANDCB at the secondary legislation stage.   Sometimes it will be necessary for departments to seek validation for the whole proposal at the secondary legislation stage.</w:t>
      </w:r>
    </w:p>
    <w:p w:rsidR="0097370E" w:rsidRDefault="0097370E" w:rsidP="0097370E">
      <w:pPr>
        <w:spacing w:after="60"/>
        <w:outlineLvl w:val="3"/>
        <w:rPr>
          <w:rFonts w:eastAsia="+mn-ea" w:cstheme="minorHAnsi"/>
          <w:color w:val="000000"/>
          <w:kern w:val="24"/>
          <w:sz w:val="24"/>
          <w:szCs w:val="24"/>
          <w:lang w:eastAsia="en-GB"/>
        </w:rPr>
      </w:pPr>
      <w:r w:rsidRPr="0028304E">
        <w:rPr>
          <w:rFonts w:eastAsia="+mn-ea" w:cstheme="minorHAnsi"/>
          <w:color w:val="000000"/>
          <w:kern w:val="24"/>
          <w:sz w:val="24"/>
          <w:szCs w:val="24"/>
          <w:lang w:eastAsia="en-GB"/>
        </w:rPr>
        <w:br/>
        <w:t>The box below provides an example of the type of assessment that combines scenarios 1a and 1b.</w:t>
      </w:r>
    </w:p>
    <w:p w:rsidR="0097370E" w:rsidRPr="0022127E" w:rsidRDefault="0097370E" w:rsidP="0097370E">
      <w:pPr>
        <w:keepNext/>
        <w:keepLines/>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before="200" w:after="0"/>
        <w:outlineLvl w:val="3"/>
        <w:rPr>
          <w:rFonts w:eastAsiaTheme="majorEastAsia" w:cstheme="minorHAnsi"/>
          <w:bCs/>
          <w:iCs/>
          <w:color w:val="000000" w:themeColor="text1"/>
          <w:sz w:val="24"/>
          <w:szCs w:val="24"/>
        </w:rPr>
      </w:pPr>
      <w:r>
        <w:rPr>
          <w:rFonts w:eastAsiaTheme="majorEastAsia" w:cstheme="minorHAnsi"/>
          <w:b/>
          <w:bCs/>
          <w:iCs/>
          <w:color w:val="000000" w:themeColor="text1"/>
          <w:sz w:val="24"/>
          <w:szCs w:val="24"/>
        </w:rPr>
        <w:t>Pubs Statutory Code and Adjudicator (BIS</w:t>
      </w:r>
      <w:r w:rsidRPr="00AB5069">
        <w:rPr>
          <w:rFonts w:eastAsiaTheme="majorEastAsia" w:cstheme="minorHAnsi"/>
          <w:b/>
          <w:bCs/>
          <w:iCs/>
          <w:color w:val="000000" w:themeColor="text1"/>
          <w:sz w:val="24"/>
          <w:szCs w:val="24"/>
        </w:rPr>
        <w:t>-</w:t>
      </w:r>
      <w:r>
        <w:rPr>
          <w:rFonts w:eastAsiaTheme="majorEastAsia" w:cstheme="minorHAnsi"/>
          <w:b/>
          <w:bCs/>
          <w:iCs/>
          <w:color w:val="000000" w:themeColor="text1"/>
          <w:sz w:val="24"/>
          <w:szCs w:val="24"/>
        </w:rPr>
        <w:t>1717</w:t>
      </w:r>
      <w:r w:rsidRPr="00AB5069">
        <w:rPr>
          <w:rFonts w:eastAsiaTheme="majorEastAsia" w:cstheme="minorHAnsi"/>
          <w:b/>
          <w:bCs/>
          <w:iCs/>
          <w:color w:val="000000" w:themeColor="text1"/>
          <w:sz w:val="24"/>
          <w:szCs w:val="24"/>
        </w:rPr>
        <w:t>(</w:t>
      </w:r>
      <w:r>
        <w:rPr>
          <w:rFonts w:eastAsiaTheme="majorEastAsia" w:cstheme="minorHAnsi"/>
          <w:b/>
          <w:bCs/>
          <w:iCs/>
          <w:color w:val="000000" w:themeColor="text1"/>
          <w:sz w:val="24"/>
          <w:szCs w:val="24"/>
        </w:rPr>
        <w:t>4</w:t>
      </w:r>
      <w:r w:rsidRPr="00AB5069">
        <w:rPr>
          <w:rFonts w:eastAsiaTheme="majorEastAsia" w:cstheme="minorHAnsi"/>
          <w:b/>
          <w:bCs/>
          <w:iCs/>
          <w:color w:val="000000" w:themeColor="text1"/>
          <w:sz w:val="24"/>
          <w:szCs w:val="24"/>
        </w:rPr>
        <w:t>)):</w:t>
      </w:r>
      <w:r w:rsidRPr="0022127E">
        <w:rPr>
          <w:rFonts w:eastAsiaTheme="majorEastAsia" w:cstheme="minorHAnsi"/>
          <w:bCs/>
          <w:iCs/>
          <w:color w:val="000000" w:themeColor="text1"/>
          <w:sz w:val="24"/>
          <w:szCs w:val="24"/>
        </w:rPr>
        <w:t xml:space="preserve"> The impacts </w:t>
      </w:r>
      <w:r>
        <w:rPr>
          <w:rFonts w:eastAsiaTheme="majorEastAsia" w:cstheme="minorHAnsi"/>
          <w:bCs/>
          <w:iCs/>
          <w:color w:val="000000" w:themeColor="text1"/>
          <w:sz w:val="24"/>
          <w:szCs w:val="24"/>
        </w:rPr>
        <w:t xml:space="preserve">of the whole of the policy </w:t>
      </w:r>
      <w:r w:rsidRPr="0022127E">
        <w:rPr>
          <w:rFonts w:eastAsiaTheme="majorEastAsia" w:cstheme="minorHAnsi"/>
          <w:bCs/>
          <w:iCs/>
          <w:color w:val="000000" w:themeColor="text1"/>
          <w:sz w:val="24"/>
          <w:szCs w:val="24"/>
        </w:rPr>
        <w:t>were set out</w:t>
      </w:r>
      <w:r>
        <w:rPr>
          <w:rFonts w:eastAsiaTheme="majorEastAsia" w:cstheme="minorHAnsi"/>
          <w:bCs/>
          <w:iCs/>
          <w:color w:val="000000" w:themeColor="text1"/>
          <w:sz w:val="24"/>
          <w:szCs w:val="24"/>
        </w:rPr>
        <w:t xml:space="preserve"> </w:t>
      </w:r>
      <w:r w:rsidRPr="0022127E">
        <w:rPr>
          <w:rFonts w:eastAsiaTheme="majorEastAsia" w:cstheme="minorHAnsi"/>
          <w:bCs/>
          <w:iCs/>
          <w:color w:val="000000" w:themeColor="text1"/>
          <w:sz w:val="24"/>
          <w:szCs w:val="24"/>
        </w:rPr>
        <w:t>in</w:t>
      </w:r>
      <w:r>
        <w:rPr>
          <w:rFonts w:eastAsiaTheme="majorEastAsia" w:cstheme="minorHAnsi"/>
          <w:bCs/>
          <w:iCs/>
          <w:color w:val="000000" w:themeColor="text1"/>
          <w:sz w:val="24"/>
          <w:szCs w:val="24"/>
        </w:rPr>
        <w:t xml:space="preserve"> the</w:t>
      </w:r>
      <w:r w:rsidRPr="0022127E">
        <w:rPr>
          <w:rFonts w:eastAsiaTheme="majorEastAsia" w:cstheme="minorHAnsi"/>
          <w:bCs/>
          <w:iCs/>
          <w:color w:val="000000" w:themeColor="text1"/>
          <w:sz w:val="24"/>
          <w:szCs w:val="24"/>
        </w:rPr>
        <w:t xml:space="preserve"> </w:t>
      </w:r>
      <w:hyperlink r:id="rId59" w:history="1">
        <w:r w:rsidRPr="0022127E">
          <w:rPr>
            <w:rStyle w:val="Hyperlink"/>
            <w:rFonts w:eastAsiaTheme="majorEastAsia" w:cstheme="minorHAnsi"/>
            <w:bCs/>
            <w:iCs/>
            <w:sz w:val="24"/>
            <w:szCs w:val="24"/>
          </w:rPr>
          <w:t>Pubs Statutory Code and Adjudicator impact assessment (IA</w:t>
        </w:r>
      </w:hyperlink>
      <w:r w:rsidRPr="0022127E">
        <w:rPr>
          <w:rFonts w:eastAsiaTheme="majorEastAsia" w:cstheme="minorHAnsi"/>
          <w:bCs/>
          <w:iCs/>
          <w:color w:val="000000" w:themeColor="text1"/>
          <w:sz w:val="24"/>
          <w:szCs w:val="24"/>
          <w:u w:val="single"/>
        </w:rPr>
        <w:t>)</w:t>
      </w:r>
      <w:r w:rsidRPr="0022127E">
        <w:rPr>
          <w:rFonts w:eastAsiaTheme="majorEastAsia" w:cstheme="minorHAnsi"/>
          <w:bCs/>
          <w:iCs/>
          <w:color w:val="000000" w:themeColor="text1"/>
          <w:sz w:val="24"/>
          <w:szCs w:val="24"/>
        </w:rPr>
        <w:t xml:space="preserve"> </w:t>
      </w:r>
      <w:r>
        <w:rPr>
          <w:rFonts w:eastAsiaTheme="majorEastAsia" w:cstheme="minorHAnsi"/>
          <w:bCs/>
          <w:iCs/>
          <w:color w:val="000000" w:themeColor="text1"/>
          <w:sz w:val="24"/>
          <w:szCs w:val="24"/>
        </w:rPr>
        <w:t>at the primary legislation stage (The Small Business, Enterprise and Employment Act 2015).</w:t>
      </w:r>
      <w:r w:rsidRPr="0022127E">
        <w:rPr>
          <w:rFonts w:eastAsiaTheme="majorEastAsia" w:cstheme="minorHAnsi"/>
          <w:bCs/>
          <w:iCs/>
          <w:color w:val="000000" w:themeColor="text1"/>
          <w:sz w:val="24"/>
          <w:szCs w:val="24"/>
        </w:rPr>
        <w:t xml:space="preserve"> </w:t>
      </w:r>
      <w:r>
        <w:rPr>
          <w:rFonts w:eastAsiaTheme="majorEastAsia" w:cstheme="minorHAnsi"/>
          <w:bCs/>
          <w:iCs/>
          <w:color w:val="000000" w:themeColor="text1"/>
          <w:sz w:val="24"/>
          <w:szCs w:val="24"/>
        </w:rPr>
        <w:t xml:space="preserve">These </w:t>
      </w:r>
      <w:r w:rsidRPr="0022127E">
        <w:rPr>
          <w:rFonts w:eastAsiaTheme="majorEastAsia" w:cstheme="minorHAnsi"/>
          <w:bCs/>
          <w:iCs/>
          <w:color w:val="000000" w:themeColor="text1"/>
          <w:sz w:val="24"/>
          <w:szCs w:val="24"/>
        </w:rPr>
        <w:t xml:space="preserve">were considered in the relevant </w:t>
      </w:r>
      <w:hyperlink r:id="rId60" w:history="1">
        <w:r w:rsidRPr="0022127E">
          <w:rPr>
            <w:rStyle w:val="Hyperlink"/>
            <w:rFonts w:eastAsiaTheme="majorEastAsia" w:cstheme="minorHAnsi"/>
            <w:bCs/>
            <w:iCs/>
            <w:sz w:val="24"/>
            <w:szCs w:val="24"/>
          </w:rPr>
          <w:t>RPC opinion</w:t>
        </w:r>
      </w:hyperlink>
      <w:r w:rsidRPr="0022127E">
        <w:rPr>
          <w:rFonts w:eastAsiaTheme="majorEastAsia" w:cstheme="minorHAnsi"/>
          <w:bCs/>
          <w:iCs/>
          <w:color w:val="000000" w:themeColor="text1"/>
          <w:sz w:val="24"/>
          <w:szCs w:val="24"/>
        </w:rPr>
        <w:t xml:space="preserve"> of 6 June 2014</w:t>
      </w:r>
      <w:r>
        <w:rPr>
          <w:rFonts w:eastAsiaTheme="majorEastAsia" w:cstheme="minorHAnsi"/>
          <w:bCs/>
          <w:iCs/>
          <w:color w:val="000000" w:themeColor="text1"/>
          <w:sz w:val="24"/>
          <w:szCs w:val="24"/>
        </w:rPr>
        <w:t>. This opinion validated an EANCB of £3.4 million</w:t>
      </w:r>
      <w:r w:rsidRPr="0022127E">
        <w:rPr>
          <w:rFonts w:eastAsiaTheme="majorEastAsia" w:cstheme="minorHAnsi"/>
          <w:bCs/>
          <w:iCs/>
          <w:color w:val="000000" w:themeColor="text1"/>
          <w:sz w:val="24"/>
          <w:szCs w:val="24"/>
        </w:rPr>
        <w:t>.</w:t>
      </w:r>
    </w:p>
    <w:p w:rsidR="0097370E" w:rsidRPr="00AB5069" w:rsidRDefault="0097370E" w:rsidP="0097370E">
      <w:pPr>
        <w:keepNext/>
        <w:keepLines/>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before="200" w:after="0"/>
        <w:outlineLvl w:val="3"/>
        <w:rPr>
          <w:rFonts w:eastAsiaTheme="majorEastAsia" w:cstheme="minorHAnsi"/>
          <w:bCs/>
          <w:iCs/>
          <w:color w:val="000000" w:themeColor="text1"/>
          <w:sz w:val="24"/>
          <w:szCs w:val="24"/>
        </w:rPr>
      </w:pPr>
      <w:r w:rsidRPr="0022127E">
        <w:rPr>
          <w:rFonts w:eastAsiaTheme="majorEastAsia" w:cstheme="minorHAnsi"/>
          <w:bCs/>
          <w:iCs/>
          <w:color w:val="000000" w:themeColor="text1"/>
          <w:sz w:val="24"/>
          <w:szCs w:val="24"/>
        </w:rPr>
        <w:t xml:space="preserve">The secondary legislation </w:t>
      </w:r>
      <w:r>
        <w:rPr>
          <w:rFonts w:eastAsiaTheme="majorEastAsia" w:cstheme="minorHAnsi"/>
          <w:bCs/>
          <w:iCs/>
          <w:color w:val="000000" w:themeColor="text1"/>
          <w:sz w:val="24"/>
          <w:szCs w:val="24"/>
        </w:rPr>
        <w:t>includes a</w:t>
      </w:r>
      <w:r w:rsidRPr="005D531E">
        <w:rPr>
          <w:rFonts w:eastAsiaTheme="majorEastAsia" w:cstheme="minorHAnsi"/>
          <w:bCs/>
          <w:iCs/>
          <w:color w:val="000000" w:themeColor="text1"/>
          <w:sz w:val="24"/>
          <w:szCs w:val="24"/>
        </w:rPr>
        <w:t xml:space="preserve"> code </w:t>
      </w:r>
      <w:r>
        <w:rPr>
          <w:rFonts w:eastAsiaTheme="majorEastAsia" w:cstheme="minorHAnsi"/>
          <w:bCs/>
          <w:iCs/>
          <w:color w:val="000000" w:themeColor="text1"/>
          <w:sz w:val="24"/>
          <w:szCs w:val="24"/>
        </w:rPr>
        <w:t>that sets</w:t>
      </w:r>
      <w:r w:rsidRPr="005D531E">
        <w:rPr>
          <w:rFonts w:eastAsiaTheme="majorEastAsia" w:cstheme="minorHAnsi"/>
          <w:bCs/>
          <w:iCs/>
          <w:color w:val="000000" w:themeColor="text1"/>
          <w:sz w:val="24"/>
          <w:szCs w:val="24"/>
        </w:rPr>
        <w:t xml:space="preserve"> legal definitions of the terms and processes provided for in the primary legislation.</w:t>
      </w:r>
      <w:r>
        <w:rPr>
          <w:rFonts w:eastAsiaTheme="majorEastAsia" w:cstheme="minorHAnsi"/>
          <w:bCs/>
          <w:iCs/>
          <w:color w:val="000000" w:themeColor="text1"/>
          <w:sz w:val="24"/>
          <w:szCs w:val="24"/>
        </w:rPr>
        <w:t xml:space="preserve"> It also sets any </w:t>
      </w:r>
      <w:r w:rsidRPr="0022127E">
        <w:rPr>
          <w:rFonts w:eastAsiaTheme="majorEastAsia" w:cstheme="minorHAnsi"/>
          <w:bCs/>
          <w:iCs/>
          <w:color w:val="000000" w:themeColor="text1"/>
          <w:sz w:val="24"/>
          <w:szCs w:val="24"/>
        </w:rPr>
        <w:t>exempt</w:t>
      </w:r>
      <w:r>
        <w:rPr>
          <w:rFonts w:eastAsiaTheme="majorEastAsia" w:cstheme="minorHAnsi"/>
          <w:bCs/>
          <w:iCs/>
          <w:color w:val="000000" w:themeColor="text1"/>
          <w:sz w:val="24"/>
          <w:szCs w:val="24"/>
        </w:rPr>
        <w:t>ions from the code requirements. As a result of the parliamentary process, franchises were exempted from the code requirements for a market rent only assessment. Since this was not anticipated in the IA at the primary legislation stage, BIS subsequently submitted an IA taking account of this policy change. Since this change was beneficial to pub companies, the overall EANCB was reduced slightly, to £3.3 million.</w:t>
      </w:r>
    </w:p>
    <w:p w:rsidR="0097370E" w:rsidRDefault="0097370E" w:rsidP="0097370E">
      <w:pPr>
        <w:spacing w:after="60"/>
        <w:outlineLvl w:val="3"/>
        <w:rPr>
          <w:rFonts w:eastAsia="+mn-ea" w:cstheme="minorHAnsi"/>
          <w:color w:val="000000"/>
          <w:kern w:val="24"/>
          <w:sz w:val="24"/>
          <w:szCs w:val="24"/>
          <w:lang w:eastAsia="en-GB"/>
        </w:rPr>
      </w:pPr>
    </w:p>
    <w:p w:rsidR="0097370E" w:rsidRDefault="0097370E" w:rsidP="0097370E">
      <w:pPr>
        <w:spacing w:after="60"/>
        <w:outlineLvl w:val="3"/>
        <w:rPr>
          <w:rFonts w:eastAsia="+mn-ea" w:cstheme="minorHAnsi"/>
          <w:color w:val="000000"/>
          <w:kern w:val="24"/>
          <w:sz w:val="24"/>
          <w:szCs w:val="24"/>
          <w:lang w:eastAsia="en-GB"/>
        </w:rPr>
      </w:pPr>
    </w:p>
    <w:p w:rsidR="0097370E" w:rsidRDefault="0097370E" w:rsidP="0097370E">
      <w:pPr>
        <w:spacing w:after="60"/>
        <w:outlineLvl w:val="3"/>
        <w:rPr>
          <w:rFonts w:eastAsia="+mn-ea" w:cstheme="minorHAnsi"/>
          <w:color w:val="000000"/>
          <w:kern w:val="24"/>
          <w:sz w:val="24"/>
          <w:szCs w:val="24"/>
          <w:lang w:eastAsia="en-GB"/>
        </w:rPr>
      </w:pPr>
      <w:r w:rsidRPr="00041681">
        <w:rPr>
          <w:rFonts w:eastAsia="+mn-ea" w:cstheme="minorHAnsi"/>
          <w:color w:val="000000"/>
          <w:kern w:val="24"/>
          <w:sz w:val="24"/>
          <w:szCs w:val="24"/>
          <w:u w:val="single"/>
          <w:lang w:eastAsia="en-GB"/>
        </w:rPr>
        <w:t xml:space="preserve">Scenario </w:t>
      </w:r>
      <w:r>
        <w:rPr>
          <w:rFonts w:eastAsia="+mn-ea" w:cstheme="minorHAnsi"/>
          <w:color w:val="000000"/>
          <w:kern w:val="24"/>
          <w:sz w:val="24"/>
          <w:szCs w:val="24"/>
          <w:u w:val="single"/>
          <w:lang w:eastAsia="en-GB"/>
        </w:rPr>
        <w:t>2</w:t>
      </w:r>
      <w:r>
        <w:rPr>
          <w:rFonts w:eastAsia="+mn-ea" w:cstheme="minorHAnsi"/>
          <w:color w:val="000000"/>
          <w:kern w:val="24"/>
          <w:sz w:val="24"/>
          <w:szCs w:val="24"/>
          <w:lang w:eastAsia="en-GB"/>
        </w:rPr>
        <w:t xml:space="preserve"> is where departments provide</w:t>
      </w:r>
      <w:r w:rsidRPr="00041681">
        <w:rPr>
          <w:rFonts w:eastAsia="+mn-ea" w:cstheme="minorHAnsi"/>
          <w:color w:val="000000"/>
          <w:kern w:val="24"/>
          <w:sz w:val="24"/>
          <w:szCs w:val="24"/>
          <w:lang w:eastAsia="en-GB"/>
        </w:rPr>
        <w:t xml:space="preserve"> </w:t>
      </w:r>
      <w:r>
        <w:rPr>
          <w:rFonts w:eastAsia="+mn-ea" w:cstheme="minorHAnsi"/>
          <w:color w:val="000000"/>
          <w:kern w:val="24"/>
          <w:sz w:val="24"/>
          <w:szCs w:val="24"/>
          <w:lang w:eastAsia="en-GB"/>
        </w:rPr>
        <w:t xml:space="preserve">an indication of the likely scale of impacts but </w:t>
      </w:r>
      <w:proofErr w:type="gramStart"/>
      <w:r>
        <w:rPr>
          <w:rFonts w:eastAsia="+mn-ea" w:cstheme="minorHAnsi"/>
          <w:color w:val="000000"/>
          <w:kern w:val="24"/>
          <w:sz w:val="24"/>
          <w:szCs w:val="24"/>
          <w:lang w:eastAsia="en-GB"/>
        </w:rPr>
        <w:t>are</w:t>
      </w:r>
      <w:proofErr w:type="gramEnd"/>
      <w:r>
        <w:rPr>
          <w:rFonts w:eastAsia="+mn-ea" w:cstheme="minorHAnsi"/>
          <w:color w:val="000000"/>
          <w:kern w:val="24"/>
          <w:sz w:val="24"/>
          <w:szCs w:val="24"/>
          <w:lang w:eastAsia="en-GB"/>
        </w:rPr>
        <w:t xml:space="preserve"> unable to provide a robust assessment for validation until the secondary legislation stage. It applies where, for example,</w:t>
      </w:r>
      <w:r w:rsidRPr="00C721C5">
        <w:rPr>
          <w:rFonts w:eastAsia="+mn-ea" w:cstheme="minorHAnsi"/>
          <w:color w:val="000000"/>
          <w:kern w:val="24"/>
          <w:sz w:val="24"/>
          <w:szCs w:val="24"/>
          <w:lang w:eastAsia="en-GB"/>
        </w:rPr>
        <w:t xml:space="preserve"> </w:t>
      </w:r>
      <w:r>
        <w:rPr>
          <w:rFonts w:eastAsia="+mn-ea" w:cstheme="minorHAnsi"/>
          <w:color w:val="000000"/>
          <w:kern w:val="24"/>
          <w:sz w:val="24"/>
          <w:szCs w:val="24"/>
          <w:lang w:eastAsia="en-GB"/>
        </w:rPr>
        <w:t>because substantive policy decisions will not be taken until the secondary legislation stage, uncertainty over the impacts of a proposal is too great to provide a meaningful EANDCB figure for validation</w:t>
      </w:r>
      <w:r w:rsidRPr="00AB34B8">
        <w:rPr>
          <w:rFonts w:eastAsia="+mn-ea" w:cstheme="minorHAnsi"/>
          <w:color w:val="000000"/>
          <w:kern w:val="24"/>
          <w:sz w:val="24"/>
          <w:szCs w:val="24"/>
          <w:lang w:eastAsia="en-GB"/>
        </w:rPr>
        <w:t xml:space="preserve"> </w:t>
      </w:r>
      <w:r>
        <w:rPr>
          <w:rFonts w:eastAsia="+mn-ea" w:cstheme="minorHAnsi"/>
          <w:color w:val="000000"/>
          <w:kern w:val="24"/>
          <w:sz w:val="24"/>
          <w:szCs w:val="24"/>
          <w:lang w:eastAsia="en-GB"/>
        </w:rPr>
        <w:t xml:space="preserve">at the primary legislation stage. This scenario is the most common one. Departments still have to explain at the primary legislation stage why they are unable to provide a scenario 1-type assessment </w:t>
      </w:r>
      <w:r w:rsidRPr="0028304E">
        <w:rPr>
          <w:rFonts w:eastAsia="+mn-ea" w:cstheme="minorHAnsi"/>
          <w:color w:val="000000"/>
          <w:kern w:val="24"/>
          <w:sz w:val="24"/>
          <w:szCs w:val="24"/>
          <w:lang w:eastAsia="en-GB"/>
        </w:rPr>
        <w:t>and commit to provide an updated IA at the secondary legislation stage. Two ca</w:t>
      </w:r>
      <w:r>
        <w:rPr>
          <w:rFonts w:eastAsia="+mn-ea" w:cstheme="minorHAnsi"/>
          <w:color w:val="000000"/>
          <w:kern w:val="24"/>
          <w:sz w:val="24"/>
          <w:szCs w:val="24"/>
          <w:lang w:eastAsia="en-GB"/>
        </w:rPr>
        <w:t>se studies are provided in the boxes below.</w:t>
      </w:r>
    </w:p>
    <w:p w:rsidR="0097370E" w:rsidRDefault="0097370E" w:rsidP="0097370E">
      <w:pPr>
        <w:spacing w:after="60"/>
        <w:outlineLvl w:val="3"/>
        <w:rPr>
          <w:rFonts w:eastAsia="+mn-ea" w:cstheme="minorHAnsi"/>
          <w:color w:val="000000"/>
          <w:kern w:val="24"/>
          <w:sz w:val="24"/>
          <w:szCs w:val="24"/>
          <w:lang w:eastAsia="en-GB"/>
        </w:rPr>
      </w:pPr>
    </w:p>
    <w:p w:rsidR="0097370E" w:rsidRDefault="0097370E" w:rsidP="0097370E">
      <w:pPr>
        <w:spacing w:after="60"/>
        <w:outlineLvl w:val="3"/>
        <w:rPr>
          <w:rFonts w:eastAsia="+mn-ea" w:cstheme="minorHAnsi"/>
          <w:color w:val="000000"/>
          <w:kern w:val="24"/>
          <w:sz w:val="24"/>
          <w:szCs w:val="24"/>
          <w:lang w:eastAsia="en-GB"/>
        </w:rPr>
      </w:pPr>
    </w:p>
    <w:p w:rsidR="0097370E" w:rsidRPr="005D2C49" w:rsidRDefault="0097370E" w:rsidP="0097370E">
      <w:pPr>
        <w:keepNext/>
        <w:keepLines/>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before="200" w:after="0"/>
        <w:outlineLvl w:val="3"/>
        <w:rPr>
          <w:rFonts w:eastAsiaTheme="majorEastAsia" w:cstheme="minorHAnsi"/>
          <w:bCs/>
          <w:iCs/>
          <w:color w:val="000000" w:themeColor="text1"/>
          <w:sz w:val="24"/>
          <w:szCs w:val="24"/>
        </w:rPr>
      </w:pPr>
      <w:proofErr w:type="gramStart"/>
      <w:r w:rsidRPr="005D2C49">
        <w:rPr>
          <w:rFonts w:eastAsiaTheme="majorEastAsia" w:cstheme="minorHAnsi"/>
          <w:b/>
          <w:bCs/>
          <w:iCs/>
          <w:color w:val="000000" w:themeColor="text1"/>
          <w:sz w:val="24"/>
          <w:szCs w:val="24"/>
        </w:rPr>
        <w:lastRenderedPageBreak/>
        <w:t>Introducing a requirement for businesses to check that individuals have received appropriate financial advice before transferring, or otherwise dealing with, their pension annuity payments (HMT-3183(1))</w:t>
      </w:r>
      <w:r w:rsidRPr="005D2C49">
        <w:rPr>
          <w:rFonts w:eastAsiaTheme="majorEastAsia" w:cstheme="minorHAnsi"/>
          <w:bCs/>
          <w:iCs/>
          <w:color w:val="000000" w:themeColor="text1"/>
          <w:sz w:val="24"/>
          <w:szCs w:val="24"/>
        </w:rPr>
        <w:t>.</w:t>
      </w:r>
      <w:proofErr w:type="gramEnd"/>
      <w:r w:rsidRPr="005D2C49">
        <w:rPr>
          <w:rFonts w:eastAsiaTheme="majorEastAsia" w:cstheme="minorHAnsi"/>
          <w:bCs/>
          <w:iCs/>
          <w:color w:val="000000" w:themeColor="text1"/>
          <w:sz w:val="24"/>
          <w:szCs w:val="24"/>
        </w:rPr>
        <w:t xml:space="preserve"> The primary legislation require</w:t>
      </w:r>
      <w:r>
        <w:rPr>
          <w:rFonts w:eastAsiaTheme="majorEastAsia" w:cstheme="minorHAnsi"/>
          <w:bCs/>
          <w:iCs/>
          <w:color w:val="000000" w:themeColor="text1"/>
          <w:sz w:val="24"/>
          <w:szCs w:val="24"/>
        </w:rPr>
        <w:t>s</w:t>
      </w:r>
      <w:r w:rsidRPr="005D2C49">
        <w:rPr>
          <w:rFonts w:eastAsiaTheme="majorEastAsia" w:cstheme="minorHAnsi"/>
          <w:bCs/>
          <w:iCs/>
          <w:color w:val="000000" w:themeColor="text1"/>
          <w:sz w:val="24"/>
          <w:szCs w:val="24"/>
        </w:rPr>
        <w:t xml:space="preserve"> the FCA to ensure that authorised firms are able to check whether individuals with an annuity valued above a set threshold have received appropriate financial advice, and give</w:t>
      </w:r>
      <w:r>
        <w:rPr>
          <w:rFonts w:eastAsiaTheme="majorEastAsia" w:cstheme="minorHAnsi"/>
          <w:bCs/>
          <w:iCs/>
          <w:color w:val="000000" w:themeColor="text1"/>
          <w:sz w:val="24"/>
          <w:szCs w:val="24"/>
        </w:rPr>
        <w:t>s</w:t>
      </w:r>
      <w:r w:rsidRPr="005D2C49">
        <w:rPr>
          <w:rFonts w:eastAsiaTheme="majorEastAsia" w:cstheme="minorHAnsi"/>
          <w:bCs/>
          <w:iCs/>
          <w:color w:val="000000" w:themeColor="text1"/>
          <w:sz w:val="24"/>
          <w:szCs w:val="24"/>
        </w:rPr>
        <w:t xml:space="preserve"> HM Treasury the power to set the threshold value. </w:t>
      </w:r>
      <w:r>
        <w:rPr>
          <w:rFonts w:eastAsiaTheme="majorEastAsia" w:cstheme="minorHAnsi"/>
          <w:bCs/>
          <w:iCs/>
          <w:color w:val="000000" w:themeColor="text1"/>
          <w:sz w:val="24"/>
          <w:szCs w:val="24"/>
        </w:rPr>
        <w:t>T</w:t>
      </w:r>
      <w:r w:rsidRPr="005D2C49">
        <w:rPr>
          <w:rFonts w:eastAsiaTheme="majorEastAsia" w:cstheme="minorHAnsi"/>
          <w:bCs/>
          <w:iCs/>
          <w:color w:val="000000" w:themeColor="text1"/>
          <w:sz w:val="24"/>
          <w:szCs w:val="24"/>
        </w:rPr>
        <w:t>he impact on business depend</w:t>
      </w:r>
      <w:r>
        <w:rPr>
          <w:rFonts w:eastAsiaTheme="majorEastAsia" w:cstheme="minorHAnsi"/>
          <w:bCs/>
          <w:iCs/>
          <w:color w:val="000000" w:themeColor="text1"/>
          <w:sz w:val="24"/>
          <w:szCs w:val="24"/>
        </w:rPr>
        <w:t>s</w:t>
      </w:r>
      <w:r w:rsidRPr="005D2C49">
        <w:rPr>
          <w:rFonts w:eastAsiaTheme="majorEastAsia" w:cstheme="minorHAnsi"/>
          <w:bCs/>
          <w:iCs/>
          <w:color w:val="000000" w:themeColor="text1"/>
          <w:sz w:val="24"/>
          <w:szCs w:val="24"/>
        </w:rPr>
        <w:t xml:space="preserve"> </w:t>
      </w:r>
      <w:r>
        <w:rPr>
          <w:rFonts w:eastAsiaTheme="majorEastAsia" w:cstheme="minorHAnsi"/>
          <w:bCs/>
          <w:iCs/>
          <w:color w:val="000000" w:themeColor="text1"/>
          <w:sz w:val="24"/>
          <w:szCs w:val="24"/>
        </w:rPr>
        <w:t>significantly</w:t>
      </w:r>
      <w:r w:rsidRPr="005D2C49">
        <w:rPr>
          <w:rFonts w:eastAsiaTheme="majorEastAsia" w:cstheme="minorHAnsi"/>
          <w:bCs/>
          <w:iCs/>
          <w:color w:val="000000" w:themeColor="text1"/>
          <w:sz w:val="24"/>
          <w:szCs w:val="24"/>
        </w:rPr>
        <w:t xml:space="preserve"> on the level of the threshold value</w:t>
      </w:r>
      <w:r>
        <w:rPr>
          <w:rFonts w:eastAsiaTheme="majorEastAsia" w:cstheme="minorHAnsi"/>
          <w:bCs/>
          <w:iCs/>
          <w:color w:val="000000" w:themeColor="text1"/>
          <w:sz w:val="24"/>
          <w:szCs w:val="24"/>
        </w:rPr>
        <w:t xml:space="preserve">, which will be set through secondary legislation. </w:t>
      </w:r>
      <w:r w:rsidRPr="005D2C49">
        <w:rPr>
          <w:rFonts w:eastAsiaTheme="majorEastAsia" w:cstheme="minorHAnsi"/>
          <w:bCs/>
          <w:iCs/>
          <w:color w:val="000000" w:themeColor="text1"/>
          <w:sz w:val="24"/>
          <w:szCs w:val="24"/>
        </w:rPr>
        <w:t xml:space="preserve"> A robust estimate of the impacts of the proposal was, therefore, not possible at </w:t>
      </w:r>
      <w:r>
        <w:rPr>
          <w:rFonts w:eastAsiaTheme="majorEastAsia" w:cstheme="minorHAnsi"/>
          <w:bCs/>
          <w:iCs/>
          <w:color w:val="000000" w:themeColor="text1"/>
          <w:sz w:val="24"/>
          <w:szCs w:val="24"/>
        </w:rPr>
        <w:t xml:space="preserve">the </w:t>
      </w:r>
      <w:r w:rsidRPr="005D2C49">
        <w:rPr>
          <w:rFonts w:eastAsiaTheme="majorEastAsia" w:cstheme="minorHAnsi"/>
          <w:bCs/>
          <w:iCs/>
          <w:color w:val="000000" w:themeColor="text1"/>
          <w:sz w:val="24"/>
          <w:szCs w:val="24"/>
        </w:rPr>
        <w:t xml:space="preserve">primary legislation </w:t>
      </w:r>
      <w:r>
        <w:rPr>
          <w:rFonts w:eastAsiaTheme="majorEastAsia" w:cstheme="minorHAnsi"/>
          <w:bCs/>
          <w:iCs/>
          <w:color w:val="000000" w:themeColor="text1"/>
          <w:sz w:val="24"/>
          <w:szCs w:val="24"/>
        </w:rPr>
        <w:t>stage.  However, the IA provided</w:t>
      </w:r>
      <w:r w:rsidRPr="005D2C49">
        <w:rPr>
          <w:rFonts w:eastAsiaTheme="majorEastAsia" w:cstheme="minorHAnsi"/>
          <w:bCs/>
          <w:iCs/>
          <w:color w:val="000000" w:themeColor="text1"/>
          <w:sz w:val="24"/>
          <w:szCs w:val="24"/>
        </w:rPr>
        <w:t xml:space="preserve"> a detailed indicative assessment of the impacts of the proposal based on</w:t>
      </w:r>
      <w:r>
        <w:rPr>
          <w:rFonts w:eastAsiaTheme="majorEastAsia" w:cstheme="minorHAnsi"/>
          <w:bCs/>
          <w:iCs/>
          <w:color w:val="000000" w:themeColor="text1"/>
          <w:sz w:val="24"/>
          <w:szCs w:val="24"/>
        </w:rPr>
        <w:t xml:space="preserve"> anticipation </w:t>
      </w:r>
      <w:r w:rsidRPr="005D2C49">
        <w:rPr>
          <w:rFonts w:eastAsiaTheme="majorEastAsia" w:cstheme="minorHAnsi"/>
          <w:bCs/>
          <w:iCs/>
          <w:color w:val="000000" w:themeColor="text1"/>
          <w:sz w:val="24"/>
          <w:szCs w:val="24"/>
        </w:rPr>
        <w:t>of the threshold value. HM Treasury explained</w:t>
      </w:r>
      <w:r>
        <w:rPr>
          <w:rFonts w:eastAsiaTheme="majorEastAsia" w:cstheme="minorHAnsi"/>
          <w:bCs/>
          <w:iCs/>
          <w:color w:val="000000" w:themeColor="text1"/>
          <w:sz w:val="24"/>
          <w:szCs w:val="24"/>
        </w:rPr>
        <w:t xml:space="preserve"> clearly </w:t>
      </w:r>
      <w:r w:rsidRPr="005D2C49">
        <w:rPr>
          <w:rFonts w:eastAsiaTheme="majorEastAsia" w:cstheme="minorHAnsi"/>
          <w:bCs/>
          <w:iCs/>
          <w:color w:val="000000" w:themeColor="text1"/>
          <w:sz w:val="24"/>
          <w:szCs w:val="24"/>
        </w:rPr>
        <w:t>that the IA covering the secondary legislation</w:t>
      </w:r>
      <w:r>
        <w:rPr>
          <w:rFonts w:eastAsiaTheme="majorEastAsia" w:cstheme="minorHAnsi"/>
          <w:bCs/>
          <w:iCs/>
          <w:color w:val="000000" w:themeColor="text1"/>
          <w:sz w:val="24"/>
          <w:szCs w:val="24"/>
        </w:rPr>
        <w:t>, when the threshold value would be known,</w:t>
      </w:r>
      <w:r w:rsidRPr="005D2C49">
        <w:rPr>
          <w:rFonts w:eastAsiaTheme="majorEastAsia" w:cstheme="minorHAnsi"/>
          <w:bCs/>
          <w:iCs/>
          <w:color w:val="000000" w:themeColor="text1"/>
          <w:sz w:val="24"/>
          <w:szCs w:val="24"/>
        </w:rPr>
        <w:t xml:space="preserve"> w</w:t>
      </w:r>
      <w:r>
        <w:rPr>
          <w:rFonts w:eastAsiaTheme="majorEastAsia" w:cstheme="minorHAnsi"/>
          <w:bCs/>
          <w:iCs/>
          <w:color w:val="000000" w:themeColor="text1"/>
          <w:sz w:val="24"/>
          <w:szCs w:val="24"/>
        </w:rPr>
        <w:t>ou</w:t>
      </w:r>
      <w:r w:rsidRPr="005D2C49">
        <w:rPr>
          <w:rFonts w:eastAsiaTheme="majorEastAsia" w:cstheme="minorHAnsi"/>
          <w:bCs/>
          <w:iCs/>
          <w:color w:val="000000" w:themeColor="text1"/>
          <w:sz w:val="24"/>
          <w:szCs w:val="24"/>
        </w:rPr>
        <w:t>l</w:t>
      </w:r>
      <w:r>
        <w:rPr>
          <w:rFonts w:eastAsiaTheme="majorEastAsia" w:cstheme="minorHAnsi"/>
          <w:bCs/>
          <w:iCs/>
          <w:color w:val="000000" w:themeColor="text1"/>
          <w:sz w:val="24"/>
          <w:szCs w:val="24"/>
        </w:rPr>
        <w:t xml:space="preserve">d </w:t>
      </w:r>
      <w:r w:rsidRPr="005D2C49">
        <w:rPr>
          <w:rFonts w:eastAsiaTheme="majorEastAsia" w:cstheme="minorHAnsi"/>
          <w:bCs/>
          <w:iCs/>
          <w:color w:val="000000" w:themeColor="text1"/>
          <w:sz w:val="24"/>
          <w:szCs w:val="24"/>
        </w:rPr>
        <w:t>provide a more robust estimate of the EAN</w:t>
      </w:r>
      <w:r>
        <w:rPr>
          <w:rFonts w:eastAsiaTheme="majorEastAsia" w:cstheme="minorHAnsi"/>
          <w:bCs/>
          <w:iCs/>
          <w:color w:val="000000" w:themeColor="text1"/>
          <w:sz w:val="24"/>
          <w:szCs w:val="24"/>
        </w:rPr>
        <w:t>D</w:t>
      </w:r>
      <w:r w:rsidRPr="005D2C49">
        <w:rPr>
          <w:rFonts w:eastAsiaTheme="majorEastAsia" w:cstheme="minorHAnsi"/>
          <w:bCs/>
          <w:iCs/>
          <w:color w:val="000000" w:themeColor="text1"/>
          <w:sz w:val="24"/>
          <w:szCs w:val="24"/>
        </w:rPr>
        <w:t>CB of the whole proposal. The EAN</w:t>
      </w:r>
      <w:r>
        <w:rPr>
          <w:rFonts w:eastAsiaTheme="majorEastAsia" w:cstheme="minorHAnsi"/>
          <w:bCs/>
          <w:iCs/>
          <w:color w:val="000000" w:themeColor="text1"/>
          <w:sz w:val="24"/>
          <w:szCs w:val="24"/>
        </w:rPr>
        <w:t>DCB for the whole proposal would</w:t>
      </w:r>
      <w:r w:rsidRPr="005D2C49">
        <w:rPr>
          <w:rFonts w:eastAsiaTheme="majorEastAsia" w:cstheme="minorHAnsi"/>
          <w:bCs/>
          <w:iCs/>
          <w:color w:val="000000" w:themeColor="text1"/>
          <w:sz w:val="24"/>
          <w:szCs w:val="24"/>
        </w:rPr>
        <w:t xml:space="preserve">, therefore, be validated by the RPC at </w:t>
      </w:r>
      <w:r>
        <w:rPr>
          <w:rFonts w:eastAsiaTheme="majorEastAsia" w:cstheme="minorHAnsi"/>
          <w:bCs/>
          <w:iCs/>
          <w:color w:val="000000" w:themeColor="text1"/>
          <w:sz w:val="24"/>
          <w:szCs w:val="24"/>
        </w:rPr>
        <w:t xml:space="preserve">the </w:t>
      </w:r>
      <w:r w:rsidRPr="005D2C49">
        <w:rPr>
          <w:rFonts w:eastAsiaTheme="majorEastAsia" w:cstheme="minorHAnsi"/>
          <w:bCs/>
          <w:iCs/>
          <w:color w:val="000000" w:themeColor="text1"/>
          <w:sz w:val="24"/>
          <w:szCs w:val="24"/>
        </w:rPr>
        <w:t>secondary legislation stage.</w:t>
      </w:r>
    </w:p>
    <w:p w:rsidR="0097370E" w:rsidRDefault="0097370E" w:rsidP="0097370E">
      <w:pPr>
        <w:spacing w:after="60"/>
        <w:outlineLvl w:val="3"/>
        <w:rPr>
          <w:rFonts w:eastAsia="+mn-ea" w:cstheme="minorHAnsi"/>
          <w:color w:val="000000"/>
          <w:kern w:val="24"/>
          <w:sz w:val="24"/>
          <w:szCs w:val="24"/>
          <w:lang w:eastAsia="en-GB"/>
        </w:rPr>
      </w:pPr>
    </w:p>
    <w:p w:rsidR="0097370E" w:rsidRPr="005D2C49" w:rsidRDefault="0097370E" w:rsidP="0097370E">
      <w:pPr>
        <w:keepNext/>
        <w:keepLines/>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before="200" w:after="0"/>
        <w:outlineLvl w:val="3"/>
        <w:rPr>
          <w:rFonts w:eastAsiaTheme="majorEastAsia" w:cstheme="minorHAnsi"/>
          <w:bCs/>
          <w:iCs/>
          <w:color w:val="000000" w:themeColor="text1"/>
          <w:sz w:val="24"/>
          <w:szCs w:val="24"/>
        </w:rPr>
      </w:pPr>
      <w:r w:rsidRPr="005D2C49">
        <w:rPr>
          <w:rFonts w:eastAsiaTheme="majorEastAsia" w:cstheme="minorHAnsi"/>
          <w:b/>
          <w:bCs/>
          <w:iCs/>
          <w:color w:val="000000" w:themeColor="text1"/>
          <w:sz w:val="24"/>
          <w:szCs w:val="24"/>
        </w:rPr>
        <w:t xml:space="preserve">Introducing </w:t>
      </w:r>
      <w:r>
        <w:rPr>
          <w:rFonts w:eastAsiaTheme="majorEastAsia" w:cstheme="minorHAnsi"/>
          <w:b/>
          <w:bCs/>
          <w:iCs/>
          <w:color w:val="000000" w:themeColor="text1"/>
          <w:sz w:val="24"/>
          <w:szCs w:val="24"/>
        </w:rPr>
        <w:t>registration fees for the Office for Students (BIS-3338(1))</w:t>
      </w:r>
      <w:r w:rsidRPr="005D2C49">
        <w:rPr>
          <w:rFonts w:eastAsiaTheme="majorEastAsia" w:cstheme="minorHAnsi"/>
          <w:bCs/>
          <w:iCs/>
          <w:color w:val="000000" w:themeColor="text1"/>
          <w:sz w:val="24"/>
          <w:szCs w:val="24"/>
        </w:rPr>
        <w:t xml:space="preserve"> </w:t>
      </w:r>
      <w:proofErr w:type="gramStart"/>
      <w:r w:rsidRPr="00F14869">
        <w:rPr>
          <w:rFonts w:eastAsiaTheme="majorEastAsia" w:cstheme="minorHAnsi"/>
          <w:bCs/>
          <w:iCs/>
          <w:color w:val="000000" w:themeColor="text1"/>
          <w:sz w:val="24"/>
          <w:szCs w:val="24"/>
        </w:rPr>
        <w:t>The</w:t>
      </w:r>
      <w:proofErr w:type="gramEnd"/>
      <w:r w:rsidRPr="00F14869">
        <w:rPr>
          <w:rFonts w:eastAsiaTheme="majorEastAsia" w:cstheme="minorHAnsi"/>
          <w:bCs/>
          <w:iCs/>
          <w:color w:val="000000" w:themeColor="text1"/>
          <w:sz w:val="24"/>
          <w:szCs w:val="24"/>
        </w:rPr>
        <w:t xml:space="preserve"> impact assessment support</w:t>
      </w:r>
      <w:r>
        <w:rPr>
          <w:rFonts w:eastAsiaTheme="majorEastAsia" w:cstheme="minorHAnsi"/>
          <w:bCs/>
          <w:iCs/>
          <w:color w:val="000000" w:themeColor="text1"/>
          <w:sz w:val="24"/>
          <w:szCs w:val="24"/>
        </w:rPr>
        <w:t>ed</w:t>
      </w:r>
      <w:r w:rsidRPr="00F14869">
        <w:rPr>
          <w:rFonts w:eastAsiaTheme="majorEastAsia" w:cstheme="minorHAnsi"/>
          <w:bCs/>
          <w:iCs/>
          <w:color w:val="000000" w:themeColor="text1"/>
          <w:sz w:val="24"/>
          <w:szCs w:val="24"/>
        </w:rPr>
        <w:t xml:space="preserve"> primary legislation giving the new Office for Students (</w:t>
      </w:r>
      <w:proofErr w:type="spellStart"/>
      <w:r w:rsidRPr="00F14869">
        <w:rPr>
          <w:rFonts w:eastAsiaTheme="majorEastAsia" w:cstheme="minorHAnsi"/>
          <w:bCs/>
          <w:iCs/>
          <w:color w:val="000000" w:themeColor="text1"/>
          <w:sz w:val="24"/>
          <w:szCs w:val="24"/>
        </w:rPr>
        <w:t>OfS</w:t>
      </w:r>
      <w:proofErr w:type="spellEnd"/>
      <w:r w:rsidRPr="00F14869">
        <w:rPr>
          <w:rFonts w:eastAsiaTheme="majorEastAsia" w:cstheme="minorHAnsi"/>
          <w:bCs/>
          <w:iCs/>
          <w:color w:val="000000" w:themeColor="text1"/>
          <w:sz w:val="24"/>
          <w:szCs w:val="24"/>
        </w:rPr>
        <w:t>) the power to charge higher education institutions fees for registration. The specific f</w:t>
      </w:r>
      <w:r>
        <w:rPr>
          <w:rFonts w:eastAsiaTheme="majorEastAsia" w:cstheme="minorHAnsi"/>
          <w:bCs/>
          <w:iCs/>
          <w:color w:val="000000" w:themeColor="text1"/>
          <w:sz w:val="24"/>
          <w:szCs w:val="24"/>
        </w:rPr>
        <w:t xml:space="preserve">unding structure of the </w:t>
      </w:r>
      <w:proofErr w:type="spellStart"/>
      <w:r>
        <w:rPr>
          <w:rFonts w:eastAsiaTheme="majorEastAsia" w:cstheme="minorHAnsi"/>
          <w:bCs/>
          <w:iCs/>
          <w:color w:val="000000" w:themeColor="text1"/>
          <w:sz w:val="24"/>
          <w:szCs w:val="24"/>
        </w:rPr>
        <w:t>OfS</w:t>
      </w:r>
      <w:proofErr w:type="spellEnd"/>
      <w:r>
        <w:rPr>
          <w:rFonts w:eastAsiaTheme="majorEastAsia" w:cstheme="minorHAnsi"/>
          <w:bCs/>
          <w:iCs/>
          <w:color w:val="000000" w:themeColor="text1"/>
          <w:sz w:val="24"/>
          <w:szCs w:val="24"/>
        </w:rPr>
        <w:t xml:space="preserve"> would</w:t>
      </w:r>
      <w:r w:rsidRPr="00F14869">
        <w:rPr>
          <w:rFonts w:eastAsiaTheme="majorEastAsia" w:cstheme="minorHAnsi"/>
          <w:bCs/>
          <w:iCs/>
          <w:color w:val="000000" w:themeColor="text1"/>
          <w:sz w:val="24"/>
          <w:szCs w:val="24"/>
        </w:rPr>
        <w:t xml:space="preserve"> be </w:t>
      </w:r>
      <w:r>
        <w:rPr>
          <w:rFonts w:eastAsiaTheme="majorEastAsia" w:cstheme="minorHAnsi"/>
          <w:bCs/>
          <w:iCs/>
          <w:color w:val="000000" w:themeColor="text1"/>
          <w:sz w:val="24"/>
          <w:szCs w:val="24"/>
        </w:rPr>
        <w:t xml:space="preserve">set out </w:t>
      </w:r>
      <w:r w:rsidRPr="00F14869">
        <w:rPr>
          <w:rFonts w:eastAsiaTheme="majorEastAsia" w:cstheme="minorHAnsi"/>
          <w:bCs/>
          <w:iCs/>
          <w:color w:val="000000" w:themeColor="text1"/>
          <w:sz w:val="24"/>
          <w:szCs w:val="24"/>
        </w:rPr>
        <w:t>in secondary legislation</w:t>
      </w:r>
      <w:r>
        <w:rPr>
          <w:rFonts w:eastAsiaTheme="majorEastAsia" w:cstheme="minorHAnsi"/>
          <w:bCs/>
          <w:iCs/>
          <w:color w:val="000000" w:themeColor="text1"/>
          <w:sz w:val="24"/>
          <w:szCs w:val="24"/>
        </w:rPr>
        <w:t xml:space="preserve"> but the detail of which was not known at the primary legislation stage</w:t>
      </w:r>
      <w:r w:rsidRPr="00F14869">
        <w:rPr>
          <w:rFonts w:eastAsiaTheme="majorEastAsia" w:cstheme="minorHAnsi"/>
          <w:bCs/>
          <w:iCs/>
          <w:color w:val="000000" w:themeColor="text1"/>
          <w:sz w:val="24"/>
          <w:szCs w:val="24"/>
        </w:rPr>
        <w:t xml:space="preserve">. </w:t>
      </w:r>
      <w:r>
        <w:rPr>
          <w:rFonts w:eastAsiaTheme="majorEastAsia" w:cstheme="minorHAnsi"/>
          <w:bCs/>
          <w:iCs/>
          <w:color w:val="000000" w:themeColor="text1"/>
          <w:sz w:val="24"/>
          <w:szCs w:val="24"/>
        </w:rPr>
        <w:t>The Department provided a detailed assessment, with a provisional EANDCB of £25.1 million, but this could be only indicative at the primary legislation stage. The</w:t>
      </w:r>
      <w:r w:rsidRPr="00F14869">
        <w:rPr>
          <w:rFonts w:eastAsiaTheme="majorEastAsia" w:cstheme="minorHAnsi"/>
          <w:bCs/>
          <w:iCs/>
          <w:color w:val="000000" w:themeColor="text1"/>
          <w:sz w:val="24"/>
          <w:szCs w:val="24"/>
        </w:rPr>
        <w:t xml:space="preserve"> </w:t>
      </w:r>
      <w:r>
        <w:rPr>
          <w:rFonts w:eastAsiaTheme="majorEastAsia" w:cstheme="minorHAnsi"/>
          <w:bCs/>
          <w:iCs/>
          <w:color w:val="000000" w:themeColor="text1"/>
          <w:sz w:val="24"/>
          <w:szCs w:val="24"/>
        </w:rPr>
        <w:t>funding structure, and associated registration fees, would</w:t>
      </w:r>
      <w:r w:rsidRPr="00F14869">
        <w:rPr>
          <w:rFonts w:eastAsiaTheme="majorEastAsia" w:cstheme="minorHAnsi"/>
          <w:bCs/>
          <w:iCs/>
          <w:color w:val="000000" w:themeColor="text1"/>
          <w:sz w:val="24"/>
          <w:szCs w:val="24"/>
        </w:rPr>
        <w:t xml:space="preserve"> be subject to consultation and a further impact assessment</w:t>
      </w:r>
      <w:r>
        <w:rPr>
          <w:rFonts w:eastAsiaTheme="majorEastAsia" w:cstheme="minorHAnsi"/>
          <w:bCs/>
          <w:iCs/>
          <w:color w:val="000000" w:themeColor="text1"/>
          <w:sz w:val="24"/>
          <w:szCs w:val="24"/>
        </w:rPr>
        <w:t>.</w:t>
      </w:r>
      <w:r w:rsidRPr="005D2C49">
        <w:rPr>
          <w:rFonts w:eastAsiaTheme="majorEastAsia" w:cstheme="minorHAnsi"/>
          <w:bCs/>
          <w:iCs/>
          <w:color w:val="000000" w:themeColor="text1"/>
          <w:sz w:val="24"/>
          <w:szCs w:val="24"/>
        </w:rPr>
        <w:t xml:space="preserve"> The EAN</w:t>
      </w:r>
      <w:r>
        <w:rPr>
          <w:rFonts w:eastAsiaTheme="majorEastAsia" w:cstheme="minorHAnsi"/>
          <w:bCs/>
          <w:iCs/>
          <w:color w:val="000000" w:themeColor="text1"/>
          <w:sz w:val="24"/>
          <w:szCs w:val="24"/>
        </w:rPr>
        <w:t>D</w:t>
      </w:r>
      <w:r w:rsidRPr="005D2C49">
        <w:rPr>
          <w:rFonts w:eastAsiaTheme="majorEastAsia" w:cstheme="minorHAnsi"/>
          <w:bCs/>
          <w:iCs/>
          <w:color w:val="000000" w:themeColor="text1"/>
          <w:sz w:val="24"/>
          <w:szCs w:val="24"/>
        </w:rPr>
        <w:t>CB for the whole proposal w</w:t>
      </w:r>
      <w:r>
        <w:rPr>
          <w:rFonts w:eastAsiaTheme="majorEastAsia" w:cstheme="minorHAnsi"/>
          <w:bCs/>
          <w:iCs/>
          <w:color w:val="000000" w:themeColor="text1"/>
          <w:sz w:val="24"/>
          <w:szCs w:val="24"/>
        </w:rPr>
        <w:t>ould</w:t>
      </w:r>
      <w:r w:rsidRPr="005D2C49">
        <w:rPr>
          <w:rFonts w:eastAsiaTheme="majorEastAsia" w:cstheme="minorHAnsi"/>
          <w:bCs/>
          <w:iCs/>
          <w:color w:val="000000" w:themeColor="text1"/>
          <w:sz w:val="24"/>
          <w:szCs w:val="24"/>
        </w:rPr>
        <w:t xml:space="preserve">, therefore, be validated by the RPC at </w:t>
      </w:r>
      <w:r>
        <w:rPr>
          <w:rFonts w:eastAsiaTheme="majorEastAsia" w:cstheme="minorHAnsi"/>
          <w:bCs/>
          <w:iCs/>
          <w:color w:val="000000" w:themeColor="text1"/>
          <w:sz w:val="24"/>
          <w:szCs w:val="24"/>
        </w:rPr>
        <w:t xml:space="preserve">the </w:t>
      </w:r>
      <w:r w:rsidRPr="005D2C49">
        <w:rPr>
          <w:rFonts w:eastAsiaTheme="majorEastAsia" w:cstheme="minorHAnsi"/>
          <w:bCs/>
          <w:iCs/>
          <w:color w:val="000000" w:themeColor="text1"/>
          <w:sz w:val="24"/>
          <w:szCs w:val="24"/>
        </w:rPr>
        <w:t>secondary legislation stage.</w:t>
      </w:r>
    </w:p>
    <w:p w:rsidR="0097370E" w:rsidRDefault="0097370E" w:rsidP="0097370E">
      <w:pPr>
        <w:spacing w:after="60"/>
        <w:outlineLvl w:val="3"/>
        <w:rPr>
          <w:rFonts w:eastAsia="+mn-ea" w:cstheme="minorHAnsi"/>
          <w:color w:val="000000"/>
          <w:kern w:val="24"/>
          <w:sz w:val="24"/>
          <w:szCs w:val="24"/>
          <w:lang w:eastAsia="en-GB"/>
        </w:rPr>
      </w:pPr>
    </w:p>
    <w:p w:rsidR="0097370E" w:rsidRPr="00454D41" w:rsidRDefault="0097370E" w:rsidP="00454D41">
      <w:pPr>
        <w:spacing w:after="60"/>
        <w:outlineLvl w:val="3"/>
        <w:rPr>
          <w:rFonts w:eastAsia="+mn-ea" w:cstheme="minorHAnsi"/>
          <w:color w:val="000000"/>
          <w:kern w:val="24"/>
          <w:sz w:val="24"/>
          <w:szCs w:val="24"/>
          <w:lang w:eastAsia="en-GB"/>
        </w:rPr>
      </w:pPr>
      <w:r w:rsidRPr="00DB2432">
        <w:rPr>
          <w:rFonts w:eastAsia="+mn-ea" w:cstheme="minorHAnsi"/>
          <w:color w:val="000000"/>
          <w:kern w:val="24"/>
          <w:sz w:val="24"/>
          <w:szCs w:val="24"/>
          <w:u w:val="single"/>
          <w:lang w:eastAsia="en-GB"/>
        </w:rPr>
        <w:t>Scenario 3</w:t>
      </w:r>
      <w:r>
        <w:rPr>
          <w:rFonts w:eastAsia="+mn-ea" w:cstheme="minorHAnsi"/>
          <w:color w:val="000000"/>
          <w:kern w:val="24"/>
          <w:sz w:val="24"/>
          <w:szCs w:val="24"/>
          <w:lang w:eastAsia="en-GB"/>
        </w:rPr>
        <w:t xml:space="preserve"> is one that departments will wish to avoid - where there is no assessment of the impact of the overall policy. This is very likely to result in an IRN/red-rated opinion from the RPC – see example in the box below.</w:t>
      </w:r>
    </w:p>
    <w:p w:rsidR="0097370E" w:rsidRPr="005D2C49" w:rsidRDefault="0097370E" w:rsidP="0097370E">
      <w:pPr>
        <w:keepNext/>
        <w:keepLines/>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before="200" w:after="0"/>
        <w:outlineLvl w:val="3"/>
        <w:rPr>
          <w:rFonts w:eastAsiaTheme="majorEastAsia" w:cstheme="minorHAnsi"/>
          <w:bCs/>
          <w:iCs/>
          <w:color w:val="000000" w:themeColor="text1"/>
          <w:sz w:val="24"/>
          <w:szCs w:val="24"/>
        </w:rPr>
      </w:pPr>
      <w:proofErr w:type="gramStart"/>
      <w:r>
        <w:rPr>
          <w:rFonts w:eastAsiaTheme="majorEastAsia" w:cstheme="minorHAnsi"/>
          <w:b/>
          <w:bCs/>
          <w:iCs/>
          <w:color w:val="000000" w:themeColor="text1"/>
          <w:sz w:val="24"/>
          <w:szCs w:val="24"/>
        </w:rPr>
        <w:t>Approval condition where a development order grants permission for building (CLG-3165(1)).</w:t>
      </w:r>
      <w:proofErr w:type="gramEnd"/>
      <w:r>
        <w:rPr>
          <w:rFonts w:eastAsiaTheme="majorEastAsia" w:cstheme="minorHAnsi"/>
          <w:b/>
          <w:bCs/>
          <w:iCs/>
          <w:color w:val="000000" w:themeColor="text1"/>
          <w:sz w:val="24"/>
          <w:szCs w:val="24"/>
        </w:rPr>
        <w:t xml:space="preserve"> </w:t>
      </w:r>
      <w:r w:rsidRPr="00D74761">
        <w:rPr>
          <w:rFonts w:eastAsiaTheme="majorEastAsia" w:cstheme="minorHAnsi"/>
          <w:bCs/>
          <w:iCs/>
          <w:color w:val="000000" w:themeColor="text1"/>
          <w:sz w:val="24"/>
          <w:szCs w:val="24"/>
        </w:rPr>
        <w:t>This IA</w:t>
      </w:r>
      <w:r w:rsidRPr="00D74761">
        <w:rPr>
          <w:rFonts w:cstheme="minorHAnsi"/>
          <w:sz w:val="24"/>
        </w:rPr>
        <w:t xml:space="preserve"> relate</w:t>
      </w:r>
      <w:r>
        <w:rPr>
          <w:rFonts w:cstheme="minorHAnsi"/>
          <w:sz w:val="24"/>
        </w:rPr>
        <w:t>d</w:t>
      </w:r>
      <w:r w:rsidRPr="00D74761">
        <w:rPr>
          <w:rFonts w:cstheme="minorHAnsi"/>
          <w:sz w:val="24"/>
        </w:rPr>
        <w:t xml:space="preserve"> to primary legislation</w:t>
      </w:r>
      <w:r>
        <w:rPr>
          <w:rFonts w:cstheme="minorHAnsi"/>
          <w:sz w:val="24"/>
        </w:rPr>
        <w:t xml:space="preserve"> providing</w:t>
      </w:r>
      <w:r w:rsidRPr="00D74761">
        <w:rPr>
          <w:rFonts w:cstheme="minorHAnsi"/>
          <w:sz w:val="24"/>
        </w:rPr>
        <w:t xml:space="preserve"> a power enabling </w:t>
      </w:r>
      <w:r>
        <w:rPr>
          <w:rFonts w:cstheme="minorHAnsi"/>
          <w:sz w:val="24"/>
        </w:rPr>
        <w:t>the Government</w:t>
      </w:r>
      <w:r w:rsidRPr="00D74761">
        <w:rPr>
          <w:rFonts w:cstheme="minorHAnsi"/>
          <w:sz w:val="24"/>
        </w:rPr>
        <w:t xml:space="preserve"> to bring forward measures through secondary legislation allowing local authorities broader permitted development rights.</w:t>
      </w:r>
      <w:r>
        <w:rPr>
          <w:rFonts w:cstheme="minorHAnsi"/>
          <w:sz w:val="24"/>
        </w:rPr>
        <w:t xml:space="preserve"> </w:t>
      </w:r>
      <w:r w:rsidRPr="00D74761">
        <w:rPr>
          <w:rFonts w:eastAsiaTheme="majorEastAsia" w:cstheme="minorHAnsi"/>
          <w:bCs/>
          <w:iCs/>
          <w:sz w:val="24"/>
          <w:szCs w:val="24"/>
        </w:rPr>
        <w:t xml:space="preserve">The </w:t>
      </w:r>
      <w:r>
        <w:rPr>
          <w:rFonts w:eastAsiaTheme="majorEastAsia" w:cstheme="minorHAnsi"/>
          <w:bCs/>
          <w:iCs/>
          <w:sz w:val="24"/>
          <w:szCs w:val="24"/>
        </w:rPr>
        <w:t>Department</w:t>
      </w:r>
      <w:r w:rsidRPr="00F14869">
        <w:rPr>
          <w:rFonts w:eastAsiaTheme="majorEastAsia" w:cstheme="minorHAnsi"/>
          <w:bCs/>
          <w:iCs/>
          <w:color w:val="000000" w:themeColor="text1"/>
          <w:sz w:val="24"/>
          <w:szCs w:val="24"/>
        </w:rPr>
        <w:t xml:space="preserve"> </w:t>
      </w:r>
      <w:r>
        <w:rPr>
          <w:rFonts w:eastAsiaTheme="majorEastAsia" w:cstheme="minorHAnsi"/>
          <w:bCs/>
          <w:iCs/>
          <w:color w:val="000000" w:themeColor="text1"/>
          <w:sz w:val="24"/>
          <w:szCs w:val="24"/>
        </w:rPr>
        <w:t xml:space="preserve">provided no assessment of the possible costs and benefits of the overall proposal.  The IA received an IRN from the RPC.  On re-submission, the Department provided a detailed discussion of possible costs and benefits and explained fully why it could go no further at that stage. The revised IA was green-rated by the RPC. </w:t>
      </w:r>
      <w:r w:rsidRPr="0028304E">
        <w:rPr>
          <w:rFonts w:eastAsiaTheme="majorEastAsia" w:cstheme="minorHAnsi"/>
          <w:bCs/>
          <w:iCs/>
          <w:color w:val="000000" w:themeColor="text1"/>
          <w:sz w:val="24"/>
          <w:szCs w:val="24"/>
        </w:rPr>
        <w:t>The RPC classified the proposal as a qualifying regulatory provision but did not validate an EANDCB figure at that stage.</w:t>
      </w:r>
      <w:r>
        <w:rPr>
          <w:rFonts w:eastAsiaTheme="majorEastAsia" w:cstheme="minorHAnsi"/>
          <w:bCs/>
          <w:iCs/>
          <w:color w:val="000000" w:themeColor="text1"/>
          <w:sz w:val="24"/>
          <w:szCs w:val="24"/>
        </w:rPr>
        <w:t xml:space="preserve"> The Department will submit another IA at the secondary legislation stage, for RPC validation of an EANDCB for the whole policy.</w:t>
      </w:r>
    </w:p>
    <w:p w:rsidR="0097370E" w:rsidRDefault="0097370E" w:rsidP="0097370E">
      <w:pPr>
        <w:spacing w:after="60"/>
        <w:outlineLvl w:val="3"/>
        <w:rPr>
          <w:rFonts w:eastAsia="+mn-ea" w:cstheme="minorHAnsi"/>
          <w:color w:val="000000"/>
          <w:kern w:val="24"/>
          <w:sz w:val="24"/>
          <w:szCs w:val="24"/>
          <w:lang w:eastAsia="en-GB"/>
        </w:rPr>
      </w:pPr>
    </w:p>
    <w:p w:rsidR="0097370E" w:rsidRDefault="0097370E" w:rsidP="0097370E">
      <w:pPr>
        <w:spacing w:after="60"/>
        <w:outlineLvl w:val="3"/>
        <w:rPr>
          <w:rFonts w:eastAsia="+mn-ea" w:cstheme="minorHAnsi"/>
          <w:color w:val="000000"/>
          <w:kern w:val="24"/>
          <w:sz w:val="24"/>
          <w:szCs w:val="24"/>
          <w:lang w:eastAsia="en-GB"/>
        </w:rPr>
      </w:pPr>
    </w:p>
    <w:p w:rsidR="0097370E" w:rsidRPr="00AA2CB6" w:rsidRDefault="0097370E" w:rsidP="0097370E">
      <w:pPr>
        <w:spacing w:after="60"/>
        <w:outlineLvl w:val="3"/>
        <w:rPr>
          <w:rFonts w:eastAsia="+mn-ea" w:cstheme="minorHAnsi"/>
          <w:b/>
          <w:color w:val="000000"/>
          <w:kern w:val="24"/>
          <w:sz w:val="24"/>
          <w:szCs w:val="24"/>
          <w:u w:val="single"/>
          <w:lang w:eastAsia="en-GB"/>
        </w:rPr>
      </w:pPr>
      <w:r w:rsidRPr="00AA2CB6">
        <w:rPr>
          <w:rFonts w:eastAsia="+mn-ea" w:cstheme="minorHAnsi"/>
          <w:b/>
          <w:color w:val="000000"/>
          <w:kern w:val="24"/>
          <w:sz w:val="24"/>
          <w:szCs w:val="24"/>
          <w:u w:val="single"/>
          <w:lang w:eastAsia="en-GB"/>
        </w:rPr>
        <w:lastRenderedPageBreak/>
        <w:t xml:space="preserve">Specific points </w:t>
      </w:r>
      <w:r>
        <w:rPr>
          <w:rFonts w:eastAsia="+mn-ea" w:cstheme="minorHAnsi"/>
          <w:b/>
          <w:color w:val="000000"/>
          <w:kern w:val="24"/>
          <w:sz w:val="24"/>
          <w:szCs w:val="24"/>
          <w:u w:val="single"/>
          <w:lang w:eastAsia="en-GB"/>
        </w:rPr>
        <w:t xml:space="preserve">regarding assessment </w:t>
      </w:r>
      <w:proofErr w:type="gramStart"/>
      <w:r w:rsidRPr="00AA2CB6">
        <w:rPr>
          <w:rFonts w:eastAsia="+mn-ea" w:cstheme="minorHAnsi"/>
          <w:b/>
          <w:color w:val="000000"/>
          <w:kern w:val="24"/>
          <w:sz w:val="24"/>
          <w:szCs w:val="24"/>
          <w:u w:val="single"/>
          <w:lang w:eastAsia="en-GB"/>
        </w:rPr>
        <w:t>that departments</w:t>
      </w:r>
      <w:proofErr w:type="gramEnd"/>
      <w:r w:rsidRPr="00AA2CB6">
        <w:rPr>
          <w:rFonts w:eastAsia="+mn-ea" w:cstheme="minorHAnsi"/>
          <w:b/>
          <w:color w:val="000000"/>
          <w:kern w:val="24"/>
          <w:sz w:val="24"/>
          <w:szCs w:val="24"/>
          <w:u w:val="single"/>
          <w:lang w:eastAsia="en-GB"/>
        </w:rPr>
        <w:t xml:space="preserve"> may wish to note</w:t>
      </w:r>
    </w:p>
    <w:p w:rsidR="0097370E" w:rsidRDefault="0097370E" w:rsidP="0097370E">
      <w:pPr>
        <w:spacing w:after="60"/>
        <w:outlineLvl w:val="3"/>
        <w:rPr>
          <w:rFonts w:eastAsia="+mn-ea" w:cstheme="minorHAnsi"/>
          <w:color w:val="000000"/>
          <w:kern w:val="24"/>
          <w:sz w:val="24"/>
          <w:szCs w:val="24"/>
          <w:lang w:eastAsia="en-GB"/>
        </w:rPr>
      </w:pPr>
    </w:p>
    <w:p w:rsidR="0097370E" w:rsidRDefault="0097370E" w:rsidP="0097370E">
      <w:pPr>
        <w:spacing w:after="60"/>
        <w:outlineLvl w:val="3"/>
        <w:rPr>
          <w:rFonts w:eastAsia="+mn-ea" w:cstheme="minorHAnsi"/>
          <w:color w:val="000000"/>
          <w:kern w:val="24"/>
          <w:sz w:val="24"/>
          <w:szCs w:val="24"/>
          <w:lang w:eastAsia="en-GB"/>
        </w:rPr>
      </w:pPr>
      <w:r>
        <w:rPr>
          <w:rFonts w:eastAsia="+mn-ea" w:cstheme="minorHAnsi"/>
          <w:color w:val="000000"/>
          <w:kern w:val="24"/>
          <w:sz w:val="24"/>
          <w:szCs w:val="24"/>
          <w:lang w:eastAsia="en-GB"/>
        </w:rPr>
        <w:t>T</w:t>
      </w:r>
      <w:r w:rsidRPr="009B4BE0">
        <w:rPr>
          <w:rFonts w:eastAsia="+mn-ea" w:cstheme="minorHAnsi"/>
          <w:color w:val="000000"/>
          <w:kern w:val="24"/>
          <w:sz w:val="24"/>
          <w:szCs w:val="24"/>
          <w:lang w:eastAsia="en-GB"/>
        </w:rPr>
        <w:t>he RPC interpret</w:t>
      </w:r>
      <w:r>
        <w:rPr>
          <w:rFonts w:eastAsia="+mn-ea" w:cstheme="minorHAnsi"/>
          <w:color w:val="000000"/>
          <w:kern w:val="24"/>
          <w:sz w:val="24"/>
          <w:szCs w:val="24"/>
          <w:lang w:eastAsia="en-GB"/>
        </w:rPr>
        <w:t>s</w:t>
      </w:r>
      <w:r w:rsidRPr="009B4BE0">
        <w:rPr>
          <w:rFonts w:eastAsia="+mn-ea" w:cstheme="minorHAnsi"/>
          <w:color w:val="000000"/>
          <w:kern w:val="24"/>
          <w:sz w:val="24"/>
          <w:szCs w:val="24"/>
          <w:lang w:eastAsia="en-GB"/>
        </w:rPr>
        <w:t xml:space="preserve"> </w:t>
      </w:r>
      <w:r w:rsidRPr="009627DA">
        <w:rPr>
          <w:rFonts w:eastAsia="+mn-ea" w:cstheme="minorHAnsi"/>
          <w:color w:val="000000"/>
          <w:kern w:val="24"/>
          <w:sz w:val="24"/>
          <w:szCs w:val="24"/>
          <w:lang w:eastAsia="en-GB"/>
        </w:rPr>
        <w:t>“</w:t>
      </w:r>
      <w:r w:rsidRPr="00AA2CB6">
        <w:rPr>
          <w:rFonts w:eastAsia="+mn-ea" w:cstheme="minorHAnsi"/>
          <w:i/>
          <w:color w:val="000000"/>
          <w:kern w:val="24"/>
          <w:sz w:val="24"/>
          <w:szCs w:val="24"/>
          <w:u w:val="single"/>
          <w:lang w:eastAsia="en-GB"/>
        </w:rPr>
        <w:t>quantify</w:t>
      </w:r>
      <w:r w:rsidRPr="009627DA">
        <w:rPr>
          <w:rFonts w:eastAsia="+mn-ea" w:cstheme="minorHAnsi"/>
          <w:color w:val="000000"/>
          <w:kern w:val="24"/>
          <w:sz w:val="24"/>
          <w:szCs w:val="24"/>
          <w:lang w:eastAsia="en-GB"/>
        </w:rPr>
        <w:t xml:space="preserve">” in paragraph 2.3.45 </w:t>
      </w:r>
      <w:r w:rsidRPr="009B4BE0">
        <w:rPr>
          <w:rFonts w:eastAsia="+mn-ea" w:cstheme="minorHAnsi"/>
          <w:color w:val="000000"/>
          <w:kern w:val="24"/>
          <w:sz w:val="24"/>
          <w:szCs w:val="24"/>
          <w:lang w:eastAsia="en-GB"/>
        </w:rPr>
        <w:t>of the BRFM</w:t>
      </w:r>
      <w:r w:rsidRPr="009627DA">
        <w:rPr>
          <w:rFonts w:eastAsia="+mn-ea" w:cstheme="minorHAnsi"/>
          <w:color w:val="000000"/>
          <w:kern w:val="24"/>
          <w:sz w:val="24"/>
          <w:szCs w:val="24"/>
          <w:lang w:eastAsia="en-GB"/>
        </w:rPr>
        <w:t xml:space="preserve"> flexibly, with a</w:t>
      </w:r>
      <w:r w:rsidRPr="009B4BE0">
        <w:rPr>
          <w:rFonts w:eastAsia="+mn-ea" w:cstheme="minorHAnsi"/>
          <w:color w:val="000000"/>
          <w:kern w:val="24"/>
          <w:sz w:val="24"/>
          <w:szCs w:val="24"/>
          <w:lang w:eastAsia="en-GB"/>
        </w:rPr>
        <w:t>n acceptance that</w:t>
      </w:r>
      <w:r w:rsidRPr="009627DA">
        <w:rPr>
          <w:rFonts w:eastAsia="+mn-ea" w:cstheme="minorHAnsi"/>
          <w:color w:val="000000"/>
          <w:kern w:val="24"/>
          <w:sz w:val="24"/>
          <w:szCs w:val="24"/>
          <w:lang w:eastAsia="en-GB"/>
        </w:rPr>
        <w:t xml:space="preserve"> providing an appropriate range of scenarios for outcomes, and their associated costs and benefits, </w:t>
      </w:r>
      <w:r w:rsidRPr="009B4BE0">
        <w:rPr>
          <w:rFonts w:eastAsia="+mn-ea" w:cstheme="minorHAnsi"/>
          <w:color w:val="000000"/>
          <w:kern w:val="24"/>
          <w:sz w:val="24"/>
          <w:szCs w:val="24"/>
          <w:lang w:eastAsia="en-GB"/>
        </w:rPr>
        <w:t xml:space="preserve">may be preferable </w:t>
      </w:r>
      <w:r w:rsidRPr="009627DA">
        <w:rPr>
          <w:rFonts w:eastAsia="+mn-ea" w:cstheme="minorHAnsi"/>
          <w:color w:val="000000"/>
          <w:kern w:val="24"/>
          <w:sz w:val="24"/>
          <w:szCs w:val="24"/>
          <w:lang w:eastAsia="en-GB"/>
        </w:rPr>
        <w:t>t</w:t>
      </w:r>
      <w:r>
        <w:rPr>
          <w:rFonts w:eastAsia="+mn-ea" w:cstheme="minorHAnsi"/>
          <w:color w:val="000000"/>
          <w:kern w:val="24"/>
          <w:sz w:val="24"/>
          <w:szCs w:val="24"/>
          <w:lang w:eastAsia="en-GB"/>
        </w:rPr>
        <w:t xml:space="preserve">o a </w:t>
      </w:r>
      <w:r w:rsidRPr="009627DA">
        <w:rPr>
          <w:rFonts w:eastAsia="+mn-ea" w:cstheme="minorHAnsi"/>
          <w:color w:val="000000"/>
          <w:kern w:val="24"/>
          <w:sz w:val="24"/>
          <w:szCs w:val="24"/>
          <w:lang w:eastAsia="en-GB"/>
        </w:rPr>
        <w:t>point estimate EAN</w:t>
      </w:r>
      <w:r w:rsidRPr="009B4BE0">
        <w:rPr>
          <w:rFonts w:eastAsia="+mn-ea" w:cstheme="minorHAnsi"/>
          <w:color w:val="000000"/>
          <w:kern w:val="24"/>
          <w:sz w:val="24"/>
          <w:szCs w:val="24"/>
          <w:lang w:eastAsia="en-GB"/>
        </w:rPr>
        <w:t>D</w:t>
      </w:r>
      <w:r w:rsidRPr="009627DA">
        <w:rPr>
          <w:rFonts w:eastAsia="+mn-ea" w:cstheme="minorHAnsi"/>
          <w:color w:val="000000"/>
          <w:kern w:val="24"/>
          <w:sz w:val="24"/>
          <w:szCs w:val="24"/>
          <w:lang w:eastAsia="en-GB"/>
        </w:rPr>
        <w:t>CB</w:t>
      </w:r>
      <w:r w:rsidRPr="009B4BE0">
        <w:rPr>
          <w:rFonts w:eastAsia="+mn-ea" w:cstheme="minorHAnsi"/>
          <w:color w:val="000000"/>
          <w:kern w:val="24"/>
          <w:sz w:val="24"/>
          <w:szCs w:val="24"/>
          <w:lang w:eastAsia="en-GB"/>
        </w:rPr>
        <w:t>s</w:t>
      </w:r>
      <w:r>
        <w:rPr>
          <w:rFonts w:eastAsia="+mn-ea" w:cstheme="minorHAnsi"/>
          <w:color w:val="000000"/>
          <w:kern w:val="24"/>
          <w:sz w:val="24"/>
          <w:szCs w:val="24"/>
          <w:lang w:eastAsia="en-GB"/>
        </w:rPr>
        <w:t xml:space="preserve"> at the primary legislation stage</w:t>
      </w:r>
      <w:r w:rsidRPr="009B4BE0">
        <w:rPr>
          <w:rFonts w:eastAsia="+mn-ea" w:cstheme="minorHAnsi"/>
          <w:color w:val="000000"/>
          <w:kern w:val="24"/>
          <w:sz w:val="24"/>
          <w:szCs w:val="24"/>
          <w:lang w:eastAsia="en-GB"/>
        </w:rPr>
        <w:t>, particularly</w:t>
      </w:r>
      <w:r>
        <w:rPr>
          <w:rFonts w:eastAsia="+mn-ea" w:cstheme="minorHAnsi"/>
          <w:color w:val="000000"/>
          <w:kern w:val="24"/>
          <w:sz w:val="24"/>
          <w:szCs w:val="24"/>
          <w:lang w:eastAsia="en-GB"/>
        </w:rPr>
        <w:t xml:space="preserve"> </w:t>
      </w:r>
      <w:r w:rsidRPr="009B4BE0">
        <w:rPr>
          <w:rFonts w:eastAsia="+mn-ea" w:cstheme="minorHAnsi"/>
          <w:color w:val="000000"/>
          <w:kern w:val="24"/>
          <w:sz w:val="24"/>
          <w:szCs w:val="24"/>
          <w:lang w:eastAsia="en-GB"/>
        </w:rPr>
        <w:t>if there is a significant risk</w:t>
      </w:r>
      <w:r>
        <w:rPr>
          <w:rFonts w:eastAsia="+mn-ea" w:cstheme="minorHAnsi"/>
          <w:color w:val="000000"/>
          <w:kern w:val="24"/>
          <w:sz w:val="24"/>
          <w:szCs w:val="24"/>
          <w:lang w:eastAsia="en-GB"/>
        </w:rPr>
        <w:t xml:space="preserve"> of</w:t>
      </w:r>
      <w:r w:rsidRPr="009B4BE0">
        <w:rPr>
          <w:rFonts w:eastAsia="+mn-ea" w:cstheme="minorHAnsi"/>
          <w:color w:val="000000"/>
          <w:kern w:val="24"/>
          <w:sz w:val="24"/>
          <w:szCs w:val="24"/>
          <w:lang w:eastAsia="en-GB"/>
        </w:rPr>
        <w:t xml:space="preserve"> </w:t>
      </w:r>
      <w:r w:rsidRPr="009627DA">
        <w:rPr>
          <w:rFonts w:eastAsia="+mn-ea" w:cstheme="minorHAnsi"/>
          <w:color w:val="000000"/>
          <w:kern w:val="24"/>
          <w:sz w:val="24"/>
          <w:szCs w:val="24"/>
          <w:lang w:eastAsia="en-GB"/>
        </w:rPr>
        <w:t>spurious accuracy</w:t>
      </w:r>
      <w:r w:rsidRPr="009B4BE0">
        <w:rPr>
          <w:rFonts w:eastAsia="+mn-ea" w:cstheme="minorHAnsi"/>
          <w:color w:val="000000"/>
          <w:kern w:val="24"/>
          <w:sz w:val="24"/>
          <w:szCs w:val="24"/>
          <w:lang w:eastAsia="en-GB"/>
        </w:rPr>
        <w:t xml:space="preserve"> </w:t>
      </w:r>
      <w:r>
        <w:rPr>
          <w:rFonts w:eastAsia="+mn-ea" w:cstheme="minorHAnsi"/>
          <w:color w:val="000000"/>
          <w:kern w:val="24"/>
          <w:sz w:val="24"/>
          <w:szCs w:val="24"/>
          <w:lang w:eastAsia="en-GB"/>
        </w:rPr>
        <w:t>with the latter</w:t>
      </w:r>
      <w:r w:rsidRPr="009627DA">
        <w:rPr>
          <w:rFonts w:eastAsia="+mn-ea" w:cstheme="minorHAnsi"/>
          <w:color w:val="000000"/>
          <w:kern w:val="24"/>
          <w:sz w:val="24"/>
          <w:szCs w:val="24"/>
          <w:lang w:eastAsia="en-GB"/>
        </w:rPr>
        <w:t xml:space="preserve">. The level of analysis that is proportionate will be judged </w:t>
      </w:r>
      <w:r w:rsidRPr="009B4BE0">
        <w:rPr>
          <w:rFonts w:eastAsia="+mn-ea" w:cstheme="minorHAnsi"/>
          <w:color w:val="000000"/>
          <w:kern w:val="24"/>
          <w:sz w:val="24"/>
          <w:szCs w:val="24"/>
          <w:lang w:eastAsia="en-GB"/>
        </w:rPr>
        <w:t xml:space="preserve">by the RPC </w:t>
      </w:r>
      <w:r w:rsidRPr="009627DA">
        <w:rPr>
          <w:rFonts w:eastAsia="+mn-ea" w:cstheme="minorHAnsi"/>
          <w:color w:val="000000"/>
          <w:kern w:val="24"/>
          <w:sz w:val="24"/>
          <w:szCs w:val="24"/>
          <w:lang w:eastAsia="en-GB"/>
        </w:rPr>
        <w:t>on a case by case basis because it will depend upon how much is known about the context of the secondary legislation. Nevertheless, an assessment, normally involving quantification, of the overall policy will be required in all cases.</w:t>
      </w:r>
    </w:p>
    <w:p w:rsidR="0097370E" w:rsidRDefault="0097370E" w:rsidP="0097370E">
      <w:pPr>
        <w:spacing w:after="60"/>
        <w:outlineLvl w:val="3"/>
        <w:rPr>
          <w:rFonts w:eastAsia="+mn-ea" w:cstheme="minorHAnsi"/>
          <w:color w:val="000000"/>
          <w:kern w:val="24"/>
          <w:sz w:val="24"/>
          <w:szCs w:val="24"/>
          <w:lang w:eastAsia="en-GB"/>
        </w:rPr>
      </w:pPr>
    </w:p>
    <w:p w:rsidR="0097370E" w:rsidRDefault="0097370E" w:rsidP="0097370E">
      <w:pPr>
        <w:spacing w:after="60"/>
        <w:outlineLvl w:val="3"/>
        <w:rPr>
          <w:rFonts w:eastAsia="Times New Roman" w:cstheme="minorHAnsi"/>
          <w:color w:val="000000"/>
          <w:sz w:val="24"/>
          <w:szCs w:val="24"/>
          <w:lang w:eastAsia="en-GB"/>
        </w:rPr>
      </w:pPr>
      <w:r>
        <w:rPr>
          <w:rFonts w:eastAsia="Times New Roman" w:cstheme="minorHAnsi"/>
          <w:color w:val="000000"/>
          <w:sz w:val="24"/>
          <w:szCs w:val="24"/>
          <w:lang w:eastAsia="en-GB"/>
        </w:rPr>
        <w:t>To avoid confusion, t</w:t>
      </w:r>
      <w:r w:rsidRPr="009B4BE0">
        <w:rPr>
          <w:rFonts w:eastAsia="Times New Roman" w:cstheme="minorHAnsi"/>
          <w:color w:val="000000"/>
          <w:sz w:val="24"/>
          <w:szCs w:val="24"/>
          <w:lang w:eastAsia="en-GB"/>
        </w:rPr>
        <w:t>he terms “</w:t>
      </w:r>
      <w:r w:rsidRPr="00AA2CB6">
        <w:rPr>
          <w:rFonts w:eastAsia="Times New Roman" w:cstheme="minorHAnsi"/>
          <w:color w:val="000000"/>
          <w:sz w:val="24"/>
          <w:szCs w:val="24"/>
          <w:u w:val="single"/>
          <w:lang w:eastAsia="en-GB"/>
        </w:rPr>
        <w:t>direct” and “indirect</w:t>
      </w:r>
      <w:r w:rsidRPr="009B4BE0">
        <w:rPr>
          <w:rFonts w:eastAsia="Times New Roman" w:cstheme="minorHAnsi"/>
          <w:color w:val="000000"/>
          <w:sz w:val="24"/>
          <w:szCs w:val="24"/>
          <w:lang w:eastAsia="en-GB"/>
        </w:rPr>
        <w:t xml:space="preserve">” should not be used </w:t>
      </w:r>
      <w:r>
        <w:rPr>
          <w:rFonts w:eastAsia="Times New Roman" w:cstheme="minorHAnsi"/>
          <w:color w:val="000000"/>
          <w:sz w:val="24"/>
          <w:szCs w:val="24"/>
          <w:lang w:eastAsia="en-GB"/>
        </w:rPr>
        <w:t>to</w:t>
      </w:r>
      <w:r w:rsidRPr="009B4BE0">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differentiate</w:t>
      </w:r>
      <w:r w:rsidRPr="009B4BE0">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 xml:space="preserve">between </w:t>
      </w:r>
      <w:r w:rsidRPr="009B4BE0">
        <w:rPr>
          <w:rFonts w:eastAsia="Times New Roman" w:cstheme="minorHAnsi"/>
          <w:color w:val="000000"/>
          <w:sz w:val="24"/>
          <w:szCs w:val="24"/>
          <w:lang w:eastAsia="en-GB"/>
        </w:rPr>
        <w:t xml:space="preserve">the impacts </w:t>
      </w:r>
      <w:r>
        <w:rPr>
          <w:rFonts w:eastAsia="Times New Roman" w:cstheme="minorHAnsi"/>
          <w:color w:val="000000"/>
          <w:sz w:val="24"/>
          <w:szCs w:val="24"/>
          <w:lang w:eastAsia="en-GB"/>
        </w:rPr>
        <w:t>of</w:t>
      </w:r>
      <w:r w:rsidRPr="009B4BE0">
        <w:rPr>
          <w:rFonts w:eastAsia="Times New Roman" w:cstheme="minorHAnsi"/>
          <w:color w:val="000000"/>
          <w:sz w:val="24"/>
          <w:szCs w:val="24"/>
          <w:lang w:eastAsia="en-GB"/>
        </w:rPr>
        <w:t xml:space="preserve"> primary and secondary legislation</w:t>
      </w:r>
      <w:r>
        <w:rPr>
          <w:rFonts w:eastAsia="Times New Roman" w:cstheme="minorHAnsi"/>
          <w:color w:val="000000"/>
          <w:sz w:val="24"/>
          <w:szCs w:val="24"/>
          <w:lang w:eastAsia="en-GB"/>
        </w:rPr>
        <w:t>.  In particular, the impacts of secondary legislation should not be considered to be “indirect” purely because a proposal is only at the primary legislation stage. The impacts should be considered to be direct (unless they are indirect for another reason*) but will not be accounted for BIT purposes until the date of implementation.</w:t>
      </w:r>
    </w:p>
    <w:p w:rsidR="0097370E" w:rsidRDefault="0097370E" w:rsidP="0097370E">
      <w:pPr>
        <w:spacing w:after="60"/>
        <w:outlineLvl w:val="3"/>
        <w:rPr>
          <w:rFonts w:eastAsia="Times New Roman" w:cstheme="minorHAnsi"/>
          <w:color w:val="000000"/>
          <w:sz w:val="24"/>
          <w:szCs w:val="24"/>
          <w:lang w:eastAsia="en-GB"/>
        </w:rPr>
      </w:pPr>
    </w:p>
    <w:p w:rsidR="0097370E" w:rsidRPr="00A2099F" w:rsidRDefault="0097370E" w:rsidP="0097370E">
      <w:pPr>
        <w:spacing w:after="60"/>
        <w:outlineLvl w:val="3"/>
        <w:rPr>
          <w:rFonts w:eastAsia="Times New Roman" w:cstheme="minorHAnsi"/>
          <w:b/>
          <w:lang w:eastAsia="en-GB"/>
        </w:rPr>
      </w:pPr>
      <w:r w:rsidRPr="00A2099F">
        <w:rPr>
          <w:rFonts w:eastAsia="Times New Roman" w:cstheme="minorHAnsi"/>
          <w:color w:val="000000"/>
          <w:lang w:eastAsia="en-GB"/>
        </w:rPr>
        <w:t>(*For information more generally on how to classify impacts as direct or indirect please see RPC case histories section ‘direct and indirect impacts’.)</w:t>
      </w:r>
    </w:p>
    <w:p w:rsidR="0097370E" w:rsidRPr="00045233" w:rsidRDefault="0097370E" w:rsidP="0097370E">
      <w:pPr>
        <w:spacing w:after="60"/>
        <w:outlineLvl w:val="3"/>
        <w:rPr>
          <w:rFonts w:eastAsia="+mn-ea" w:cstheme="minorHAnsi"/>
          <w:color w:val="000000"/>
          <w:kern w:val="24"/>
          <w:sz w:val="24"/>
          <w:szCs w:val="24"/>
          <w:lang w:eastAsia="en-GB"/>
        </w:rPr>
      </w:pPr>
    </w:p>
    <w:p w:rsidR="0097370E" w:rsidRDefault="0097370E" w:rsidP="0097370E">
      <w:pPr>
        <w:rPr>
          <w:rFonts w:eastAsia="+mn-ea" w:cstheme="minorHAnsi"/>
          <w:color w:val="000000"/>
          <w:kern w:val="24"/>
          <w:sz w:val="24"/>
          <w:szCs w:val="24"/>
          <w:lang w:eastAsia="en-GB"/>
        </w:rPr>
      </w:pPr>
      <w:r>
        <w:rPr>
          <w:rFonts w:eastAsia="+mn-ea" w:cstheme="minorHAnsi"/>
          <w:color w:val="000000"/>
          <w:kern w:val="24"/>
          <w:sz w:val="24"/>
          <w:szCs w:val="24"/>
          <w:lang w:eastAsia="en-GB"/>
        </w:rPr>
        <w:br w:type="page"/>
      </w:r>
    </w:p>
    <w:p w:rsidR="0097370E" w:rsidRDefault="0097370E" w:rsidP="0097370E">
      <w:pPr>
        <w:spacing w:after="0" w:line="240" w:lineRule="auto"/>
        <w:rPr>
          <w:rFonts w:ascii="Calibri" w:eastAsia="Times New Roman" w:hAnsi="Calibri" w:cs="Calibri"/>
          <w:b/>
          <w:bCs/>
          <w:color w:val="FFFFFF"/>
          <w:kern w:val="24"/>
          <w:sz w:val="24"/>
          <w:szCs w:val="24"/>
          <w:lang w:eastAsia="en-GB"/>
        </w:rPr>
        <w:sectPr w:rsidR="0097370E">
          <w:pgSz w:w="11906" w:h="16838"/>
          <w:pgMar w:top="1440" w:right="1440" w:bottom="1440" w:left="1440" w:header="708" w:footer="708" w:gutter="0"/>
          <w:cols w:space="708"/>
          <w:docGrid w:linePitch="360"/>
        </w:sectPr>
      </w:pPr>
    </w:p>
    <w:tbl>
      <w:tblPr>
        <w:tblW w:w="13880" w:type="dxa"/>
        <w:tblCellMar>
          <w:left w:w="0" w:type="dxa"/>
          <w:right w:w="0" w:type="dxa"/>
        </w:tblCellMar>
        <w:tblLook w:val="0420" w:firstRow="1" w:lastRow="0" w:firstColumn="0" w:lastColumn="0" w:noHBand="0" w:noVBand="1"/>
      </w:tblPr>
      <w:tblGrid>
        <w:gridCol w:w="4760"/>
        <w:gridCol w:w="4560"/>
        <w:gridCol w:w="4560"/>
      </w:tblGrid>
      <w:tr w:rsidR="0097370E" w:rsidRPr="00542C51" w:rsidTr="009C0B79">
        <w:trPr>
          <w:trHeight w:val="1261"/>
        </w:trPr>
        <w:tc>
          <w:tcPr>
            <w:tcW w:w="47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7370E" w:rsidRPr="00542C51" w:rsidRDefault="0097370E" w:rsidP="009C0B79">
            <w:pPr>
              <w:spacing w:after="0" w:line="240" w:lineRule="auto"/>
              <w:rPr>
                <w:rFonts w:ascii="Arial" w:eastAsia="Times New Roman" w:hAnsi="Arial" w:cs="Arial"/>
                <w:sz w:val="36"/>
                <w:szCs w:val="36"/>
                <w:lang w:eastAsia="en-GB"/>
              </w:rPr>
            </w:pPr>
            <w:r w:rsidRPr="00542C51">
              <w:rPr>
                <w:rFonts w:ascii="Calibri" w:eastAsia="Times New Roman" w:hAnsi="Calibri" w:cs="Calibri"/>
                <w:b/>
                <w:bCs/>
                <w:color w:val="FFFFFF"/>
                <w:kern w:val="24"/>
                <w:sz w:val="24"/>
                <w:szCs w:val="24"/>
                <w:lang w:eastAsia="en-GB"/>
              </w:rPr>
              <w:lastRenderedPageBreak/>
              <w:t>Level of detail of the impact of the whole proposal (including delegated/secondary legislation) provided at primary legislation stage</w:t>
            </w:r>
          </w:p>
        </w:tc>
        <w:tc>
          <w:tcPr>
            <w:tcW w:w="45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7370E" w:rsidRPr="00542C51" w:rsidRDefault="0097370E" w:rsidP="009C0B79">
            <w:pPr>
              <w:spacing w:after="0" w:line="240" w:lineRule="auto"/>
              <w:rPr>
                <w:rFonts w:ascii="Arial" w:eastAsia="Times New Roman" w:hAnsi="Arial" w:cs="Arial"/>
                <w:sz w:val="36"/>
                <w:szCs w:val="36"/>
                <w:lang w:eastAsia="en-GB"/>
              </w:rPr>
            </w:pPr>
            <w:r>
              <w:rPr>
                <w:rFonts w:ascii="Calibri" w:eastAsia="Times New Roman" w:hAnsi="Calibri" w:cs="Calibri"/>
                <w:b/>
                <w:bCs/>
                <w:color w:val="FFFFFF"/>
                <w:kern w:val="24"/>
                <w:sz w:val="24"/>
                <w:szCs w:val="24"/>
                <w:lang w:eastAsia="en-GB"/>
              </w:rPr>
              <w:t xml:space="preserve">Likely </w:t>
            </w:r>
            <w:r w:rsidRPr="00542C51">
              <w:rPr>
                <w:rFonts w:ascii="Calibri" w:eastAsia="Times New Roman" w:hAnsi="Calibri" w:cs="Calibri"/>
                <w:b/>
                <w:bCs/>
                <w:color w:val="FFFFFF"/>
                <w:kern w:val="24"/>
                <w:sz w:val="24"/>
                <w:szCs w:val="24"/>
                <w:lang w:eastAsia="en-GB"/>
              </w:rPr>
              <w:t>RPC rating/action</w:t>
            </w:r>
          </w:p>
        </w:tc>
        <w:tc>
          <w:tcPr>
            <w:tcW w:w="45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7370E" w:rsidRPr="00542C51" w:rsidRDefault="0097370E" w:rsidP="009C0B79">
            <w:pPr>
              <w:spacing w:after="0" w:line="240" w:lineRule="auto"/>
              <w:rPr>
                <w:rFonts w:ascii="Arial" w:eastAsia="Times New Roman" w:hAnsi="Arial" w:cs="Arial"/>
                <w:sz w:val="36"/>
                <w:szCs w:val="36"/>
                <w:lang w:eastAsia="en-GB"/>
              </w:rPr>
            </w:pPr>
            <w:r>
              <w:rPr>
                <w:rFonts w:ascii="Calibri" w:eastAsia="Times New Roman" w:hAnsi="Calibri" w:cs="Calibri"/>
                <w:b/>
                <w:bCs/>
                <w:color w:val="FFFFFF"/>
                <w:kern w:val="24"/>
                <w:sz w:val="24"/>
                <w:szCs w:val="24"/>
                <w:lang w:eastAsia="en-GB"/>
              </w:rPr>
              <w:t xml:space="preserve">Likely RPC </w:t>
            </w:r>
            <w:r w:rsidRPr="00542C51">
              <w:rPr>
                <w:rFonts w:ascii="Calibri" w:eastAsia="Times New Roman" w:hAnsi="Calibri" w:cs="Calibri"/>
                <w:b/>
                <w:bCs/>
                <w:color w:val="FFFFFF"/>
                <w:kern w:val="24"/>
                <w:sz w:val="24"/>
                <w:szCs w:val="24"/>
                <w:lang w:eastAsia="en-GB"/>
              </w:rPr>
              <w:t>opinion</w:t>
            </w:r>
            <w:r>
              <w:rPr>
                <w:rFonts w:ascii="Calibri" w:eastAsia="Times New Roman" w:hAnsi="Calibri" w:cs="Calibri"/>
                <w:b/>
                <w:bCs/>
                <w:color w:val="FFFFFF"/>
                <w:kern w:val="24"/>
                <w:sz w:val="24"/>
                <w:szCs w:val="24"/>
                <w:lang w:eastAsia="en-GB"/>
              </w:rPr>
              <w:t xml:space="preserve"> text</w:t>
            </w:r>
          </w:p>
        </w:tc>
      </w:tr>
      <w:tr w:rsidR="0097370E" w:rsidRPr="00542C51" w:rsidTr="009C0B79">
        <w:trPr>
          <w:trHeight w:val="1261"/>
        </w:trPr>
        <w:tc>
          <w:tcPr>
            <w:tcW w:w="47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97370E" w:rsidRPr="00542C51" w:rsidRDefault="0097370E" w:rsidP="009C0B79">
            <w:pPr>
              <w:spacing w:after="0" w:line="240" w:lineRule="auto"/>
              <w:rPr>
                <w:rFonts w:ascii="Arial" w:eastAsia="Times New Roman" w:hAnsi="Arial" w:cs="Arial"/>
                <w:sz w:val="36"/>
                <w:szCs w:val="36"/>
                <w:lang w:eastAsia="en-GB"/>
              </w:rPr>
            </w:pPr>
            <w:r w:rsidRPr="00C54845">
              <w:rPr>
                <w:rFonts w:ascii="Calibri" w:eastAsia="Times New Roman" w:hAnsi="Calibri" w:cs="Calibri"/>
                <w:color w:val="000000"/>
                <w:kern w:val="24"/>
                <w:sz w:val="24"/>
                <w:szCs w:val="24"/>
                <w:lang w:eastAsia="en-GB"/>
              </w:rPr>
              <w:t>1</w:t>
            </w:r>
            <w:r>
              <w:rPr>
                <w:rFonts w:ascii="Calibri" w:eastAsia="Times New Roman" w:hAnsi="Calibri" w:cs="Calibri"/>
                <w:color w:val="000000"/>
                <w:kern w:val="24"/>
                <w:sz w:val="24"/>
                <w:szCs w:val="24"/>
                <w:lang w:eastAsia="en-GB"/>
              </w:rPr>
              <w:t>a</w:t>
            </w:r>
            <w:r w:rsidRPr="00C54845">
              <w:rPr>
                <w:rFonts w:ascii="Calibri" w:eastAsia="Times New Roman" w:hAnsi="Calibri" w:cs="Calibri"/>
                <w:color w:val="000000"/>
                <w:kern w:val="24"/>
                <w:sz w:val="24"/>
                <w:szCs w:val="24"/>
                <w:lang w:eastAsia="en-GB"/>
              </w:rPr>
              <w:t xml:space="preserve">. </w:t>
            </w:r>
            <w:r w:rsidRPr="00542C51">
              <w:rPr>
                <w:rFonts w:ascii="Calibri" w:eastAsia="Times New Roman" w:hAnsi="Calibri" w:cs="Calibri"/>
                <w:b/>
                <w:color w:val="000000"/>
                <w:kern w:val="24"/>
                <w:sz w:val="24"/>
                <w:szCs w:val="24"/>
                <w:lang w:eastAsia="en-GB"/>
              </w:rPr>
              <w:t>Full details and robust assessment of the whole proposal</w:t>
            </w:r>
            <w:r w:rsidRPr="00542C51">
              <w:rPr>
                <w:rFonts w:ascii="Calibri" w:eastAsia="Times New Roman" w:hAnsi="Calibri" w:cs="Calibri"/>
                <w:color w:val="000000"/>
                <w:kern w:val="24"/>
                <w:sz w:val="24"/>
                <w:szCs w:val="24"/>
                <w:lang w:eastAsia="en-GB"/>
              </w:rPr>
              <w:t xml:space="preserve"> (i.e. the primary legislation, and where the content of the related secondary legislation is known).</w:t>
            </w:r>
          </w:p>
        </w:tc>
        <w:tc>
          <w:tcPr>
            <w:tcW w:w="45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97370E" w:rsidRPr="00542C51" w:rsidRDefault="0097370E" w:rsidP="009C0B79">
            <w:pPr>
              <w:spacing w:after="0" w:line="240" w:lineRule="auto"/>
              <w:rPr>
                <w:rFonts w:ascii="Arial" w:eastAsia="Times New Roman" w:hAnsi="Arial" w:cs="Arial"/>
                <w:sz w:val="36"/>
                <w:szCs w:val="36"/>
                <w:lang w:eastAsia="en-GB"/>
              </w:rPr>
            </w:pPr>
            <w:r w:rsidRPr="00542C51">
              <w:rPr>
                <w:rFonts w:ascii="Calibri" w:eastAsia="Times New Roman" w:hAnsi="Calibri" w:cs="Calibri"/>
                <w:color w:val="000000"/>
                <w:kern w:val="24"/>
                <w:sz w:val="24"/>
                <w:szCs w:val="24"/>
                <w:lang w:eastAsia="en-GB"/>
              </w:rPr>
              <w:t>Validate costs of the whole proposal – no further submissions required for the related secondary legislation unless the policy changes.</w:t>
            </w:r>
          </w:p>
        </w:tc>
        <w:tc>
          <w:tcPr>
            <w:tcW w:w="45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97370E" w:rsidRPr="00542C51" w:rsidRDefault="0097370E" w:rsidP="009C0B79">
            <w:pPr>
              <w:spacing w:after="0" w:line="240" w:lineRule="auto"/>
              <w:rPr>
                <w:rFonts w:ascii="Arial" w:eastAsia="Times New Roman" w:hAnsi="Arial" w:cs="Arial"/>
                <w:sz w:val="36"/>
                <w:szCs w:val="36"/>
                <w:lang w:eastAsia="en-GB"/>
              </w:rPr>
            </w:pPr>
            <w:r w:rsidRPr="00542C51">
              <w:rPr>
                <w:rFonts w:ascii="Calibri" w:eastAsia="Times New Roman" w:hAnsi="Calibri" w:cs="Calibri"/>
                <w:color w:val="000000"/>
                <w:kern w:val="24"/>
                <w:sz w:val="24"/>
                <w:szCs w:val="24"/>
                <w:lang w:eastAsia="en-GB"/>
              </w:rPr>
              <w:t>The RPC is able to validate the EAN</w:t>
            </w:r>
            <w:r>
              <w:rPr>
                <w:rFonts w:ascii="Calibri" w:eastAsia="Times New Roman" w:hAnsi="Calibri" w:cs="Calibri"/>
                <w:color w:val="000000"/>
                <w:kern w:val="24"/>
                <w:sz w:val="24"/>
                <w:szCs w:val="24"/>
                <w:lang w:eastAsia="en-GB"/>
              </w:rPr>
              <w:t>D</w:t>
            </w:r>
            <w:r w:rsidRPr="00542C51">
              <w:rPr>
                <w:rFonts w:ascii="Calibri" w:eastAsia="Times New Roman" w:hAnsi="Calibri" w:cs="Calibri"/>
                <w:color w:val="000000"/>
                <w:kern w:val="24"/>
                <w:sz w:val="24"/>
                <w:szCs w:val="24"/>
                <w:lang w:eastAsia="en-GB"/>
              </w:rPr>
              <w:t>CB [of the whole of the proposal] as £</w:t>
            </w:r>
            <w:proofErr w:type="spellStart"/>
            <w:r w:rsidRPr="00542C51">
              <w:rPr>
                <w:rFonts w:ascii="Calibri" w:eastAsia="Times New Roman" w:hAnsi="Calibri" w:cs="Calibri"/>
                <w:color w:val="000000"/>
                <w:kern w:val="24"/>
                <w:sz w:val="24"/>
                <w:szCs w:val="24"/>
                <w:lang w:eastAsia="en-GB"/>
              </w:rPr>
              <w:t>x</w:t>
            </w:r>
            <w:r>
              <w:rPr>
                <w:rFonts w:ascii="Calibri" w:eastAsia="Times New Roman" w:hAnsi="Calibri" w:cs="Calibri"/>
                <w:color w:val="000000"/>
                <w:kern w:val="24"/>
                <w:sz w:val="24"/>
                <w:szCs w:val="24"/>
                <w:lang w:eastAsia="en-GB"/>
              </w:rPr>
              <w:t>.</w:t>
            </w:r>
            <w:r w:rsidRPr="00542C51">
              <w:rPr>
                <w:rFonts w:ascii="Calibri" w:eastAsia="Times New Roman" w:hAnsi="Calibri" w:cs="Calibri"/>
                <w:color w:val="000000"/>
                <w:kern w:val="24"/>
                <w:sz w:val="24"/>
                <w:szCs w:val="24"/>
                <w:lang w:eastAsia="en-GB"/>
              </w:rPr>
              <w:t>x</w:t>
            </w:r>
            <w:proofErr w:type="spellEnd"/>
            <w:r w:rsidRPr="00542C51">
              <w:rPr>
                <w:rFonts w:ascii="Calibri" w:eastAsia="Times New Roman" w:hAnsi="Calibri" w:cs="Calibri"/>
                <w:color w:val="000000"/>
                <w:kern w:val="24"/>
                <w:sz w:val="24"/>
                <w:szCs w:val="24"/>
                <w:lang w:eastAsia="en-GB"/>
              </w:rPr>
              <w:t xml:space="preserve"> million.  The RPC will need to see further IAs for related secondary legislation only if there is a change in policy that affects the EAN</w:t>
            </w:r>
            <w:r>
              <w:rPr>
                <w:rFonts w:ascii="Calibri" w:eastAsia="Times New Roman" w:hAnsi="Calibri" w:cs="Calibri"/>
                <w:color w:val="000000"/>
                <w:kern w:val="24"/>
                <w:sz w:val="24"/>
                <w:szCs w:val="24"/>
                <w:lang w:eastAsia="en-GB"/>
              </w:rPr>
              <w:t>D</w:t>
            </w:r>
            <w:r w:rsidRPr="00542C51">
              <w:rPr>
                <w:rFonts w:ascii="Calibri" w:eastAsia="Times New Roman" w:hAnsi="Calibri" w:cs="Calibri"/>
                <w:color w:val="000000"/>
                <w:kern w:val="24"/>
                <w:sz w:val="24"/>
                <w:szCs w:val="24"/>
                <w:lang w:eastAsia="en-GB"/>
              </w:rPr>
              <w:t>CB figure.</w:t>
            </w:r>
          </w:p>
        </w:tc>
      </w:tr>
      <w:tr w:rsidR="0097370E" w:rsidRPr="00542C51" w:rsidTr="009C0B79">
        <w:trPr>
          <w:trHeight w:val="1261"/>
        </w:trPr>
        <w:tc>
          <w:tcPr>
            <w:tcW w:w="47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97370E" w:rsidRPr="00542C51" w:rsidRDefault="0097370E" w:rsidP="009C0B79">
            <w:pPr>
              <w:spacing w:after="0" w:line="240" w:lineRule="auto"/>
              <w:rPr>
                <w:rFonts w:ascii="Arial" w:eastAsia="Times New Roman" w:hAnsi="Arial" w:cs="Arial"/>
                <w:sz w:val="36"/>
                <w:szCs w:val="36"/>
                <w:lang w:eastAsia="en-GB"/>
              </w:rPr>
            </w:pPr>
            <w:r>
              <w:rPr>
                <w:rFonts w:ascii="Calibri" w:eastAsia="Times New Roman" w:hAnsi="Calibri" w:cs="Calibri"/>
                <w:color w:val="000000"/>
                <w:kern w:val="24"/>
                <w:sz w:val="24"/>
                <w:szCs w:val="24"/>
                <w:lang w:eastAsia="en-GB"/>
              </w:rPr>
              <w:t xml:space="preserve">1b. </w:t>
            </w:r>
            <w:r w:rsidRPr="00542C51">
              <w:rPr>
                <w:rFonts w:ascii="Calibri" w:eastAsia="Times New Roman" w:hAnsi="Calibri" w:cs="Calibri"/>
                <w:b/>
                <w:color w:val="000000"/>
                <w:kern w:val="24"/>
                <w:sz w:val="24"/>
                <w:szCs w:val="24"/>
                <w:lang w:eastAsia="en-GB"/>
              </w:rPr>
              <w:t>Details and robust assessment of some of the impacts on business</w:t>
            </w:r>
            <w:r w:rsidRPr="00542C51">
              <w:rPr>
                <w:rFonts w:ascii="Calibri" w:eastAsia="Times New Roman" w:hAnsi="Calibri" w:cs="Calibri"/>
                <w:color w:val="000000"/>
                <w:kern w:val="24"/>
                <w:sz w:val="24"/>
                <w:szCs w:val="24"/>
                <w:lang w:eastAsia="en-GB"/>
              </w:rPr>
              <w:t xml:space="preserve"> (e.g. where primary legislation </w:t>
            </w:r>
            <w:r>
              <w:rPr>
                <w:rFonts w:ascii="Calibri" w:eastAsia="Times New Roman" w:hAnsi="Calibri" w:cs="Calibri"/>
                <w:color w:val="000000"/>
                <w:kern w:val="24"/>
                <w:sz w:val="24"/>
                <w:szCs w:val="24"/>
                <w:lang w:eastAsia="en-GB"/>
              </w:rPr>
              <w:t xml:space="preserve">affecting business </w:t>
            </w:r>
            <w:r w:rsidRPr="00542C51">
              <w:rPr>
                <w:rFonts w:ascii="Calibri" w:eastAsia="Times New Roman" w:hAnsi="Calibri" w:cs="Calibri"/>
                <w:color w:val="000000"/>
                <w:kern w:val="24"/>
                <w:sz w:val="24"/>
                <w:szCs w:val="24"/>
                <w:lang w:eastAsia="en-GB"/>
              </w:rPr>
              <w:t>is brought into force ahead of, and without, related regulations and/or where the impacts of some of the related secondary legislation is known and the content of (other) related secondary legislation is not known).</w:t>
            </w:r>
          </w:p>
        </w:tc>
        <w:tc>
          <w:tcPr>
            <w:tcW w:w="45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97370E" w:rsidRPr="00542C51" w:rsidRDefault="0097370E" w:rsidP="009C0B79">
            <w:pPr>
              <w:spacing w:after="0" w:line="240" w:lineRule="auto"/>
              <w:rPr>
                <w:rFonts w:ascii="Arial" w:eastAsia="Times New Roman" w:hAnsi="Arial" w:cs="Arial"/>
                <w:sz w:val="36"/>
                <w:szCs w:val="36"/>
                <w:lang w:eastAsia="en-GB"/>
              </w:rPr>
            </w:pPr>
            <w:r w:rsidRPr="00542C51">
              <w:rPr>
                <w:rFonts w:ascii="Calibri" w:eastAsia="Times New Roman" w:hAnsi="Calibri" w:cs="Calibri"/>
                <w:color w:val="000000"/>
                <w:kern w:val="24"/>
                <w:sz w:val="24"/>
                <w:szCs w:val="24"/>
                <w:lang w:eastAsia="en-GB"/>
              </w:rPr>
              <w:t>Validate costs of the proposals as far as possible/provided; further submission(s) required for the (other) secondary legislation.</w:t>
            </w:r>
          </w:p>
        </w:tc>
        <w:tc>
          <w:tcPr>
            <w:tcW w:w="45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97370E" w:rsidRPr="00542C51" w:rsidRDefault="0097370E" w:rsidP="009C0B79">
            <w:pPr>
              <w:spacing w:after="0" w:line="240" w:lineRule="auto"/>
              <w:rPr>
                <w:rFonts w:ascii="Calibri" w:eastAsia="Times New Roman" w:hAnsi="Calibri" w:cs="Calibri"/>
                <w:color w:val="000000"/>
                <w:kern w:val="24"/>
                <w:sz w:val="24"/>
                <w:szCs w:val="24"/>
                <w:lang w:eastAsia="en-GB"/>
              </w:rPr>
            </w:pPr>
            <w:r w:rsidRPr="00542C51">
              <w:rPr>
                <w:rFonts w:ascii="Calibri" w:eastAsia="Times New Roman" w:hAnsi="Calibri" w:cs="Calibri"/>
                <w:color w:val="000000"/>
                <w:kern w:val="24"/>
                <w:sz w:val="24"/>
                <w:szCs w:val="24"/>
                <w:lang w:eastAsia="en-GB"/>
              </w:rPr>
              <w:t>The RPC is able to validate the EAN</w:t>
            </w:r>
            <w:r>
              <w:rPr>
                <w:rFonts w:ascii="Calibri" w:eastAsia="Times New Roman" w:hAnsi="Calibri" w:cs="Calibri"/>
                <w:color w:val="000000"/>
                <w:kern w:val="24"/>
                <w:sz w:val="24"/>
                <w:szCs w:val="24"/>
                <w:lang w:eastAsia="en-GB"/>
              </w:rPr>
              <w:t>D</w:t>
            </w:r>
            <w:r w:rsidRPr="00542C51">
              <w:rPr>
                <w:rFonts w:ascii="Calibri" w:eastAsia="Times New Roman" w:hAnsi="Calibri" w:cs="Calibri"/>
                <w:color w:val="000000"/>
                <w:kern w:val="24"/>
                <w:sz w:val="24"/>
                <w:szCs w:val="24"/>
                <w:lang w:eastAsia="en-GB"/>
              </w:rPr>
              <w:t>CB relating to [the primary legislation] [and some related secondary legislation] as £</w:t>
            </w:r>
            <w:proofErr w:type="spellStart"/>
            <w:r w:rsidRPr="00542C51">
              <w:rPr>
                <w:rFonts w:ascii="Calibri" w:eastAsia="Times New Roman" w:hAnsi="Calibri" w:cs="Calibri"/>
                <w:color w:val="000000"/>
                <w:kern w:val="24"/>
                <w:sz w:val="24"/>
                <w:szCs w:val="24"/>
                <w:lang w:eastAsia="en-GB"/>
              </w:rPr>
              <w:t>x</w:t>
            </w:r>
            <w:r>
              <w:rPr>
                <w:rFonts w:ascii="Calibri" w:eastAsia="Times New Roman" w:hAnsi="Calibri" w:cs="Calibri"/>
                <w:color w:val="000000"/>
                <w:kern w:val="24"/>
                <w:sz w:val="24"/>
                <w:szCs w:val="24"/>
                <w:lang w:eastAsia="en-GB"/>
              </w:rPr>
              <w:t>.</w:t>
            </w:r>
            <w:r w:rsidRPr="00542C51">
              <w:rPr>
                <w:rFonts w:ascii="Calibri" w:eastAsia="Times New Roman" w:hAnsi="Calibri" w:cs="Calibri"/>
                <w:color w:val="000000"/>
                <w:kern w:val="24"/>
                <w:sz w:val="24"/>
                <w:szCs w:val="24"/>
                <w:lang w:eastAsia="en-GB"/>
              </w:rPr>
              <w:t>x</w:t>
            </w:r>
            <w:proofErr w:type="spellEnd"/>
            <w:r w:rsidRPr="00542C51">
              <w:rPr>
                <w:rFonts w:ascii="Calibri" w:eastAsia="Times New Roman" w:hAnsi="Calibri" w:cs="Calibri"/>
                <w:color w:val="000000"/>
                <w:kern w:val="24"/>
                <w:sz w:val="24"/>
                <w:szCs w:val="24"/>
                <w:lang w:eastAsia="en-GB"/>
              </w:rPr>
              <w:t xml:space="preserve"> million.  The RPC will need to see an updated/further IA(s) when the detail of the [other] related secondary legislation has been decided.</w:t>
            </w:r>
          </w:p>
        </w:tc>
      </w:tr>
      <w:tr w:rsidR="0097370E" w:rsidRPr="00542C51" w:rsidTr="009C0B79">
        <w:trPr>
          <w:trHeight w:val="1261"/>
        </w:trPr>
        <w:tc>
          <w:tcPr>
            <w:tcW w:w="47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97370E" w:rsidRPr="00542C51" w:rsidRDefault="0097370E" w:rsidP="009C0B79">
            <w:pPr>
              <w:spacing w:after="0" w:line="240" w:lineRule="auto"/>
              <w:rPr>
                <w:rFonts w:ascii="Arial" w:eastAsia="Times New Roman" w:hAnsi="Arial" w:cs="Arial"/>
                <w:sz w:val="36"/>
                <w:szCs w:val="36"/>
                <w:lang w:eastAsia="en-GB"/>
              </w:rPr>
            </w:pPr>
            <w:r>
              <w:rPr>
                <w:rFonts w:ascii="Calibri" w:eastAsia="Times New Roman" w:hAnsi="Calibri" w:cs="Calibri"/>
                <w:color w:val="000000"/>
                <w:kern w:val="24"/>
                <w:sz w:val="24"/>
                <w:szCs w:val="24"/>
                <w:lang w:eastAsia="en-GB"/>
              </w:rPr>
              <w:t xml:space="preserve">2. </w:t>
            </w:r>
            <w:r w:rsidRPr="00542C51">
              <w:rPr>
                <w:rFonts w:ascii="Calibri" w:eastAsia="Times New Roman" w:hAnsi="Calibri" w:cs="Calibri"/>
                <w:b/>
                <w:color w:val="000000"/>
                <w:kern w:val="24"/>
                <w:sz w:val="24"/>
                <w:szCs w:val="24"/>
                <w:lang w:eastAsia="en-GB"/>
              </w:rPr>
              <w:t>Full robust assessment of the proposal as a whole is not possible</w:t>
            </w:r>
            <w:r w:rsidRPr="00542C51">
              <w:rPr>
                <w:rFonts w:ascii="Calibri" w:eastAsia="Times New Roman" w:hAnsi="Calibri" w:cs="Calibri"/>
                <w:color w:val="000000"/>
                <w:kern w:val="24"/>
                <w:sz w:val="24"/>
                <w:szCs w:val="24"/>
                <w:lang w:eastAsia="en-GB"/>
              </w:rPr>
              <w:t xml:space="preserve"> </w:t>
            </w:r>
            <w:r>
              <w:rPr>
                <w:rFonts w:ascii="Calibri" w:eastAsia="Times New Roman" w:hAnsi="Calibri" w:cs="Calibri"/>
                <w:color w:val="000000"/>
                <w:kern w:val="24"/>
                <w:sz w:val="24"/>
                <w:szCs w:val="24"/>
                <w:lang w:eastAsia="en-GB"/>
              </w:rPr>
              <w:t xml:space="preserve">because substantive policy decisions will not be taken until the secondary legislation stage </w:t>
            </w:r>
            <w:r w:rsidRPr="00542C51">
              <w:rPr>
                <w:rFonts w:ascii="Calibri" w:eastAsia="Times New Roman" w:hAnsi="Calibri" w:cs="Calibri"/>
                <w:color w:val="000000"/>
                <w:kern w:val="24"/>
                <w:sz w:val="24"/>
                <w:szCs w:val="24"/>
                <w:lang w:eastAsia="en-GB"/>
              </w:rPr>
              <w:t>(e.g. where some detail</w:t>
            </w:r>
            <w:r>
              <w:rPr>
                <w:rFonts w:ascii="Calibri" w:eastAsia="Times New Roman" w:hAnsi="Calibri" w:cs="Calibri"/>
                <w:color w:val="000000"/>
                <w:kern w:val="24"/>
                <w:sz w:val="24"/>
                <w:szCs w:val="24"/>
                <w:lang w:eastAsia="en-GB"/>
              </w:rPr>
              <w:t>s</w:t>
            </w:r>
            <w:r w:rsidRPr="00542C51">
              <w:rPr>
                <w:rFonts w:ascii="Calibri" w:eastAsia="Times New Roman" w:hAnsi="Calibri" w:cs="Calibri"/>
                <w:color w:val="000000"/>
                <w:kern w:val="24"/>
                <w:sz w:val="24"/>
                <w:szCs w:val="24"/>
                <w:lang w:eastAsia="en-GB"/>
              </w:rPr>
              <w:t xml:space="preserve"> of the proposal </w:t>
            </w:r>
            <w:r>
              <w:rPr>
                <w:rFonts w:ascii="Calibri" w:eastAsia="Times New Roman" w:hAnsi="Calibri" w:cs="Calibri"/>
                <w:color w:val="000000"/>
                <w:kern w:val="24"/>
                <w:sz w:val="24"/>
                <w:szCs w:val="24"/>
                <w:lang w:eastAsia="en-GB"/>
              </w:rPr>
              <w:t>are</w:t>
            </w:r>
            <w:r w:rsidRPr="00542C51">
              <w:rPr>
                <w:rFonts w:ascii="Calibri" w:eastAsia="Times New Roman" w:hAnsi="Calibri" w:cs="Calibri"/>
                <w:color w:val="000000"/>
                <w:kern w:val="24"/>
                <w:sz w:val="24"/>
                <w:szCs w:val="24"/>
                <w:lang w:eastAsia="en-GB"/>
              </w:rPr>
              <w:t xml:space="preserve"> still to be decided/developed</w:t>
            </w:r>
            <w:r>
              <w:rPr>
                <w:rFonts w:ascii="Calibri" w:eastAsia="Times New Roman" w:hAnsi="Calibri" w:cs="Calibri"/>
                <w:color w:val="000000"/>
                <w:kern w:val="24"/>
                <w:sz w:val="24"/>
                <w:szCs w:val="24"/>
                <w:lang w:eastAsia="en-GB"/>
              </w:rPr>
              <w:t xml:space="preserve">, say, </w:t>
            </w:r>
            <w:r w:rsidRPr="00542C51">
              <w:rPr>
                <w:rFonts w:ascii="Calibri" w:eastAsia="Times New Roman" w:hAnsi="Calibri" w:cs="Calibri"/>
                <w:color w:val="000000"/>
                <w:kern w:val="24"/>
                <w:sz w:val="24"/>
                <w:szCs w:val="24"/>
                <w:lang w:eastAsia="en-GB"/>
              </w:rPr>
              <w:t>for related secondary legislation)</w:t>
            </w:r>
            <w:r>
              <w:rPr>
                <w:rFonts w:ascii="Calibri" w:eastAsia="Times New Roman" w:hAnsi="Calibri" w:cs="Calibri"/>
                <w:color w:val="000000"/>
                <w:kern w:val="24"/>
                <w:sz w:val="24"/>
                <w:szCs w:val="24"/>
                <w:lang w:eastAsia="en-GB"/>
              </w:rPr>
              <w:t xml:space="preserve">.  Uncertainty over some of the impacts of the proposal is, therefore, too great to provide a meaningful </w:t>
            </w:r>
            <w:r>
              <w:rPr>
                <w:rFonts w:ascii="Calibri" w:eastAsia="Times New Roman" w:hAnsi="Calibri" w:cs="Calibri"/>
                <w:color w:val="000000"/>
                <w:kern w:val="24"/>
                <w:sz w:val="24"/>
                <w:szCs w:val="24"/>
                <w:lang w:eastAsia="en-GB"/>
              </w:rPr>
              <w:lastRenderedPageBreak/>
              <w:t xml:space="preserve">EANDCB figure for validation at the primary legislation stage.  </w:t>
            </w:r>
            <w:r>
              <w:rPr>
                <w:rFonts w:ascii="Calibri" w:eastAsia="Times New Roman" w:hAnsi="Calibri" w:cs="Calibri"/>
                <w:b/>
                <w:color w:val="000000"/>
                <w:kern w:val="24"/>
                <w:sz w:val="24"/>
                <w:szCs w:val="24"/>
                <w:lang w:eastAsia="en-GB"/>
              </w:rPr>
              <w:t>B</w:t>
            </w:r>
            <w:r w:rsidRPr="00542C51">
              <w:rPr>
                <w:rFonts w:ascii="Calibri" w:eastAsia="Times New Roman" w:hAnsi="Calibri" w:cs="Calibri"/>
                <w:b/>
                <w:color w:val="000000"/>
                <w:kern w:val="24"/>
                <w:sz w:val="24"/>
                <w:szCs w:val="24"/>
                <w:lang w:eastAsia="en-GB"/>
              </w:rPr>
              <w:t>ut</w:t>
            </w:r>
            <w:r w:rsidRPr="00542C51">
              <w:rPr>
                <w:rFonts w:ascii="Calibri" w:eastAsia="Times New Roman" w:hAnsi="Calibri" w:cs="Calibri"/>
                <w:color w:val="000000"/>
                <w:kern w:val="24"/>
                <w:sz w:val="24"/>
                <w:szCs w:val="24"/>
                <w:lang w:eastAsia="en-GB"/>
              </w:rPr>
              <w:t xml:space="preserve"> </w:t>
            </w:r>
            <w:r>
              <w:rPr>
                <w:rFonts w:ascii="Calibri" w:eastAsia="Times New Roman" w:hAnsi="Calibri" w:cs="Calibri"/>
                <w:color w:val="000000"/>
                <w:kern w:val="24"/>
                <w:sz w:val="24"/>
                <w:szCs w:val="24"/>
                <w:lang w:eastAsia="en-GB"/>
              </w:rPr>
              <w:t xml:space="preserve">identification and an </w:t>
            </w:r>
            <w:r w:rsidRPr="00542C51">
              <w:rPr>
                <w:rFonts w:ascii="Calibri" w:eastAsia="Times New Roman" w:hAnsi="Calibri" w:cs="Calibri"/>
                <w:b/>
                <w:color w:val="000000"/>
                <w:kern w:val="24"/>
                <w:sz w:val="24"/>
                <w:szCs w:val="24"/>
                <w:lang w:eastAsia="en-GB"/>
              </w:rPr>
              <w:t>assessment of at least the scale of the impacts of the measure as a whole</w:t>
            </w:r>
            <w:r>
              <w:rPr>
                <w:rFonts w:ascii="Calibri" w:eastAsia="Times New Roman" w:hAnsi="Calibri" w:cs="Calibri"/>
                <w:color w:val="000000"/>
                <w:kern w:val="24"/>
                <w:sz w:val="24"/>
                <w:szCs w:val="24"/>
                <w:lang w:eastAsia="en-GB"/>
              </w:rPr>
              <w:t>, including the business sectors</w:t>
            </w:r>
            <w:r w:rsidRPr="00542C51">
              <w:rPr>
                <w:rFonts w:ascii="Calibri" w:eastAsia="Times New Roman" w:hAnsi="Calibri" w:cs="Calibri"/>
                <w:color w:val="000000"/>
                <w:kern w:val="24"/>
                <w:sz w:val="24"/>
                <w:szCs w:val="24"/>
                <w:lang w:eastAsia="en-GB"/>
              </w:rPr>
              <w:t xml:space="preserve"> that will be affected, and how, </w:t>
            </w:r>
            <w:r w:rsidRPr="002C6B49">
              <w:rPr>
                <w:rFonts w:ascii="Calibri" w:eastAsia="Times New Roman" w:hAnsi="Calibri" w:cs="Calibri"/>
                <w:b/>
                <w:color w:val="000000"/>
                <w:kern w:val="24"/>
                <w:sz w:val="24"/>
                <w:szCs w:val="24"/>
                <w:lang w:eastAsia="en-GB"/>
              </w:rPr>
              <w:t xml:space="preserve">is </w:t>
            </w:r>
            <w:r w:rsidRPr="00542C51">
              <w:rPr>
                <w:rFonts w:ascii="Calibri" w:eastAsia="Times New Roman" w:hAnsi="Calibri" w:cs="Calibri"/>
                <w:b/>
                <w:color w:val="000000"/>
                <w:kern w:val="24"/>
                <w:sz w:val="24"/>
                <w:szCs w:val="24"/>
                <w:lang w:eastAsia="en-GB"/>
              </w:rPr>
              <w:t>provided</w:t>
            </w:r>
            <w:r w:rsidRPr="00542C51">
              <w:rPr>
                <w:rFonts w:ascii="Calibri" w:eastAsia="Times New Roman" w:hAnsi="Calibri" w:cs="Calibri"/>
                <w:color w:val="000000"/>
                <w:kern w:val="24"/>
                <w:sz w:val="24"/>
                <w:szCs w:val="24"/>
                <w:lang w:eastAsia="en-GB"/>
              </w:rPr>
              <w:t>.</w:t>
            </w:r>
            <w:r>
              <w:rPr>
                <w:rFonts w:ascii="Calibri" w:eastAsia="Times New Roman" w:hAnsi="Calibri" w:cs="Calibri"/>
                <w:color w:val="000000"/>
                <w:kern w:val="24"/>
                <w:sz w:val="24"/>
                <w:szCs w:val="24"/>
                <w:lang w:eastAsia="en-GB"/>
              </w:rPr>
              <w:t xml:space="preserve"> An explanation of why a full robust assessment of the proposal as a whole is not possible is also provided. </w:t>
            </w:r>
          </w:p>
        </w:tc>
        <w:tc>
          <w:tcPr>
            <w:tcW w:w="45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97370E" w:rsidRPr="00542C51" w:rsidRDefault="0097370E" w:rsidP="009C0B79">
            <w:pPr>
              <w:spacing w:after="0" w:line="240" w:lineRule="auto"/>
              <w:rPr>
                <w:rFonts w:ascii="Arial" w:eastAsia="Times New Roman" w:hAnsi="Arial" w:cs="Arial"/>
                <w:sz w:val="36"/>
                <w:szCs w:val="36"/>
                <w:lang w:eastAsia="en-GB"/>
              </w:rPr>
            </w:pPr>
            <w:r w:rsidRPr="00542C51">
              <w:rPr>
                <w:rFonts w:ascii="Calibri" w:eastAsia="Times New Roman" w:hAnsi="Calibri" w:cs="Calibri"/>
                <w:color w:val="000000"/>
                <w:kern w:val="24"/>
                <w:sz w:val="24"/>
                <w:szCs w:val="24"/>
                <w:lang w:eastAsia="en-GB"/>
              </w:rPr>
              <w:lastRenderedPageBreak/>
              <w:t>The RPC is unable to validate an EAN</w:t>
            </w:r>
            <w:r>
              <w:rPr>
                <w:rFonts w:ascii="Calibri" w:eastAsia="Times New Roman" w:hAnsi="Calibri" w:cs="Calibri"/>
                <w:color w:val="000000"/>
                <w:kern w:val="24"/>
                <w:sz w:val="24"/>
                <w:szCs w:val="24"/>
                <w:lang w:eastAsia="en-GB"/>
              </w:rPr>
              <w:t>D</w:t>
            </w:r>
            <w:r w:rsidRPr="00542C51">
              <w:rPr>
                <w:rFonts w:ascii="Calibri" w:eastAsia="Times New Roman" w:hAnsi="Calibri" w:cs="Calibri"/>
                <w:color w:val="000000"/>
                <w:kern w:val="24"/>
                <w:sz w:val="24"/>
                <w:szCs w:val="24"/>
                <w:lang w:eastAsia="en-GB"/>
              </w:rPr>
              <w:t xml:space="preserve">CB figure at this stage. Revised/further IA(s), supporting secondary legislation, to be submitted and validated. </w:t>
            </w:r>
          </w:p>
          <w:p w:rsidR="0097370E" w:rsidRPr="00542C51" w:rsidRDefault="0097370E" w:rsidP="009C0B79">
            <w:pPr>
              <w:spacing w:after="0" w:line="240" w:lineRule="auto"/>
              <w:rPr>
                <w:rFonts w:ascii="Arial" w:eastAsia="Times New Roman" w:hAnsi="Arial" w:cs="Arial"/>
                <w:sz w:val="36"/>
                <w:szCs w:val="36"/>
                <w:lang w:eastAsia="en-GB"/>
              </w:rPr>
            </w:pPr>
          </w:p>
          <w:p w:rsidR="0097370E" w:rsidRPr="00542C51" w:rsidRDefault="0097370E" w:rsidP="009C0B79">
            <w:pPr>
              <w:spacing w:after="0" w:line="240" w:lineRule="auto"/>
              <w:rPr>
                <w:rFonts w:eastAsia="Times New Roman" w:cstheme="minorHAnsi"/>
                <w:sz w:val="24"/>
                <w:szCs w:val="24"/>
                <w:lang w:eastAsia="en-GB"/>
              </w:rPr>
            </w:pPr>
            <w:r w:rsidRPr="00542C51">
              <w:rPr>
                <w:rFonts w:eastAsia="Times New Roman" w:cstheme="minorHAnsi"/>
                <w:sz w:val="24"/>
                <w:szCs w:val="24"/>
                <w:lang w:eastAsia="en-GB"/>
              </w:rPr>
              <w:t>This will be acceptable in most cases where policy decisions in respect of related secondary legislation, which materially affect the impacts, have not been taken</w:t>
            </w:r>
            <w:r>
              <w:rPr>
                <w:rFonts w:eastAsia="Times New Roman" w:cstheme="minorHAnsi"/>
                <w:sz w:val="24"/>
                <w:szCs w:val="24"/>
                <w:lang w:eastAsia="en-GB"/>
              </w:rPr>
              <w:t xml:space="preserve"> at </w:t>
            </w:r>
            <w:r>
              <w:rPr>
                <w:rFonts w:eastAsia="Times New Roman" w:cstheme="minorHAnsi"/>
                <w:sz w:val="24"/>
                <w:szCs w:val="24"/>
                <w:lang w:eastAsia="en-GB"/>
              </w:rPr>
              <w:lastRenderedPageBreak/>
              <w:t>the primary legislation stage</w:t>
            </w:r>
            <w:r w:rsidRPr="00542C51">
              <w:rPr>
                <w:rFonts w:eastAsia="Times New Roman" w:cstheme="minorHAnsi"/>
                <w:sz w:val="24"/>
                <w:szCs w:val="24"/>
                <w:lang w:eastAsia="en-GB"/>
              </w:rPr>
              <w:t xml:space="preserve">, but </w:t>
            </w:r>
            <w:proofErr w:type="gramStart"/>
            <w:r w:rsidRPr="00D9181C">
              <w:rPr>
                <w:rFonts w:eastAsia="Times New Roman" w:cstheme="minorHAnsi"/>
                <w:sz w:val="24"/>
                <w:szCs w:val="24"/>
                <w:u w:val="single"/>
                <w:lang w:eastAsia="en-GB"/>
              </w:rPr>
              <w:t>not</w:t>
            </w:r>
            <w:r w:rsidRPr="00542C51">
              <w:rPr>
                <w:rFonts w:eastAsia="Times New Roman" w:cstheme="minorHAnsi"/>
                <w:sz w:val="24"/>
                <w:szCs w:val="24"/>
                <w:lang w:eastAsia="en-GB"/>
              </w:rPr>
              <w:t xml:space="preserve"> where the department simply hasn’t gathered sufficient evidence</w:t>
            </w:r>
            <w:proofErr w:type="gramEnd"/>
            <w:r w:rsidRPr="00542C51">
              <w:rPr>
                <w:rFonts w:eastAsia="Times New Roman" w:cstheme="minorHAnsi"/>
                <w:sz w:val="24"/>
                <w:szCs w:val="24"/>
                <w:lang w:eastAsia="en-GB"/>
              </w:rPr>
              <w:t>.</w:t>
            </w:r>
          </w:p>
        </w:tc>
        <w:tc>
          <w:tcPr>
            <w:tcW w:w="45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97370E" w:rsidRPr="00542C51" w:rsidRDefault="0097370E" w:rsidP="009C0B79">
            <w:pPr>
              <w:spacing w:after="0" w:line="240" w:lineRule="auto"/>
              <w:rPr>
                <w:rFonts w:ascii="Arial" w:eastAsia="Times New Roman" w:hAnsi="Arial" w:cs="Arial"/>
                <w:sz w:val="36"/>
                <w:szCs w:val="36"/>
                <w:lang w:eastAsia="en-GB"/>
              </w:rPr>
            </w:pPr>
            <w:r w:rsidRPr="00542C51">
              <w:rPr>
                <w:rFonts w:ascii="Calibri" w:eastAsia="Times New Roman" w:hAnsi="Calibri" w:cs="Calibri"/>
                <w:color w:val="000000"/>
                <w:kern w:val="24"/>
                <w:sz w:val="24"/>
                <w:szCs w:val="24"/>
                <w:lang w:eastAsia="en-GB"/>
              </w:rPr>
              <w:lastRenderedPageBreak/>
              <w:t>Identification and an assessment of the scale of the impacts of the measure as a whole have been provided but these are not sufficiently robust at this stage for the RPC to be able to validate an EAN</w:t>
            </w:r>
            <w:r>
              <w:rPr>
                <w:rFonts w:ascii="Calibri" w:eastAsia="Times New Roman" w:hAnsi="Calibri" w:cs="Calibri"/>
                <w:color w:val="000000"/>
                <w:kern w:val="24"/>
                <w:sz w:val="24"/>
                <w:szCs w:val="24"/>
                <w:lang w:eastAsia="en-GB"/>
              </w:rPr>
              <w:t>D</w:t>
            </w:r>
            <w:r w:rsidRPr="00542C51">
              <w:rPr>
                <w:rFonts w:ascii="Calibri" w:eastAsia="Times New Roman" w:hAnsi="Calibri" w:cs="Calibri"/>
                <w:color w:val="000000"/>
                <w:kern w:val="24"/>
                <w:sz w:val="24"/>
                <w:szCs w:val="24"/>
                <w:lang w:eastAsia="en-GB"/>
              </w:rPr>
              <w:t xml:space="preserve">CB figure.  This is because the level of detail currently available on the expected content of related secondary legislation is insufficient to enable assessment of a </w:t>
            </w:r>
            <w:r w:rsidRPr="00542C51">
              <w:rPr>
                <w:rFonts w:ascii="Calibri" w:eastAsia="Times New Roman" w:hAnsi="Calibri" w:cs="Calibri"/>
                <w:color w:val="000000"/>
                <w:kern w:val="24"/>
                <w:sz w:val="24"/>
                <w:szCs w:val="24"/>
                <w:lang w:eastAsia="en-GB"/>
              </w:rPr>
              <w:lastRenderedPageBreak/>
              <w:t>robust EAN</w:t>
            </w:r>
            <w:r>
              <w:rPr>
                <w:rFonts w:ascii="Calibri" w:eastAsia="Times New Roman" w:hAnsi="Calibri" w:cs="Calibri"/>
                <w:color w:val="000000"/>
                <w:kern w:val="24"/>
                <w:sz w:val="24"/>
                <w:szCs w:val="24"/>
                <w:lang w:eastAsia="en-GB"/>
              </w:rPr>
              <w:t>D</w:t>
            </w:r>
            <w:r w:rsidRPr="00542C51">
              <w:rPr>
                <w:rFonts w:ascii="Calibri" w:eastAsia="Times New Roman" w:hAnsi="Calibri" w:cs="Calibri"/>
                <w:color w:val="000000"/>
                <w:kern w:val="24"/>
                <w:sz w:val="24"/>
                <w:szCs w:val="24"/>
                <w:lang w:eastAsia="en-GB"/>
              </w:rPr>
              <w:t>CB figure at this stage.  The RPC will need to see an updated/further IA when the detail of related secondary legislation has been decided before it can validate an EAN</w:t>
            </w:r>
            <w:r>
              <w:rPr>
                <w:rFonts w:ascii="Calibri" w:eastAsia="Times New Roman" w:hAnsi="Calibri" w:cs="Calibri"/>
                <w:color w:val="000000"/>
                <w:kern w:val="24"/>
                <w:sz w:val="24"/>
                <w:szCs w:val="24"/>
                <w:lang w:eastAsia="en-GB"/>
              </w:rPr>
              <w:t>D</w:t>
            </w:r>
            <w:r w:rsidRPr="00542C51">
              <w:rPr>
                <w:rFonts w:ascii="Calibri" w:eastAsia="Times New Roman" w:hAnsi="Calibri" w:cs="Calibri"/>
                <w:color w:val="000000"/>
                <w:kern w:val="24"/>
                <w:sz w:val="24"/>
                <w:szCs w:val="24"/>
                <w:lang w:eastAsia="en-GB"/>
              </w:rPr>
              <w:t>CB figure.</w:t>
            </w:r>
          </w:p>
        </w:tc>
      </w:tr>
      <w:tr w:rsidR="0097370E" w:rsidRPr="00542C51" w:rsidTr="009C0B79">
        <w:trPr>
          <w:trHeight w:val="1261"/>
        </w:trPr>
        <w:tc>
          <w:tcPr>
            <w:tcW w:w="47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7370E" w:rsidRPr="00542C51" w:rsidRDefault="0097370E" w:rsidP="009C0B79">
            <w:pPr>
              <w:spacing w:after="0" w:line="240" w:lineRule="auto"/>
              <w:rPr>
                <w:rFonts w:ascii="Arial" w:eastAsia="Times New Roman" w:hAnsi="Arial" w:cs="Arial"/>
                <w:sz w:val="36"/>
                <w:szCs w:val="36"/>
                <w:lang w:eastAsia="en-GB"/>
              </w:rPr>
            </w:pPr>
            <w:r>
              <w:rPr>
                <w:rFonts w:ascii="Calibri" w:eastAsia="Times New Roman" w:hAnsi="Calibri" w:cs="Calibri"/>
                <w:color w:val="000000"/>
                <w:kern w:val="24"/>
                <w:sz w:val="24"/>
                <w:szCs w:val="24"/>
                <w:lang w:eastAsia="en-GB"/>
              </w:rPr>
              <w:lastRenderedPageBreak/>
              <w:t xml:space="preserve">3. </w:t>
            </w:r>
            <w:r w:rsidRPr="00542C51">
              <w:rPr>
                <w:rFonts w:ascii="Calibri" w:eastAsia="Times New Roman" w:hAnsi="Calibri" w:cs="Calibri"/>
                <w:b/>
                <w:color w:val="000000"/>
                <w:kern w:val="24"/>
                <w:sz w:val="24"/>
                <w:szCs w:val="24"/>
                <w:lang w:eastAsia="en-GB"/>
              </w:rPr>
              <w:t>No assessment o</w:t>
            </w:r>
            <w:r>
              <w:rPr>
                <w:rFonts w:ascii="Calibri" w:eastAsia="Times New Roman" w:hAnsi="Calibri" w:cs="Calibri"/>
                <w:b/>
                <w:color w:val="000000"/>
                <w:kern w:val="24"/>
                <w:sz w:val="24"/>
                <w:szCs w:val="24"/>
                <w:lang w:eastAsia="en-GB"/>
              </w:rPr>
              <w:t>f</w:t>
            </w:r>
            <w:r w:rsidRPr="00542C51">
              <w:rPr>
                <w:rFonts w:ascii="Calibri" w:eastAsia="Times New Roman" w:hAnsi="Calibri" w:cs="Calibri"/>
                <w:b/>
                <w:color w:val="000000"/>
                <w:kern w:val="24"/>
                <w:sz w:val="24"/>
                <w:szCs w:val="24"/>
                <w:lang w:eastAsia="en-GB"/>
              </w:rPr>
              <w:t xml:space="preserve"> scale/indication of likely impacts provided</w:t>
            </w:r>
            <w:r>
              <w:rPr>
                <w:rFonts w:ascii="Calibri" w:eastAsia="Times New Roman" w:hAnsi="Calibri" w:cs="Calibri"/>
                <w:b/>
                <w:color w:val="000000"/>
                <w:kern w:val="24"/>
                <w:sz w:val="24"/>
                <w:szCs w:val="24"/>
                <w:lang w:eastAsia="en-GB"/>
              </w:rPr>
              <w:t xml:space="preserve"> and no satisfactory explanation for this</w:t>
            </w:r>
            <w:r w:rsidRPr="00542C51">
              <w:rPr>
                <w:rFonts w:ascii="Calibri" w:eastAsia="Times New Roman" w:hAnsi="Calibri" w:cs="Calibri"/>
                <w:color w:val="000000"/>
                <w:kern w:val="24"/>
                <w:sz w:val="24"/>
                <w:szCs w:val="24"/>
                <w:lang w:eastAsia="en-GB"/>
              </w:rPr>
              <w:t>.</w:t>
            </w:r>
          </w:p>
        </w:tc>
        <w:tc>
          <w:tcPr>
            <w:tcW w:w="45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7370E" w:rsidRPr="00542C51" w:rsidRDefault="0097370E" w:rsidP="009C0B79">
            <w:pPr>
              <w:spacing w:after="0" w:line="240" w:lineRule="auto"/>
              <w:rPr>
                <w:rFonts w:ascii="Arial" w:eastAsia="Times New Roman" w:hAnsi="Arial" w:cs="Arial"/>
                <w:sz w:val="36"/>
                <w:szCs w:val="36"/>
                <w:lang w:eastAsia="en-GB"/>
              </w:rPr>
            </w:pPr>
            <w:r w:rsidRPr="00542C51">
              <w:rPr>
                <w:rFonts w:ascii="Calibri" w:eastAsia="Times New Roman" w:hAnsi="Calibri" w:cs="Calibri"/>
                <w:color w:val="000000"/>
                <w:kern w:val="24"/>
                <w:sz w:val="24"/>
                <w:szCs w:val="24"/>
                <w:lang w:eastAsia="en-GB"/>
              </w:rPr>
              <w:t xml:space="preserve">Red </w:t>
            </w:r>
            <w:r>
              <w:rPr>
                <w:rFonts w:ascii="Calibri" w:eastAsia="Times New Roman" w:hAnsi="Calibri" w:cs="Calibri"/>
                <w:color w:val="000000"/>
                <w:kern w:val="24"/>
                <w:sz w:val="24"/>
                <w:szCs w:val="24"/>
                <w:lang w:eastAsia="en-GB"/>
              </w:rPr>
              <w:t xml:space="preserve">rating. </w:t>
            </w:r>
            <w:r w:rsidRPr="00542C51">
              <w:rPr>
                <w:rFonts w:ascii="Calibri" w:eastAsia="Times New Roman" w:hAnsi="Calibri" w:cs="Calibri"/>
                <w:color w:val="000000"/>
                <w:kern w:val="24"/>
                <w:sz w:val="24"/>
                <w:szCs w:val="24"/>
                <w:lang w:eastAsia="en-GB"/>
              </w:rPr>
              <w:t xml:space="preserve"> </w:t>
            </w:r>
            <w:r>
              <w:rPr>
                <w:rFonts w:ascii="Calibri" w:eastAsia="Times New Roman" w:hAnsi="Calibri" w:cs="Calibri"/>
                <w:color w:val="000000"/>
                <w:kern w:val="24"/>
                <w:sz w:val="24"/>
                <w:szCs w:val="24"/>
                <w:lang w:eastAsia="en-GB"/>
              </w:rPr>
              <w:t>A</w:t>
            </w:r>
            <w:r w:rsidRPr="00542C51">
              <w:rPr>
                <w:rFonts w:ascii="Calibri" w:eastAsia="Times New Roman" w:hAnsi="Calibri" w:cs="Calibri"/>
                <w:color w:val="000000"/>
                <w:kern w:val="24"/>
                <w:sz w:val="24"/>
                <w:szCs w:val="24"/>
                <w:lang w:eastAsia="en-GB"/>
              </w:rPr>
              <w:t>n IA supporting primary legislation/enabling powers must provide an assessment of the total expected overall impact of the measure (including both primary and secondary legislation), quantifying the costs and benefits of the policy as a whole or, where this is not possible, provide a clear explanation why and at least an indication of the likely scale of impacts arising from use of the powers.</w:t>
            </w:r>
          </w:p>
        </w:tc>
        <w:tc>
          <w:tcPr>
            <w:tcW w:w="45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7370E" w:rsidRPr="00542C51" w:rsidRDefault="0097370E" w:rsidP="009C0B79">
            <w:pPr>
              <w:spacing w:after="0" w:line="240" w:lineRule="auto"/>
              <w:rPr>
                <w:rFonts w:ascii="Arial" w:eastAsia="Times New Roman" w:hAnsi="Arial" w:cs="Arial"/>
                <w:sz w:val="36"/>
                <w:szCs w:val="36"/>
                <w:lang w:eastAsia="en-GB"/>
              </w:rPr>
            </w:pPr>
            <w:r w:rsidRPr="00542C51">
              <w:rPr>
                <w:rFonts w:ascii="Calibri" w:eastAsia="Times New Roman" w:hAnsi="Calibri" w:cs="Calibri"/>
                <w:color w:val="000000"/>
                <w:kern w:val="24"/>
                <w:sz w:val="24"/>
                <w:szCs w:val="24"/>
                <w:lang w:eastAsia="en-GB"/>
              </w:rPr>
              <w:t xml:space="preserve">The IA is not fit for purpose.   The IA must, at the primary legislation stage, assess the total expected overall impact of the measure (including both primary and secondary legislation), quantifying the costs and benefits of the policy as a whole.  This must include at least some identification and assessment of the scale of the impacts and on which businesses they would fall and how. </w:t>
            </w:r>
          </w:p>
        </w:tc>
      </w:tr>
    </w:tbl>
    <w:p w:rsidR="0097370E" w:rsidRDefault="0097370E" w:rsidP="0097370E">
      <w:pPr>
        <w:spacing w:after="60"/>
        <w:outlineLvl w:val="3"/>
        <w:rPr>
          <w:rFonts w:eastAsia="+mn-ea" w:cstheme="minorHAnsi"/>
          <w:color w:val="000000"/>
          <w:kern w:val="24"/>
          <w:sz w:val="24"/>
          <w:szCs w:val="24"/>
          <w:lang w:eastAsia="en-GB"/>
        </w:rPr>
        <w:sectPr w:rsidR="0097370E" w:rsidSect="009C0B79">
          <w:pgSz w:w="16838" w:h="11906" w:orient="landscape" w:code="9"/>
          <w:pgMar w:top="1440" w:right="1440" w:bottom="1440" w:left="1440" w:header="709" w:footer="709" w:gutter="0"/>
          <w:cols w:space="708"/>
          <w:docGrid w:linePitch="360"/>
        </w:sectPr>
      </w:pPr>
    </w:p>
    <w:p w:rsidR="0097370E" w:rsidRPr="008452FC" w:rsidRDefault="0097370E" w:rsidP="0097370E">
      <w:pPr>
        <w:keepNext/>
        <w:keepLines/>
        <w:spacing w:before="200" w:after="0"/>
        <w:outlineLvl w:val="3"/>
        <w:rPr>
          <w:rFonts w:eastAsiaTheme="majorEastAsia" w:cstheme="minorHAnsi"/>
          <w:b/>
          <w:bCs/>
          <w:iCs/>
          <w:color w:val="000000" w:themeColor="text1"/>
          <w:sz w:val="24"/>
          <w:szCs w:val="24"/>
          <w:u w:val="single"/>
        </w:rPr>
      </w:pPr>
      <w:r w:rsidRPr="008452FC">
        <w:rPr>
          <w:rFonts w:eastAsiaTheme="majorEastAsia" w:cstheme="minorHAnsi"/>
          <w:b/>
          <w:bCs/>
          <w:iCs/>
          <w:color w:val="000000" w:themeColor="text1"/>
          <w:sz w:val="24"/>
          <w:szCs w:val="24"/>
          <w:u w:val="single"/>
        </w:rPr>
        <w:lastRenderedPageBreak/>
        <w:t xml:space="preserve">How the RPC applies this this requirement – classification and </w:t>
      </w:r>
      <w:r>
        <w:rPr>
          <w:rFonts w:eastAsiaTheme="majorEastAsia" w:cstheme="minorHAnsi"/>
          <w:b/>
          <w:bCs/>
          <w:iCs/>
          <w:color w:val="000000" w:themeColor="text1"/>
          <w:sz w:val="24"/>
          <w:szCs w:val="24"/>
          <w:u w:val="single"/>
        </w:rPr>
        <w:t>accounting</w:t>
      </w:r>
      <w:r w:rsidRPr="008452FC">
        <w:rPr>
          <w:rFonts w:eastAsiaTheme="majorEastAsia" w:cstheme="minorHAnsi"/>
          <w:b/>
          <w:bCs/>
          <w:iCs/>
          <w:color w:val="000000" w:themeColor="text1"/>
          <w:sz w:val="24"/>
          <w:szCs w:val="24"/>
          <w:u w:val="single"/>
        </w:rPr>
        <w:t xml:space="preserve"> for BIT purposes</w:t>
      </w:r>
    </w:p>
    <w:p w:rsidR="00A161A5" w:rsidRDefault="00A161A5" w:rsidP="0097370E">
      <w:pPr>
        <w:spacing w:line="240" w:lineRule="auto"/>
        <w:rPr>
          <w:rFonts w:eastAsia="Times New Roman" w:cstheme="minorHAnsi"/>
          <w:i/>
          <w:iCs/>
          <w:sz w:val="24"/>
          <w:szCs w:val="24"/>
          <w:u w:val="single"/>
        </w:rPr>
      </w:pPr>
    </w:p>
    <w:p w:rsidR="0097370E" w:rsidRDefault="0097370E" w:rsidP="0097370E">
      <w:pPr>
        <w:spacing w:line="240" w:lineRule="auto"/>
        <w:rPr>
          <w:rFonts w:eastAsia="Times New Roman" w:cstheme="minorHAnsi"/>
          <w:sz w:val="24"/>
          <w:szCs w:val="24"/>
        </w:rPr>
      </w:pPr>
      <w:r>
        <w:rPr>
          <w:rFonts w:eastAsia="Times New Roman" w:cstheme="minorHAnsi"/>
          <w:sz w:val="24"/>
          <w:szCs w:val="24"/>
        </w:rPr>
        <w:t xml:space="preserve">The BIT assessment at the primary legislation stage should be based upon the whole policy, i.e. if a measure has direct impacts on business only when secondary legislation is implemented, this would still be classified as a qualifying regulatory provision at the primary legislation stage.** </w:t>
      </w:r>
    </w:p>
    <w:p w:rsidR="0097370E" w:rsidRDefault="0097370E" w:rsidP="0097370E">
      <w:pPr>
        <w:spacing w:line="240" w:lineRule="auto"/>
        <w:rPr>
          <w:rFonts w:eastAsia="Times New Roman" w:cstheme="minorHAnsi"/>
          <w:sz w:val="24"/>
          <w:szCs w:val="24"/>
        </w:rPr>
      </w:pPr>
      <w:r>
        <w:rPr>
          <w:rFonts w:eastAsia="Times New Roman" w:cstheme="minorHAnsi"/>
          <w:sz w:val="24"/>
          <w:szCs w:val="24"/>
        </w:rPr>
        <w:t>Proposals</w:t>
      </w:r>
      <w:r w:rsidRPr="00900BED">
        <w:rPr>
          <w:rFonts w:eastAsia="Times New Roman" w:cstheme="minorHAnsi"/>
          <w:sz w:val="24"/>
          <w:szCs w:val="24"/>
        </w:rPr>
        <w:t xml:space="preserve"> </w:t>
      </w:r>
      <w:r>
        <w:rPr>
          <w:rFonts w:eastAsia="Times New Roman" w:cstheme="minorHAnsi"/>
          <w:sz w:val="24"/>
          <w:szCs w:val="24"/>
        </w:rPr>
        <w:t>are</w:t>
      </w:r>
      <w:r w:rsidRPr="00900BED">
        <w:rPr>
          <w:rFonts w:eastAsia="Times New Roman" w:cstheme="minorHAnsi"/>
          <w:sz w:val="24"/>
          <w:szCs w:val="24"/>
        </w:rPr>
        <w:t xml:space="preserve"> scored for </w:t>
      </w:r>
      <w:r>
        <w:rPr>
          <w:rFonts w:eastAsia="Times New Roman" w:cstheme="minorHAnsi"/>
          <w:sz w:val="24"/>
          <w:szCs w:val="24"/>
        </w:rPr>
        <w:t>BIT purposes</w:t>
      </w:r>
      <w:r w:rsidRPr="00900BED">
        <w:rPr>
          <w:rFonts w:eastAsia="Times New Roman" w:cstheme="minorHAnsi"/>
          <w:sz w:val="24"/>
          <w:szCs w:val="24"/>
        </w:rPr>
        <w:t xml:space="preserve"> on the basis of the implementation date</w:t>
      </w:r>
      <w:r>
        <w:rPr>
          <w:rFonts w:eastAsia="Times New Roman" w:cstheme="minorHAnsi"/>
          <w:sz w:val="24"/>
          <w:szCs w:val="24"/>
        </w:rPr>
        <w:t xml:space="preserve"> of the measure resulting in the impacts being scored</w:t>
      </w:r>
      <w:r w:rsidRPr="00900BED">
        <w:rPr>
          <w:rFonts w:eastAsia="Times New Roman" w:cstheme="minorHAnsi"/>
          <w:sz w:val="24"/>
          <w:szCs w:val="24"/>
        </w:rPr>
        <w:t xml:space="preserve"> (and</w:t>
      </w:r>
      <w:r>
        <w:rPr>
          <w:rFonts w:eastAsia="Times New Roman" w:cstheme="minorHAnsi"/>
          <w:sz w:val="24"/>
          <w:szCs w:val="24"/>
        </w:rPr>
        <w:t xml:space="preserve">, </w:t>
      </w:r>
      <w:r w:rsidRPr="00900BED">
        <w:rPr>
          <w:rFonts w:eastAsia="Times New Roman" w:cstheme="minorHAnsi"/>
          <w:sz w:val="24"/>
          <w:szCs w:val="24"/>
        </w:rPr>
        <w:t>therefore</w:t>
      </w:r>
      <w:r>
        <w:rPr>
          <w:rFonts w:eastAsia="Times New Roman" w:cstheme="minorHAnsi"/>
          <w:sz w:val="24"/>
          <w:szCs w:val="24"/>
        </w:rPr>
        <w:t xml:space="preserve">, </w:t>
      </w:r>
      <w:r w:rsidRPr="00900BED">
        <w:rPr>
          <w:rFonts w:eastAsia="Times New Roman" w:cstheme="minorHAnsi"/>
          <w:sz w:val="24"/>
          <w:szCs w:val="24"/>
        </w:rPr>
        <w:t xml:space="preserve">appear in the </w:t>
      </w:r>
      <w:r>
        <w:rPr>
          <w:rFonts w:eastAsia="Times New Roman" w:cstheme="minorHAnsi"/>
          <w:sz w:val="24"/>
          <w:szCs w:val="24"/>
        </w:rPr>
        <w:t>BIT report</w:t>
      </w:r>
      <w:r w:rsidRPr="00900BED">
        <w:rPr>
          <w:rFonts w:eastAsia="Times New Roman" w:cstheme="minorHAnsi"/>
          <w:sz w:val="24"/>
          <w:szCs w:val="24"/>
        </w:rPr>
        <w:t xml:space="preserve"> cover</w:t>
      </w:r>
      <w:r>
        <w:rPr>
          <w:rFonts w:eastAsia="Times New Roman" w:cstheme="minorHAnsi"/>
          <w:sz w:val="24"/>
          <w:szCs w:val="24"/>
        </w:rPr>
        <w:t>ing</w:t>
      </w:r>
      <w:r w:rsidRPr="00900BED">
        <w:rPr>
          <w:rFonts w:eastAsia="Times New Roman" w:cstheme="minorHAnsi"/>
          <w:sz w:val="24"/>
          <w:szCs w:val="24"/>
        </w:rPr>
        <w:t xml:space="preserve"> th</w:t>
      </w:r>
      <w:r>
        <w:rPr>
          <w:rFonts w:eastAsia="Times New Roman" w:cstheme="minorHAnsi"/>
          <w:sz w:val="24"/>
          <w:szCs w:val="24"/>
        </w:rPr>
        <w:t>e</w:t>
      </w:r>
      <w:r w:rsidRPr="00900BED">
        <w:rPr>
          <w:rFonts w:eastAsia="Times New Roman" w:cstheme="minorHAnsi"/>
          <w:sz w:val="24"/>
          <w:szCs w:val="24"/>
        </w:rPr>
        <w:t xml:space="preserve"> </w:t>
      </w:r>
      <w:r>
        <w:rPr>
          <w:rFonts w:eastAsia="Times New Roman" w:cstheme="minorHAnsi"/>
          <w:sz w:val="24"/>
          <w:szCs w:val="24"/>
        </w:rPr>
        <w:t xml:space="preserve">implementation </w:t>
      </w:r>
      <w:r w:rsidRPr="00900BED">
        <w:rPr>
          <w:rFonts w:eastAsia="Times New Roman" w:cstheme="minorHAnsi"/>
          <w:sz w:val="24"/>
          <w:szCs w:val="24"/>
        </w:rPr>
        <w:t>date).</w:t>
      </w:r>
    </w:p>
    <w:p w:rsidR="0097370E" w:rsidRPr="00900BED" w:rsidRDefault="0097370E" w:rsidP="0097370E">
      <w:pPr>
        <w:spacing w:line="240" w:lineRule="auto"/>
        <w:rPr>
          <w:rFonts w:eastAsia="Times New Roman" w:cstheme="minorHAnsi"/>
          <w:sz w:val="24"/>
          <w:szCs w:val="24"/>
        </w:rPr>
      </w:pPr>
      <w:r>
        <w:rPr>
          <w:rFonts w:eastAsia="Times New Roman" w:cstheme="minorHAnsi"/>
          <w:sz w:val="24"/>
          <w:szCs w:val="24"/>
        </w:rPr>
        <w:t>In summary:</w:t>
      </w:r>
    </w:p>
    <w:p w:rsidR="0097370E" w:rsidRPr="0028304E" w:rsidRDefault="0097370E" w:rsidP="0097370E">
      <w:pPr>
        <w:numPr>
          <w:ilvl w:val="0"/>
          <w:numId w:val="37"/>
        </w:numPr>
        <w:spacing w:after="0" w:line="240" w:lineRule="auto"/>
        <w:contextualSpacing/>
        <w:rPr>
          <w:rFonts w:eastAsia="Times New Roman" w:cstheme="minorHAnsi"/>
          <w:sz w:val="24"/>
          <w:szCs w:val="24"/>
        </w:rPr>
      </w:pPr>
      <w:r w:rsidRPr="0028304E">
        <w:rPr>
          <w:rFonts w:eastAsia="Times New Roman" w:cstheme="minorHAnsi"/>
          <w:sz w:val="24"/>
          <w:szCs w:val="24"/>
        </w:rPr>
        <w:t>Primary legislation that, itself, has a direct impact on business, even without secondary legislation – a QRP and accounted for at the primary legislation stage implementation date(s).</w:t>
      </w:r>
      <w:r w:rsidRPr="0028304E">
        <w:rPr>
          <w:rFonts w:eastAsia="Times New Roman" w:cstheme="minorHAnsi"/>
          <w:sz w:val="24"/>
          <w:szCs w:val="24"/>
        </w:rPr>
        <w:br/>
      </w:r>
    </w:p>
    <w:p w:rsidR="0097370E" w:rsidRPr="000D15E0" w:rsidRDefault="0097370E" w:rsidP="0097370E">
      <w:pPr>
        <w:numPr>
          <w:ilvl w:val="0"/>
          <w:numId w:val="37"/>
        </w:numPr>
        <w:spacing w:after="0" w:line="240" w:lineRule="auto"/>
        <w:contextualSpacing/>
        <w:rPr>
          <w:rFonts w:eastAsia="Times New Roman" w:cstheme="minorHAnsi"/>
          <w:sz w:val="24"/>
          <w:szCs w:val="24"/>
        </w:rPr>
      </w:pPr>
      <w:r w:rsidRPr="000D15E0">
        <w:rPr>
          <w:rFonts w:eastAsia="Times New Roman" w:cstheme="minorHAnsi"/>
          <w:sz w:val="24"/>
          <w:szCs w:val="24"/>
        </w:rPr>
        <w:t xml:space="preserve">Primary legislation that, alone, has no direct impact on business but where use of a power, with related secondary legislation, has a direct impact on business – </w:t>
      </w:r>
      <w:r w:rsidRPr="000D15E0">
        <w:rPr>
          <w:rFonts w:eastAsia="Times New Roman" w:cstheme="minorHAnsi"/>
          <w:b/>
          <w:sz w:val="24"/>
          <w:szCs w:val="24"/>
        </w:rPr>
        <w:t>a QRP</w:t>
      </w:r>
      <w:r w:rsidRPr="000D15E0">
        <w:rPr>
          <w:rFonts w:eastAsia="Times New Roman" w:cstheme="minorHAnsi"/>
          <w:b/>
          <w:bCs/>
          <w:sz w:val="24"/>
          <w:szCs w:val="24"/>
        </w:rPr>
        <w:t xml:space="preserve"> at both the primary and secondary legislation stages but classified by the RPC at the primary legislation stage as fit for purpose but where an EANDCB figure is</w:t>
      </w:r>
      <w:r>
        <w:rPr>
          <w:rFonts w:eastAsia="Times New Roman" w:cstheme="minorHAnsi"/>
          <w:b/>
          <w:bCs/>
          <w:sz w:val="24"/>
          <w:szCs w:val="24"/>
        </w:rPr>
        <w:t xml:space="preserve"> validated as</w:t>
      </w:r>
      <w:r w:rsidRPr="000D15E0">
        <w:rPr>
          <w:rFonts w:eastAsia="Times New Roman" w:cstheme="minorHAnsi"/>
          <w:b/>
          <w:bCs/>
          <w:sz w:val="24"/>
          <w:szCs w:val="24"/>
        </w:rPr>
        <w:t xml:space="preserve"> “zero </w:t>
      </w:r>
      <w:r w:rsidRPr="000D15E0">
        <w:rPr>
          <w:rFonts w:eastAsia="Times New Roman" w:cstheme="minorHAnsi"/>
          <w:b/>
          <w:bCs/>
          <w:sz w:val="24"/>
          <w:szCs w:val="24"/>
          <w:u w:val="single"/>
        </w:rPr>
        <w:t>at this stage</w:t>
      </w:r>
      <w:r w:rsidRPr="000D15E0">
        <w:rPr>
          <w:rFonts w:eastAsia="Times New Roman" w:cstheme="minorHAnsi"/>
          <w:sz w:val="24"/>
          <w:szCs w:val="24"/>
        </w:rPr>
        <w:t>”. Direct impacts on business to be accounted for at the secondary legislation stage implementation date(s).</w:t>
      </w:r>
      <w:r w:rsidRPr="00461F9C">
        <w:rPr>
          <w:rFonts w:eastAsia="Times New Roman" w:cstheme="minorHAnsi"/>
          <w:b/>
          <w:sz w:val="24"/>
          <w:szCs w:val="24"/>
        </w:rPr>
        <w:t xml:space="preserve"> </w:t>
      </w:r>
      <w:r>
        <w:rPr>
          <w:rFonts w:eastAsia="Times New Roman" w:cstheme="minorHAnsi"/>
          <w:b/>
          <w:sz w:val="24"/>
          <w:szCs w:val="24"/>
        </w:rPr>
        <w:t>The opinion will note that a</w:t>
      </w:r>
      <w:r w:rsidRPr="00461F9C">
        <w:rPr>
          <w:rFonts w:eastAsia="Times New Roman" w:cstheme="minorHAnsi"/>
          <w:b/>
          <w:sz w:val="24"/>
          <w:szCs w:val="24"/>
        </w:rPr>
        <w:t xml:space="preserve"> further IA </w:t>
      </w:r>
      <w:r>
        <w:rPr>
          <w:rFonts w:eastAsia="Times New Roman" w:cstheme="minorHAnsi"/>
          <w:b/>
          <w:sz w:val="24"/>
          <w:szCs w:val="24"/>
        </w:rPr>
        <w:t xml:space="preserve">is </w:t>
      </w:r>
      <w:r w:rsidRPr="00461F9C">
        <w:rPr>
          <w:rFonts w:eastAsia="Times New Roman" w:cstheme="minorHAnsi"/>
          <w:b/>
          <w:sz w:val="24"/>
          <w:szCs w:val="24"/>
        </w:rPr>
        <w:t xml:space="preserve">to be submitted at the secondary legislation stage for validation of </w:t>
      </w:r>
      <w:r>
        <w:rPr>
          <w:rFonts w:eastAsia="Times New Roman" w:cstheme="minorHAnsi"/>
          <w:b/>
          <w:sz w:val="24"/>
          <w:szCs w:val="24"/>
        </w:rPr>
        <w:t xml:space="preserve">an </w:t>
      </w:r>
      <w:r w:rsidRPr="00461F9C">
        <w:rPr>
          <w:rFonts w:eastAsia="Times New Roman" w:cstheme="minorHAnsi"/>
          <w:b/>
          <w:sz w:val="24"/>
          <w:szCs w:val="24"/>
        </w:rPr>
        <w:t>EANDCB figure</w:t>
      </w:r>
      <w:r w:rsidRPr="000D15E0">
        <w:rPr>
          <w:rFonts w:eastAsia="Times New Roman" w:cstheme="minorHAnsi"/>
          <w:sz w:val="24"/>
          <w:szCs w:val="24"/>
        </w:rPr>
        <w:t>.</w:t>
      </w:r>
      <w:r w:rsidRPr="000D15E0">
        <w:rPr>
          <w:rFonts w:eastAsia="Times New Roman" w:cstheme="minorHAnsi"/>
          <w:sz w:val="24"/>
          <w:szCs w:val="24"/>
        </w:rPr>
        <w:br/>
      </w:r>
    </w:p>
    <w:p w:rsidR="0097370E" w:rsidRPr="0028304E" w:rsidRDefault="0097370E" w:rsidP="0097370E">
      <w:pPr>
        <w:numPr>
          <w:ilvl w:val="0"/>
          <w:numId w:val="37"/>
        </w:numPr>
        <w:spacing w:after="0" w:line="240" w:lineRule="auto"/>
        <w:contextualSpacing/>
        <w:rPr>
          <w:rFonts w:eastAsia="Times New Roman" w:cstheme="minorHAnsi"/>
          <w:b/>
          <w:sz w:val="24"/>
          <w:szCs w:val="24"/>
          <w:lang w:eastAsia="en-GB"/>
        </w:rPr>
      </w:pPr>
      <w:r w:rsidRPr="0028304E">
        <w:rPr>
          <w:rFonts w:eastAsia="Times New Roman" w:cstheme="minorHAnsi"/>
          <w:sz w:val="24"/>
          <w:szCs w:val="24"/>
        </w:rPr>
        <w:t>Primary legislation that has no direct impact on business and where the use of a power, with related secondary legislation, also has no direct impact on business but where the legislation is a regulatory provision – QRP but with EANDCB of zero.</w:t>
      </w:r>
    </w:p>
    <w:p w:rsidR="0097370E" w:rsidRDefault="0097370E" w:rsidP="0097370E">
      <w:pPr>
        <w:spacing w:after="0" w:line="240" w:lineRule="auto"/>
        <w:ind w:left="1080"/>
        <w:contextualSpacing/>
        <w:rPr>
          <w:rFonts w:eastAsia="Times New Roman" w:cstheme="minorHAnsi"/>
          <w:sz w:val="24"/>
          <w:szCs w:val="24"/>
        </w:rPr>
      </w:pPr>
    </w:p>
    <w:p w:rsidR="0097370E" w:rsidRDefault="0097370E" w:rsidP="0097370E">
      <w:pPr>
        <w:rPr>
          <w:rFonts w:cstheme="minorHAnsi"/>
          <w:color w:val="000000" w:themeColor="text1"/>
        </w:rPr>
      </w:pPr>
      <w:r w:rsidRPr="008452FC">
        <w:rPr>
          <w:rFonts w:cstheme="minorHAnsi"/>
          <w:color w:val="000000" w:themeColor="text1"/>
        </w:rPr>
        <w:t xml:space="preserve">(**Assuming the proposal is a regulatory provision and does not fall within </w:t>
      </w:r>
      <w:proofErr w:type="gramStart"/>
      <w:r w:rsidRPr="008452FC">
        <w:rPr>
          <w:rFonts w:cstheme="minorHAnsi"/>
          <w:color w:val="000000" w:themeColor="text1"/>
        </w:rPr>
        <w:t>a BIT</w:t>
      </w:r>
      <w:proofErr w:type="gramEnd"/>
      <w:r w:rsidRPr="008452FC">
        <w:rPr>
          <w:rFonts w:cstheme="minorHAnsi"/>
          <w:color w:val="000000" w:themeColor="text1"/>
        </w:rPr>
        <w:t xml:space="preserve"> exclusion. These exclusions are listed and described at </w:t>
      </w:r>
      <w:r>
        <w:rPr>
          <w:rFonts w:cstheme="minorHAnsi"/>
          <w:color w:val="000000" w:themeColor="text1"/>
        </w:rPr>
        <w:t>A</w:t>
      </w:r>
      <w:r w:rsidRPr="008452FC">
        <w:rPr>
          <w:rFonts w:cstheme="minorHAnsi"/>
          <w:color w:val="000000" w:themeColor="text1"/>
        </w:rPr>
        <w:t xml:space="preserve">nnex </w:t>
      </w:r>
      <w:r>
        <w:rPr>
          <w:rFonts w:cstheme="minorHAnsi"/>
          <w:color w:val="000000" w:themeColor="text1"/>
        </w:rPr>
        <w:t>1</w:t>
      </w:r>
      <w:r w:rsidRPr="008452FC">
        <w:rPr>
          <w:rFonts w:cstheme="minorHAnsi"/>
          <w:color w:val="000000" w:themeColor="text1"/>
        </w:rPr>
        <w:t xml:space="preserve"> in the new BRFM.)</w:t>
      </w:r>
    </w:p>
    <w:p w:rsidR="0097370E" w:rsidRPr="009E7CD5" w:rsidRDefault="0097370E" w:rsidP="0097370E">
      <w:pPr>
        <w:spacing w:after="60"/>
        <w:outlineLvl w:val="3"/>
        <w:rPr>
          <w:rFonts w:eastAsia="Times New Roman" w:cstheme="minorHAnsi"/>
          <w:b/>
          <w:sz w:val="24"/>
          <w:szCs w:val="24"/>
          <w:u w:val="single"/>
        </w:rPr>
      </w:pPr>
      <w:r w:rsidRPr="009E7CD5">
        <w:rPr>
          <w:rFonts w:eastAsia="Times New Roman" w:cstheme="minorHAnsi"/>
          <w:b/>
          <w:sz w:val="24"/>
          <w:szCs w:val="24"/>
          <w:u w:val="single"/>
        </w:rPr>
        <w:t>When should measures be accounted for under the BIT?</w:t>
      </w:r>
    </w:p>
    <w:p w:rsidR="0097370E" w:rsidRPr="009E7CD5" w:rsidRDefault="0097370E" w:rsidP="0097370E">
      <w:pPr>
        <w:tabs>
          <w:tab w:val="left" w:pos="1134"/>
        </w:tabs>
        <w:spacing w:after="240"/>
        <w:ind w:right="11"/>
        <w:rPr>
          <w:rFonts w:eastAsia="Times New Roman" w:cstheme="minorHAnsi"/>
          <w:sz w:val="24"/>
          <w:szCs w:val="24"/>
          <w:lang w:val="x-none" w:eastAsia="en-GB"/>
        </w:rPr>
      </w:pPr>
      <w:r>
        <w:rPr>
          <w:rFonts w:eastAsia="Times New Roman" w:cstheme="minorHAnsi"/>
          <w:sz w:val="24"/>
          <w:szCs w:val="24"/>
          <w:lang w:eastAsia="en-GB"/>
        </w:rPr>
        <w:t>A measure attributed to a change in regulation</w:t>
      </w:r>
      <w:r w:rsidRPr="009E7CD5">
        <w:rPr>
          <w:rFonts w:eastAsia="Times New Roman" w:cstheme="minorHAnsi"/>
          <w:sz w:val="24"/>
          <w:szCs w:val="24"/>
          <w:lang w:val="x-none" w:eastAsia="en-GB"/>
        </w:rPr>
        <w:t xml:space="preserve"> (for both primary and secondary legislation) </w:t>
      </w:r>
      <w:r>
        <w:rPr>
          <w:rFonts w:eastAsia="Times New Roman" w:cstheme="minorHAnsi"/>
          <w:sz w:val="24"/>
          <w:szCs w:val="24"/>
          <w:lang w:eastAsia="en-GB"/>
        </w:rPr>
        <w:t xml:space="preserve">is accounted for </w:t>
      </w:r>
      <w:r w:rsidRPr="009E7CD5">
        <w:rPr>
          <w:rFonts w:eastAsia="Times New Roman" w:cstheme="minorHAnsi"/>
          <w:sz w:val="24"/>
          <w:szCs w:val="24"/>
          <w:lang w:val="x-none" w:eastAsia="en-GB"/>
        </w:rPr>
        <w:t xml:space="preserve">under </w:t>
      </w:r>
      <w:r>
        <w:rPr>
          <w:rFonts w:eastAsia="Times New Roman" w:cstheme="minorHAnsi"/>
          <w:sz w:val="24"/>
          <w:szCs w:val="24"/>
          <w:lang w:eastAsia="en-GB"/>
        </w:rPr>
        <w:t>the BIT</w:t>
      </w:r>
      <w:r w:rsidRPr="009E7CD5">
        <w:rPr>
          <w:rFonts w:eastAsia="Times New Roman" w:cstheme="minorHAnsi"/>
          <w:sz w:val="24"/>
          <w:szCs w:val="24"/>
          <w:lang w:val="x-none" w:eastAsia="en-GB"/>
        </w:rPr>
        <w:t xml:space="preserve"> from the date the</w:t>
      </w:r>
      <w:r w:rsidRPr="009E7CD5">
        <w:rPr>
          <w:rFonts w:eastAsia="Times New Roman" w:cstheme="minorHAnsi"/>
          <w:sz w:val="24"/>
          <w:szCs w:val="24"/>
          <w:lang w:eastAsia="en-GB"/>
        </w:rPr>
        <w:t xml:space="preserve"> relevant legislation (or other implementing mechanism)</w:t>
      </w:r>
      <w:r w:rsidRPr="009E7CD5">
        <w:rPr>
          <w:rFonts w:eastAsia="Times New Roman" w:cstheme="minorHAnsi"/>
          <w:sz w:val="24"/>
          <w:szCs w:val="24"/>
          <w:lang w:val="x-none" w:eastAsia="en-GB"/>
        </w:rPr>
        <w:t xml:space="preserve"> comes into force, or (if applicable) expires or is revoked:</w:t>
      </w:r>
    </w:p>
    <w:p w:rsidR="0097370E" w:rsidRDefault="0097370E" w:rsidP="0097370E">
      <w:pPr>
        <w:pStyle w:val="ListParagraph"/>
        <w:numPr>
          <w:ilvl w:val="0"/>
          <w:numId w:val="38"/>
        </w:numPr>
        <w:tabs>
          <w:tab w:val="left" w:pos="1701"/>
        </w:tabs>
        <w:spacing w:after="120"/>
        <w:rPr>
          <w:rFonts w:eastAsia="Times New Roman" w:cstheme="minorHAnsi"/>
          <w:sz w:val="24"/>
          <w:szCs w:val="24"/>
        </w:rPr>
      </w:pPr>
      <w:r w:rsidRPr="00E04815">
        <w:rPr>
          <w:rFonts w:eastAsia="Times New Roman" w:cstheme="minorHAnsi"/>
          <w:sz w:val="24"/>
          <w:szCs w:val="24"/>
        </w:rPr>
        <w:t xml:space="preserve">Direct impacts on business from regulatory (or deregulatory) provisions contained in primary legislation should be </w:t>
      </w:r>
      <w:r>
        <w:rPr>
          <w:rFonts w:eastAsia="Times New Roman" w:cstheme="minorHAnsi"/>
          <w:sz w:val="24"/>
          <w:szCs w:val="24"/>
        </w:rPr>
        <w:t>accounted for under the BIT</w:t>
      </w:r>
      <w:r w:rsidRPr="00E04815">
        <w:rPr>
          <w:rFonts w:eastAsia="Times New Roman" w:cstheme="minorHAnsi"/>
          <w:sz w:val="24"/>
          <w:szCs w:val="24"/>
        </w:rPr>
        <w:t xml:space="preserve"> on the date the relevant provisions come into force</w:t>
      </w:r>
      <w:r>
        <w:rPr>
          <w:rFonts w:eastAsia="Times New Roman" w:cstheme="minorHAnsi"/>
          <w:sz w:val="24"/>
          <w:szCs w:val="24"/>
        </w:rPr>
        <w:t>.</w:t>
      </w:r>
      <w:r>
        <w:rPr>
          <w:rFonts w:eastAsia="Times New Roman" w:cstheme="minorHAnsi"/>
          <w:sz w:val="24"/>
          <w:szCs w:val="24"/>
        </w:rPr>
        <w:br/>
      </w:r>
    </w:p>
    <w:p w:rsidR="0097370E" w:rsidRPr="00741ECB" w:rsidRDefault="0097370E" w:rsidP="0097370E">
      <w:pPr>
        <w:pStyle w:val="ListParagraph"/>
        <w:numPr>
          <w:ilvl w:val="0"/>
          <w:numId w:val="38"/>
        </w:numPr>
        <w:tabs>
          <w:tab w:val="left" w:pos="1701"/>
        </w:tabs>
        <w:spacing w:after="120"/>
        <w:rPr>
          <w:rFonts w:eastAsia="Times New Roman" w:cstheme="minorHAnsi"/>
          <w:sz w:val="24"/>
          <w:szCs w:val="24"/>
        </w:rPr>
      </w:pPr>
      <w:r w:rsidRPr="009E7CD5">
        <w:rPr>
          <w:rFonts w:eastAsia="Times New Roman" w:cstheme="minorHAnsi"/>
          <w:sz w:val="24"/>
          <w:szCs w:val="24"/>
        </w:rPr>
        <w:t xml:space="preserve">Direct impacts on business from regulatory (or deregulatory) provisions contained in the secondary legislation should be </w:t>
      </w:r>
      <w:r>
        <w:rPr>
          <w:rFonts w:eastAsia="Times New Roman" w:cstheme="minorHAnsi"/>
          <w:sz w:val="24"/>
          <w:szCs w:val="24"/>
        </w:rPr>
        <w:t>accounted for under the BIT</w:t>
      </w:r>
      <w:r w:rsidRPr="009E7CD5">
        <w:rPr>
          <w:rFonts w:eastAsia="Times New Roman" w:cstheme="minorHAnsi"/>
          <w:sz w:val="24"/>
          <w:szCs w:val="24"/>
        </w:rPr>
        <w:t xml:space="preserve"> on the date that secondary legislation comes into force.</w:t>
      </w:r>
    </w:p>
    <w:p w:rsidR="0097370E" w:rsidRPr="000B6197" w:rsidRDefault="0097370E" w:rsidP="0097370E">
      <w:pPr>
        <w:rPr>
          <w:rFonts w:cstheme="minorHAnsi"/>
          <w:b/>
          <w:sz w:val="24"/>
          <w:szCs w:val="24"/>
          <w:u w:val="single"/>
        </w:rPr>
      </w:pPr>
      <w:r w:rsidRPr="000B6197">
        <w:rPr>
          <w:rFonts w:cstheme="minorHAnsi"/>
          <w:b/>
          <w:sz w:val="24"/>
          <w:szCs w:val="24"/>
          <w:u w:val="single"/>
        </w:rPr>
        <w:lastRenderedPageBreak/>
        <w:t>Other Issues</w:t>
      </w:r>
    </w:p>
    <w:p w:rsidR="0097370E" w:rsidRPr="00BA5393" w:rsidRDefault="0097370E" w:rsidP="0097370E">
      <w:pPr>
        <w:rPr>
          <w:rFonts w:cstheme="minorHAnsi"/>
          <w:sz w:val="24"/>
          <w:szCs w:val="24"/>
          <w:u w:val="single"/>
        </w:rPr>
      </w:pPr>
      <w:r w:rsidRPr="00BA5393">
        <w:rPr>
          <w:rFonts w:cstheme="minorHAnsi"/>
          <w:sz w:val="24"/>
          <w:szCs w:val="24"/>
          <w:u w:val="single"/>
        </w:rPr>
        <w:t>Qualification for the fast track</w:t>
      </w:r>
    </w:p>
    <w:p w:rsidR="0097370E" w:rsidRDefault="0097370E" w:rsidP="0097370E">
      <w:pPr>
        <w:rPr>
          <w:rFonts w:cstheme="minorHAnsi"/>
          <w:sz w:val="24"/>
          <w:szCs w:val="24"/>
        </w:rPr>
      </w:pPr>
      <w:r>
        <w:rPr>
          <w:rFonts w:cstheme="minorHAnsi"/>
          <w:sz w:val="24"/>
          <w:szCs w:val="24"/>
        </w:rPr>
        <w:t xml:space="preserve">To qualify for the fast track as a low-cost regulatory measure, the gross cost of the </w:t>
      </w:r>
      <w:r w:rsidRPr="00BA5393">
        <w:rPr>
          <w:rFonts w:cstheme="minorHAnsi"/>
          <w:sz w:val="24"/>
          <w:szCs w:val="24"/>
          <w:u w:val="single"/>
        </w:rPr>
        <w:t xml:space="preserve">overall </w:t>
      </w:r>
      <w:r>
        <w:rPr>
          <w:rFonts w:cstheme="minorHAnsi"/>
          <w:sz w:val="24"/>
          <w:szCs w:val="24"/>
          <w:u w:val="single"/>
        </w:rPr>
        <w:t xml:space="preserve">policy </w:t>
      </w:r>
      <w:r w:rsidRPr="00BA5393">
        <w:rPr>
          <w:rFonts w:cstheme="minorHAnsi"/>
          <w:sz w:val="24"/>
          <w:szCs w:val="24"/>
          <w:u w:val="single"/>
        </w:rPr>
        <w:t>proposal</w:t>
      </w:r>
      <w:r>
        <w:rPr>
          <w:rFonts w:cstheme="minorHAnsi"/>
          <w:sz w:val="24"/>
          <w:szCs w:val="24"/>
        </w:rPr>
        <w:t xml:space="preserve"> must not exceed £1 million in any year. Even if the gross cost of the impacts associated with the primary legislation is clearly less than £1 million in any year, a proposal is not suitable for the low-cost fast track route unless the department shows that the gross cost of both the primary and secondary legislation combined will not exceed £1 million in any year.</w:t>
      </w:r>
    </w:p>
    <w:p w:rsidR="0097370E" w:rsidRPr="00BB0884" w:rsidRDefault="0097370E" w:rsidP="0097370E">
      <w:pPr>
        <w:spacing w:after="0" w:line="240" w:lineRule="auto"/>
        <w:rPr>
          <w:rFonts w:cstheme="minorHAnsi"/>
          <w:sz w:val="24"/>
          <w:szCs w:val="24"/>
        </w:rPr>
      </w:pPr>
    </w:p>
    <w:p w:rsidR="0097370E" w:rsidRPr="002E1BAA" w:rsidRDefault="0097370E" w:rsidP="0097370E">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rPr>
          <w:rFonts w:cstheme="minorHAnsi"/>
          <w:b/>
          <w:color w:val="000000" w:themeColor="text1"/>
          <w:sz w:val="24"/>
          <w:szCs w:val="24"/>
        </w:rPr>
      </w:pPr>
      <w:r>
        <w:rPr>
          <w:rFonts w:eastAsiaTheme="majorEastAsia" w:cstheme="minorHAnsi"/>
          <w:b/>
          <w:bCs/>
          <w:iCs/>
          <w:color w:val="000000" w:themeColor="text1"/>
          <w:sz w:val="24"/>
          <w:szCs w:val="24"/>
        </w:rPr>
        <w:t>Football Governance</w:t>
      </w:r>
      <w:r w:rsidRPr="002E1BAA">
        <w:rPr>
          <w:rFonts w:eastAsiaTheme="majorEastAsia" w:cstheme="minorHAnsi"/>
          <w:b/>
          <w:bCs/>
          <w:iCs/>
          <w:color w:val="000000" w:themeColor="text1"/>
          <w:sz w:val="24"/>
          <w:szCs w:val="24"/>
        </w:rPr>
        <w:t xml:space="preserve"> (RPC1</w:t>
      </w:r>
      <w:r>
        <w:rPr>
          <w:rFonts w:eastAsiaTheme="majorEastAsia" w:cstheme="minorHAnsi"/>
          <w:b/>
          <w:bCs/>
          <w:iCs/>
          <w:color w:val="000000" w:themeColor="text1"/>
          <w:sz w:val="24"/>
          <w:szCs w:val="24"/>
        </w:rPr>
        <w:t>2</w:t>
      </w:r>
      <w:r w:rsidRPr="002E1BAA">
        <w:rPr>
          <w:rFonts w:eastAsiaTheme="majorEastAsia" w:cstheme="minorHAnsi"/>
          <w:b/>
          <w:bCs/>
          <w:iCs/>
          <w:color w:val="000000" w:themeColor="text1"/>
          <w:sz w:val="24"/>
          <w:szCs w:val="24"/>
        </w:rPr>
        <w:t>-</w:t>
      </w:r>
      <w:r>
        <w:rPr>
          <w:rFonts w:eastAsiaTheme="majorEastAsia" w:cstheme="minorHAnsi"/>
          <w:b/>
          <w:bCs/>
          <w:iCs/>
          <w:color w:val="000000" w:themeColor="text1"/>
          <w:sz w:val="24"/>
          <w:szCs w:val="24"/>
        </w:rPr>
        <w:t>FT-</w:t>
      </w:r>
      <w:r w:rsidRPr="002E1BAA">
        <w:rPr>
          <w:rFonts w:eastAsiaTheme="majorEastAsia" w:cstheme="minorHAnsi"/>
          <w:b/>
          <w:bCs/>
          <w:iCs/>
          <w:color w:val="000000" w:themeColor="text1"/>
          <w:sz w:val="24"/>
          <w:szCs w:val="24"/>
        </w:rPr>
        <w:t>DC</w:t>
      </w:r>
      <w:r>
        <w:rPr>
          <w:rFonts w:eastAsiaTheme="majorEastAsia" w:cstheme="minorHAnsi"/>
          <w:b/>
          <w:bCs/>
          <w:iCs/>
          <w:color w:val="000000" w:themeColor="text1"/>
          <w:sz w:val="24"/>
          <w:szCs w:val="24"/>
        </w:rPr>
        <w:t>MS</w:t>
      </w:r>
      <w:r w:rsidRPr="002E1BAA">
        <w:rPr>
          <w:rFonts w:eastAsiaTheme="majorEastAsia" w:cstheme="minorHAnsi"/>
          <w:b/>
          <w:bCs/>
          <w:iCs/>
          <w:color w:val="000000" w:themeColor="text1"/>
          <w:sz w:val="24"/>
          <w:szCs w:val="24"/>
        </w:rPr>
        <w:t>-</w:t>
      </w:r>
      <w:r>
        <w:rPr>
          <w:rFonts w:eastAsiaTheme="majorEastAsia" w:cstheme="minorHAnsi"/>
          <w:b/>
          <w:bCs/>
          <w:iCs/>
          <w:color w:val="000000" w:themeColor="text1"/>
          <w:sz w:val="24"/>
          <w:szCs w:val="24"/>
        </w:rPr>
        <w:t>1780</w:t>
      </w:r>
      <w:r w:rsidRPr="002E1BAA">
        <w:rPr>
          <w:rFonts w:eastAsiaTheme="majorEastAsia" w:cstheme="minorHAnsi"/>
          <w:b/>
          <w:bCs/>
          <w:iCs/>
          <w:color w:val="000000" w:themeColor="text1"/>
          <w:sz w:val="24"/>
          <w:szCs w:val="24"/>
        </w:rPr>
        <w:t>)</w:t>
      </w:r>
      <w:r w:rsidRPr="002E1BAA">
        <w:rPr>
          <w:rFonts w:cstheme="minorHAnsi"/>
          <w:b/>
          <w:color w:val="000000" w:themeColor="text1"/>
          <w:sz w:val="24"/>
          <w:szCs w:val="24"/>
        </w:rPr>
        <w:t xml:space="preserve"> </w:t>
      </w:r>
    </w:p>
    <w:p w:rsidR="0097370E" w:rsidRPr="00002706" w:rsidRDefault="0097370E" w:rsidP="0097370E">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rPr>
          <w:sz w:val="24"/>
          <w:szCs w:val="24"/>
        </w:rPr>
      </w:pPr>
      <w:r w:rsidRPr="00002706">
        <w:rPr>
          <w:rFonts w:cstheme="minorHAnsi"/>
          <w:sz w:val="24"/>
          <w:szCs w:val="24"/>
        </w:rPr>
        <w:t>The Department</w:t>
      </w:r>
      <w:r>
        <w:rPr>
          <w:rFonts w:cstheme="minorHAnsi"/>
          <w:sz w:val="24"/>
          <w:szCs w:val="24"/>
        </w:rPr>
        <w:t>’s</w:t>
      </w:r>
      <w:r w:rsidRPr="00002706">
        <w:rPr>
          <w:rFonts w:cstheme="minorHAnsi"/>
          <w:sz w:val="24"/>
          <w:szCs w:val="24"/>
        </w:rPr>
        <w:t xml:space="preserve"> assessment for </w:t>
      </w:r>
      <w:r>
        <w:rPr>
          <w:rFonts w:cstheme="minorHAnsi"/>
          <w:sz w:val="24"/>
          <w:szCs w:val="24"/>
        </w:rPr>
        <w:t xml:space="preserve">meeting </w:t>
      </w:r>
      <w:r w:rsidRPr="00002706">
        <w:rPr>
          <w:rFonts w:cstheme="minorHAnsi"/>
          <w:sz w:val="24"/>
          <w:szCs w:val="24"/>
        </w:rPr>
        <w:t xml:space="preserve">the </w:t>
      </w:r>
      <w:r>
        <w:rPr>
          <w:rFonts w:cstheme="minorHAnsi"/>
          <w:sz w:val="24"/>
          <w:szCs w:val="24"/>
        </w:rPr>
        <w:t>low-</w:t>
      </w:r>
      <w:r w:rsidRPr="00002706">
        <w:rPr>
          <w:rFonts w:cstheme="minorHAnsi"/>
          <w:sz w:val="24"/>
          <w:szCs w:val="24"/>
        </w:rPr>
        <w:t>cost fast track threshold considered only what it described as the “</w:t>
      </w:r>
      <w:r w:rsidRPr="00002706">
        <w:rPr>
          <w:sz w:val="24"/>
          <w:szCs w:val="24"/>
        </w:rPr>
        <w:t xml:space="preserve">three direct measures” in the Bill (such as changes to the Football Association Board).  It did not consider the element of the Bill relating to licensing requirements as it </w:t>
      </w:r>
      <w:r w:rsidRPr="00002706">
        <w:rPr>
          <w:i/>
          <w:iCs/>
          <w:sz w:val="24"/>
          <w:szCs w:val="24"/>
        </w:rPr>
        <w:t xml:space="preserve">is “only to introduce an enabling power for secondary legislation”. </w:t>
      </w:r>
      <w:r w:rsidRPr="00002706">
        <w:rPr>
          <w:sz w:val="24"/>
          <w:szCs w:val="24"/>
        </w:rPr>
        <w:t xml:space="preserve"> The RPC could not confirm the proposal as low cost and stated that </w:t>
      </w:r>
      <w:r>
        <w:rPr>
          <w:sz w:val="24"/>
          <w:szCs w:val="24"/>
        </w:rPr>
        <w:t xml:space="preserve">the Department needed to provide </w:t>
      </w:r>
      <w:r w:rsidRPr="00002706">
        <w:rPr>
          <w:sz w:val="24"/>
          <w:szCs w:val="24"/>
        </w:rPr>
        <w:t>a more detailed assessment of the likely impacts of the licensing requirements</w:t>
      </w:r>
      <w:r>
        <w:rPr>
          <w:sz w:val="24"/>
          <w:szCs w:val="24"/>
        </w:rPr>
        <w:t>,</w:t>
      </w:r>
      <w:r w:rsidRPr="00002706">
        <w:rPr>
          <w:sz w:val="24"/>
          <w:szCs w:val="24"/>
        </w:rPr>
        <w:t xml:space="preserve"> should they be introduced through secondary legislation.</w:t>
      </w:r>
    </w:p>
    <w:p w:rsidR="0097370E" w:rsidRPr="00943B58" w:rsidRDefault="0097370E" w:rsidP="0097370E">
      <w:pPr>
        <w:rPr>
          <w:rFonts w:eastAsia="Times New Roman" w:cstheme="minorHAnsi"/>
          <w:color w:val="000000" w:themeColor="text1"/>
          <w:sz w:val="24"/>
          <w:szCs w:val="24"/>
          <w:u w:val="single"/>
          <w:lang w:eastAsia="en-GB"/>
        </w:rPr>
      </w:pPr>
      <w:r w:rsidRPr="00943B58">
        <w:rPr>
          <w:rFonts w:eastAsia="Times New Roman" w:cstheme="minorHAnsi"/>
          <w:color w:val="000000" w:themeColor="text1"/>
          <w:sz w:val="24"/>
          <w:szCs w:val="24"/>
          <w:u w:val="single"/>
          <w:lang w:eastAsia="en-GB"/>
        </w:rPr>
        <w:t>‘Voluntary’ measures</w:t>
      </w:r>
    </w:p>
    <w:p w:rsidR="0097370E" w:rsidRDefault="0097370E" w:rsidP="0097370E">
      <w:pPr>
        <w:rPr>
          <w:rFonts w:eastAsia="Times New Roman" w:cstheme="minorHAnsi"/>
          <w:b/>
          <w:color w:val="000000" w:themeColor="text1"/>
          <w:sz w:val="24"/>
          <w:szCs w:val="24"/>
          <w:lang w:eastAsia="en-GB"/>
        </w:rPr>
      </w:pPr>
      <w:r w:rsidRPr="00943B58">
        <w:rPr>
          <w:rFonts w:eastAsia="Times New Roman" w:cstheme="minorHAnsi"/>
          <w:color w:val="000000" w:themeColor="text1"/>
          <w:sz w:val="24"/>
          <w:szCs w:val="24"/>
          <w:lang w:eastAsia="en-GB"/>
        </w:rPr>
        <w:t>I</w:t>
      </w:r>
      <w:r>
        <w:rPr>
          <w:rFonts w:eastAsia="Times New Roman" w:cstheme="minorHAnsi"/>
          <w:color w:val="000000" w:themeColor="text1"/>
          <w:sz w:val="24"/>
          <w:szCs w:val="24"/>
          <w:lang w:eastAsia="en-GB"/>
        </w:rPr>
        <w:t xml:space="preserve">n some cases, </w:t>
      </w:r>
      <w:r w:rsidRPr="00943B58">
        <w:rPr>
          <w:rFonts w:eastAsia="Times New Roman" w:cstheme="minorHAnsi"/>
          <w:color w:val="000000" w:themeColor="text1"/>
          <w:sz w:val="24"/>
          <w:szCs w:val="24"/>
          <w:lang w:eastAsia="en-GB"/>
        </w:rPr>
        <w:t xml:space="preserve">primary legislation </w:t>
      </w:r>
      <w:r>
        <w:rPr>
          <w:rFonts w:eastAsia="Times New Roman" w:cstheme="minorHAnsi"/>
          <w:color w:val="000000" w:themeColor="text1"/>
          <w:sz w:val="24"/>
          <w:szCs w:val="24"/>
          <w:lang w:eastAsia="en-GB"/>
        </w:rPr>
        <w:t>will provide the Government with power to require businesses to do something if they do not agree to do it ‘voluntarily’. Unless it can be shown that businesses are genuinely already doing this of their free will, then the cost to business of the ‘voluntary’ measure will be considered to be a direct cost to business and, if a QRP, accounted for BIT purposes.</w:t>
      </w:r>
    </w:p>
    <w:p w:rsidR="0097370E" w:rsidRPr="00BB0884" w:rsidRDefault="0097370E" w:rsidP="0097370E">
      <w:pPr>
        <w:spacing w:after="0" w:line="240" w:lineRule="auto"/>
        <w:rPr>
          <w:rFonts w:cstheme="minorHAnsi"/>
          <w:sz w:val="24"/>
          <w:szCs w:val="24"/>
        </w:rPr>
      </w:pPr>
    </w:p>
    <w:p w:rsidR="0097370E" w:rsidRPr="002E1BAA" w:rsidRDefault="0097370E" w:rsidP="0097370E">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rPr>
          <w:rFonts w:cstheme="minorHAnsi"/>
          <w:b/>
          <w:color w:val="000000" w:themeColor="text1"/>
          <w:sz w:val="24"/>
          <w:szCs w:val="24"/>
        </w:rPr>
      </w:pPr>
      <w:r w:rsidRPr="002E1BAA">
        <w:rPr>
          <w:rFonts w:eastAsiaTheme="majorEastAsia" w:cstheme="minorHAnsi"/>
          <w:b/>
          <w:bCs/>
          <w:iCs/>
          <w:color w:val="000000" w:themeColor="text1"/>
          <w:sz w:val="24"/>
          <w:szCs w:val="24"/>
        </w:rPr>
        <w:t>Community right to buy into renewable electricity developments (RPC14-DECC-2027)</w:t>
      </w:r>
      <w:r w:rsidRPr="002E1BAA">
        <w:rPr>
          <w:rFonts w:cstheme="minorHAnsi"/>
          <w:b/>
          <w:color w:val="000000" w:themeColor="text1"/>
          <w:sz w:val="24"/>
          <w:szCs w:val="24"/>
        </w:rPr>
        <w:t xml:space="preserve"> </w:t>
      </w:r>
    </w:p>
    <w:p w:rsidR="0097370E" w:rsidRDefault="0097370E" w:rsidP="0097370E">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rPr>
          <w:rFonts w:cstheme="minorHAnsi"/>
          <w:sz w:val="24"/>
          <w:szCs w:val="24"/>
        </w:rPr>
      </w:pPr>
      <w:r w:rsidRPr="00BB0884">
        <w:rPr>
          <w:rFonts w:cstheme="minorHAnsi"/>
          <w:sz w:val="24"/>
          <w:szCs w:val="24"/>
        </w:rPr>
        <w:t xml:space="preserve">This policy aimed to help encourage more support for renewable electricity developments by giving local community groups a right to buy into projects. The intention was that this would be done with industry on a voluntary basis with primary powers being taken as a backstop if agreement was not reached. The consultation stage IA correctly identified the measure as an IN with the cost to energy companies of complying with the regulation </w:t>
      </w:r>
      <w:r>
        <w:rPr>
          <w:rFonts w:cstheme="minorHAnsi"/>
          <w:sz w:val="24"/>
          <w:szCs w:val="24"/>
        </w:rPr>
        <w:t xml:space="preserve">as </w:t>
      </w:r>
      <w:r w:rsidRPr="00BB0884">
        <w:rPr>
          <w:rFonts w:cstheme="minorHAnsi"/>
          <w:sz w:val="24"/>
          <w:szCs w:val="24"/>
        </w:rPr>
        <w:t>a direct cost to business. (</w:t>
      </w:r>
      <w:hyperlink r:id="rId61" w:history="1">
        <w:r w:rsidRPr="006C0DF5">
          <w:rPr>
            <w:rFonts w:cstheme="minorHAnsi"/>
            <w:color w:val="0000FF"/>
            <w:sz w:val="24"/>
            <w:szCs w:val="24"/>
            <w:u w:val="single"/>
          </w:rPr>
          <w:t>IA</w:t>
        </w:r>
      </w:hyperlink>
      <w:r w:rsidRPr="00BB0884">
        <w:rPr>
          <w:rFonts w:cstheme="minorHAnsi"/>
          <w:sz w:val="24"/>
          <w:szCs w:val="24"/>
        </w:rPr>
        <w:t>) (</w:t>
      </w:r>
      <w:hyperlink r:id="rId62" w:history="1">
        <w:r w:rsidRPr="006C0DF5">
          <w:rPr>
            <w:rFonts w:cstheme="minorHAnsi"/>
            <w:color w:val="0000FF"/>
            <w:sz w:val="24"/>
            <w:szCs w:val="24"/>
            <w:u w:val="single"/>
          </w:rPr>
          <w:t>Opinion</w:t>
        </w:r>
      </w:hyperlink>
      <w:r w:rsidRPr="00BB0884">
        <w:rPr>
          <w:rFonts w:cstheme="minorHAnsi"/>
          <w:sz w:val="24"/>
          <w:szCs w:val="24"/>
        </w:rPr>
        <w:t>)</w:t>
      </w:r>
    </w:p>
    <w:p w:rsidR="0097370E" w:rsidRPr="006855A9" w:rsidRDefault="0097370E" w:rsidP="0097370E">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rPr>
          <w:rFonts w:cstheme="minorHAnsi"/>
          <w:sz w:val="24"/>
          <w:szCs w:val="24"/>
        </w:rPr>
      </w:pPr>
      <w:r>
        <w:rPr>
          <w:sz w:val="24"/>
          <w:szCs w:val="24"/>
        </w:rPr>
        <w:t>See also Football Governance case above, where t</w:t>
      </w:r>
      <w:r w:rsidRPr="00002706">
        <w:rPr>
          <w:sz w:val="24"/>
          <w:szCs w:val="24"/>
        </w:rPr>
        <w:t>he Department’s</w:t>
      </w:r>
      <w:r>
        <w:rPr>
          <w:sz w:val="24"/>
          <w:szCs w:val="24"/>
        </w:rPr>
        <w:t xml:space="preserve"> fast track assessment stated</w:t>
      </w:r>
      <w:r w:rsidRPr="00002706">
        <w:rPr>
          <w:sz w:val="24"/>
          <w:szCs w:val="24"/>
        </w:rPr>
        <w:t xml:space="preserve"> that the preferred outcome would be that </w:t>
      </w:r>
      <w:r w:rsidRPr="00002706">
        <w:rPr>
          <w:i/>
          <w:iCs/>
          <w:sz w:val="24"/>
          <w:szCs w:val="24"/>
        </w:rPr>
        <w:t>“the threat of legislation puts pressure on the football authorities to implement their reform proposals”</w:t>
      </w:r>
      <w:r>
        <w:rPr>
          <w:i/>
          <w:iCs/>
          <w:sz w:val="24"/>
          <w:szCs w:val="24"/>
        </w:rPr>
        <w:t>.</w:t>
      </w:r>
    </w:p>
    <w:p w:rsidR="00A161A5" w:rsidRDefault="00A161A5" w:rsidP="00CE5B54">
      <w:pPr>
        <w:pStyle w:val="ListParagraph"/>
        <w:spacing w:after="120"/>
        <w:ind w:left="0"/>
        <w:rPr>
          <w:b/>
          <w:color w:val="E36C0A" w:themeColor="accent6" w:themeShade="BF"/>
          <w:sz w:val="32"/>
          <w:szCs w:val="32"/>
        </w:rPr>
      </w:pPr>
      <w:bookmarkStart w:id="18" w:name="Competition"/>
      <w:bookmarkStart w:id="19" w:name="Timelimited"/>
      <w:bookmarkStart w:id="20" w:name="NMW"/>
      <w:bookmarkEnd w:id="18"/>
      <w:bookmarkEnd w:id="19"/>
      <w:bookmarkEnd w:id="20"/>
    </w:p>
    <w:p w:rsidR="00CE5B54" w:rsidRPr="00CD10DA" w:rsidRDefault="00A161A5" w:rsidP="00CE5B54">
      <w:pPr>
        <w:pStyle w:val="ListParagraph"/>
        <w:spacing w:after="120"/>
        <w:ind w:left="0"/>
        <w:rPr>
          <w:rFonts w:eastAsia="Times New Roman" w:cstheme="minorHAnsi"/>
          <w:b/>
          <w:color w:val="E36C0A" w:themeColor="accent6" w:themeShade="BF"/>
          <w:sz w:val="24"/>
          <w:szCs w:val="24"/>
        </w:rPr>
      </w:pPr>
      <w:r>
        <w:rPr>
          <w:b/>
          <w:color w:val="E36C0A" w:themeColor="accent6" w:themeShade="BF"/>
          <w:sz w:val="32"/>
          <w:szCs w:val="32"/>
        </w:rPr>
        <w:lastRenderedPageBreak/>
        <w:t>Section 7</w:t>
      </w:r>
      <w:r w:rsidR="00833335">
        <w:rPr>
          <w:b/>
          <w:color w:val="E36C0A" w:themeColor="accent6" w:themeShade="BF"/>
          <w:sz w:val="32"/>
          <w:szCs w:val="32"/>
        </w:rPr>
        <w:t>: M</w:t>
      </w:r>
      <w:r w:rsidR="00CE5B54">
        <w:rPr>
          <w:b/>
          <w:color w:val="E36C0A" w:themeColor="accent6" w:themeShade="BF"/>
          <w:sz w:val="32"/>
          <w:szCs w:val="32"/>
        </w:rPr>
        <w:t>ethodological issues concerning regulators</w:t>
      </w:r>
    </w:p>
    <w:p w:rsidR="00CE5B54" w:rsidRPr="00A23053" w:rsidRDefault="00CE5B54" w:rsidP="00CE5B54">
      <w:pPr>
        <w:rPr>
          <w:b/>
          <w:sz w:val="24"/>
          <w:szCs w:val="24"/>
        </w:rPr>
      </w:pPr>
      <w:r w:rsidRPr="00A23053">
        <w:rPr>
          <w:b/>
          <w:sz w:val="24"/>
          <w:szCs w:val="24"/>
        </w:rPr>
        <w:t>Note that BIT exclusions K to L4 relate to regulator activities only and will be covered in a future RPC case histories document on issues specifically affecting regulators. In the meantime, this section covers issues relating to the activities of regulators that arose during OITO.</w:t>
      </w:r>
    </w:p>
    <w:p w:rsidR="00CE5B54" w:rsidRDefault="00A161A5" w:rsidP="00CE5B54">
      <w:pPr>
        <w:rPr>
          <w:rFonts w:cstheme="minorHAnsi"/>
          <w:b/>
          <w:color w:val="984806" w:themeColor="accent6" w:themeShade="80"/>
          <w:sz w:val="28"/>
          <w:szCs w:val="24"/>
        </w:rPr>
      </w:pPr>
      <w:r>
        <w:rPr>
          <w:rFonts w:cstheme="minorHAnsi"/>
          <w:b/>
          <w:color w:val="984806" w:themeColor="accent6" w:themeShade="80"/>
          <w:sz w:val="28"/>
          <w:szCs w:val="24"/>
        </w:rPr>
        <w:t>7</w:t>
      </w:r>
      <w:r w:rsidR="00CE5B54">
        <w:rPr>
          <w:rFonts w:cstheme="minorHAnsi"/>
          <w:b/>
          <w:color w:val="984806" w:themeColor="accent6" w:themeShade="80"/>
          <w:sz w:val="28"/>
          <w:szCs w:val="24"/>
        </w:rPr>
        <w:t>.1</w:t>
      </w:r>
      <w:r w:rsidR="00CE5B54" w:rsidRPr="000A3296">
        <w:rPr>
          <w:rFonts w:cstheme="minorHAnsi"/>
          <w:b/>
          <w:color w:val="984806" w:themeColor="accent6" w:themeShade="80"/>
          <w:sz w:val="28"/>
          <w:szCs w:val="24"/>
        </w:rPr>
        <w:t xml:space="preserve"> </w:t>
      </w:r>
      <w:r w:rsidR="00CE5B54">
        <w:rPr>
          <w:rFonts w:cstheme="minorHAnsi"/>
          <w:b/>
          <w:color w:val="984806" w:themeColor="accent6" w:themeShade="80"/>
          <w:sz w:val="28"/>
          <w:szCs w:val="24"/>
        </w:rPr>
        <w:t>Changes in the costs of industry funded regulators</w:t>
      </w:r>
    </w:p>
    <w:p w:rsidR="00CE5B54" w:rsidRPr="000A3296" w:rsidRDefault="00CE5B54" w:rsidP="00CE5B54">
      <w:pPr>
        <w:rPr>
          <w:rFonts w:eastAsia="Times New Roman" w:cstheme="minorHAnsi"/>
          <w:sz w:val="24"/>
          <w:szCs w:val="24"/>
          <w:lang w:eastAsia="en-GB"/>
        </w:rPr>
      </w:pPr>
      <w:r w:rsidRPr="000A3296">
        <w:rPr>
          <w:rFonts w:cstheme="minorHAnsi"/>
          <w:sz w:val="24"/>
          <w:szCs w:val="24"/>
        </w:rPr>
        <w:t xml:space="preserve">This section provides guidance </w:t>
      </w:r>
      <w:r>
        <w:rPr>
          <w:rFonts w:cstheme="minorHAnsi"/>
          <w:sz w:val="24"/>
          <w:szCs w:val="24"/>
        </w:rPr>
        <w:t>to</w:t>
      </w:r>
      <w:r w:rsidRPr="000A3296">
        <w:rPr>
          <w:rFonts w:cstheme="minorHAnsi"/>
          <w:sz w:val="24"/>
          <w:szCs w:val="24"/>
        </w:rPr>
        <w:t xml:space="preserve"> departments and regulators where regulatory proposals result in costs </w:t>
      </w:r>
      <w:r w:rsidRPr="006F3631">
        <w:rPr>
          <w:rFonts w:eastAsia="Times New Roman" w:cstheme="minorHAnsi"/>
          <w:sz w:val="24"/>
          <w:szCs w:val="24"/>
          <w:lang w:eastAsia="en-GB"/>
        </w:rPr>
        <w:t>to regulators</w:t>
      </w:r>
      <w:r w:rsidRPr="000A3296">
        <w:rPr>
          <w:rFonts w:eastAsia="Times New Roman" w:cstheme="minorHAnsi"/>
          <w:sz w:val="24"/>
          <w:szCs w:val="24"/>
          <w:lang w:eastAsia="en-GB"/>
        </w:rPr>
        <w:t xml:space="preserve"> </w:t>
      </w:r>
      <w:r>
        <w:rPr>
          <w:rFonts w:eastAsia="Times New Roman" w:cstheme="minorHAnsi"/>
          <w:sz w:val="24"/>
          <w:szCs w:val="24"/>
          <w:lang w:eastAsia="en-GB"/>
        </w:rPr>
        <w:t>that are funded by industry</w:t>
      </w:r>
      <w:r w:rsidRPr="000A3296">
        <w:rPr>
          <w:rFonts w:eastAsia="Times New Roman" w:cstheme="minorHAnsi"/>
          <w:sz w:val="24"/>
          <w:szCs w:val="24"/>
          <w:lang w:eastAsia="en-GB"/>
        </w:rPr>
        <w:t>.</w:t>
      </w:r>
      <w:r w:rsidRPr="000A3296">
        <w:rPr>
          <w:rFonts w:cstheme="minorHAnsi"/>
          <w:sz w:val="24"/>
          <w:szCs w:val="24"/>
        </w:rPr>
        <w:t xml:space="preserve"> </w:t>
      </w:r>
    </w:p>
    <w:p w:rsidR="00CE5B54" w:rsidRDefault="00CE5B54" w:rsidP="00CE5B54">
      <w:pPr>
        <w:rPr>
          <w:rFonts w:eastAsia="Times New Roman" w:cstheme="minorHAnsi"/>
          <w:sz w:val="24"/>
          <w:szCs w:val="24"/>
          <w:lang w:eastAsia="en-GB"/>
        </w:rPr>
      </w:pPr>
      <w:r>
        <w:rPr>
          <w:rFonts w:eastAsia="Times New Roman" w:cstheme="minorHAnsi"/>
          <w:sz w:val="24"/>
          <w:szCs w:val="24"/>
          <w:lang w:eastAsia="en-GB"/>
        </w:rPr>
        <w:t>T</w:t>
      </w:r>
      <w:r w:rsidRPr="000A3296">
        <w:rPr>
          <w:rFonts w:eastAsia="Times New Roman" w:cstheme="minorHAnsi"/>
          <w:sz w:val="24"/>
          <w:szCs w:val="24"/>
          <w:lang w:eastAsia="en-GB"/>
        </w:rPr>
        <w:t>he department or regulator should assume that the additional costs recovered from the industry as a result of the proposal would be a direct cost to business and, therefore, should be included in the calculation of the EAN</w:t>
      </w:r>
      <w:r>
        <w:rPr>
          <w:rFonts w:eastAsia="Times New Roman" w:cstheme="minorHAnsi"/>
          <w:sz w:val="24"/>
          <w:szCs w:val="24"/>
          <w:lang w:eastAsia="en-GB"/>
        </w:rPr>
        <w:t>D</w:t>
      </w:r>
      <w:r w:rsidRPr="000A3296">
        <w:rPr>
          <w:rFonts w:eastAsia="Times New Roman" w:cstheme="minorHAnsi"/>
          <w:sz w:val="24"/>
          <w:szCs w:val="24"/>
          <w:lang w:eastAsia="en-GB"/>
        </w:rPr>
        <w:t>CB</w:t>
      </w:r>
      <w:r>
        <w:rPr>
          <w:rFonts w:eastAsia="Times New Roman" w:cstheme="minorHAnsi"/>
          <w:sz w:val="24"/>
          <w:szCs w:val="24"/>
          <w:lang w:eastAsia="en-GB"/>
        </w:rPr>
        <w:t xml:space="preserve"> figure</w:t>
      </w:r>
      <w:r w:rsidRPr="000A3296">
        <w:rPr>
          <w:rFonts w:eastAsia="Times New Roman" w:cstheme="minorHAnsi"/>
          <w:sz w:val="24"/>
          <w:szCs w:val="24"/>
          <w:lang w:eastAsia="en-GB"/>
        </w:rPr>
        <w:t xml:space="preserve">. </w:t>
      </w:r>
    </w:p>
    <w:p w:rsidR="00CE5B54" w:rsidRPr="000A3296" w:rsidRDefault="00CE5B54" w:rsidP="00CE5B54">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sz w:val="24"/>
          <w:szCs w:val="24"/>
          <w:lang w:eastAsia="en-GB"/>
        </w:rPr>
      </w:pPr>
      <w:r>
        <w:rPr>
          <w:rFonts w:eastAsia="Times New Roman" w:cstheme="minorHAnsi"/>
          <w:b/>
          <w:sz w:val="24"/>
          <w:szCs w:val="24"/>
          <w:lang w:eastAsia="en-GB"/>
        </w:rPr>
        <w:t>T</w:t>
      </w:r>
      <w:r w:rsidRPr="00753182">
        <w:rPr>
          <w:rFonts w:eastAsia="Times New Roman" w:cstheme="minorHAnsi"/>
          <w:b/>
          <w:sz w:val="24"/>
          <w:szCs w:val="24"/>
          <w:lang w:eastAsia="en-GB"/>
        </w:rPr>
        <w:t>he appointment of small businesses</w:t>
      </w:r>
      <w:r>
        <w:rPr>
          <w:rFonts w:eastAsia="Times New Roman" w:cstheme="minorHAnsi"/>
          <w:b/>
          <w:sz w:val="24"/>
          <w:szCs w:val="24"/>
          <w:lang w:eastAsia="en-GB"/>
        </w:rPr>
        <w:t xml:space="preserve"> </w:t>
      </w:r>
      <w:r w:rsidRPr="00753182">
        <w:rPr>
          <w:rFonts w:eastAsia="Times New Roman" w:cstheme="minorHAnsi"/>
          <w:b/>
          <w:sz w:val="24"/>
          <w:szCs w:val="24"/>
          <w:lang w:eastAsia="en-GB"/>
        </w:rPr>
        <w:t>appeals champions</w:t>
      </w:r>
      <w:r w:rsidRPr="000A3296">
        <w:rPr>
          <w:rFonts w:eastAsia="Times New Roman" w:cstheme="minorHAnsi"/>
          <w:b/>
          <w:sz w:val="24"/>
          <w:szCs w:val="24"/>
          <w:lang w:eastAsia="en-GB"/>
        </w:rPr>
        <w:t xml:space="preserve"> (RPC14-</w:t>
      </w:r>
      <w:r>
        <w:rPr>
          <w:rFonts w:eastAsia="Times New Roman" w:cstheme="minorHAnsi"/>
          <w:b/>
          <w:sz w:val="24"/>
          <w:szCs w:val="24"/>
          <w:lang w:eastAsia="en-GB"/>
        </w:rPr>
        <w:t>BIS</w:t>
      </w:r>
      <w:r w:rsidRPr="000A3296">
        <w:rPr>
          <w:rFonts w:eastAsia="Times New Roman" w:cstheme="minorHAnsi"/>
          <w:b/>
          <w:sz w:val="24"/>
          <w:szCs w:val="24"/>
          <w:lang w:eastAsia="en-GB"/>
        </w:rPr>
        <w:t>-20</w:t>
      </w:r>
      <w:r>
        <w:rPr>
          <w:rFonts w:eastAsia="Times New Roman" w:cstheme="minorHAnsi"/>
          <w:b/>
          <w:sz w:val="24"/>
          <w:szCs w:val="24"/>
          <w:lang w:eastAsia="en-GB"/>
        </w:rPr>
        <w:t>21(2)</w:t>
      </w:r>
      <w:r w:rsidRPr="000A3296">
        <w:rPr>
          <w:rFonts w:eastAsia="Times New Roman" w:cstheme="minorHAnsi"/>
          <w:b/>
          <w:sz w:val="24"/>
          <w:szCs w:val="24"/>
          <w:lang w:eastAsia="en-GB"/>
        </w:rPr>
        <w:t xml:space="preserve">): </w:t>
      </w:r>
    </w:p>
    <w:p w:rsidR="00CE5B54" w:rsidRDefault="00CE5B54" w:rsidP="00CE5B54">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sz w:val="24"/>
          <w:szCs w:val="24"/>
          <w:lang w:eastAsia="en-GB"/>
        </w:rPr>
      </w:pPr>
      <w:r w:rsidRPr="00F13014">
        <w:rPr>
          <w:rFonts w:eastAsia="Times New Roman" w:cstheme="minorHAnsi"/>
          <w:sz w:val="24"/>
          <w:szCs w:val="24"/>
          <w:lang w:eastAsia="en-GB"/>
        </w:rPr>
        <w:t>The Department propose</w:t>
      </w:r>
      <w:r>
        <w:rPr>
          <w:rFonts w:eastAsia="Times New Roman" w:cstheme="minorHAnsi"/>
          <w:sz w:val="24"/>
          <w:szCs w:val="24"/>
          <w:lang w:eastAsia="en-GB"/>
        </w:rPr>
        <w:t>d</w:t>
      </w:r>
      <w:r w:rsidRPr="00F13014">
        <w:rPr>
          <w:rFonts w:eastAsia="Times New Roman" w:cstheme="minorHAnsi"/>
          <w:sz w:val="24"/>
          <w:szCs w:val="24"/>
          <w:lang w:eastAsia="en-GB"/>
        </w:rPr>
        <w:t xml:space="preserve"> to legislate to appoint an </w:t>
      </w:r>
      <w:r>
        <w:rPr>
          <w:rFonts w:eastAsia="Times New Roman" w:cstheme="minorHAnsi"/>
          <w:sz w:val="24"/>
          <w:szCs w:val="24"/>
          <w:lang w:eastAsia="en-GB"/>
        </w:rPr>
        <w:t xml:space="preserve">independent </w:t>
      </w:r>
      <w:r w:rsidRPr="00F13014">
        <w:rPr>
          <w:rFonts w:eastAsia="Times New Roman" w:cstheme="minorHAnsi"/>
          <w:sz w:val="24"/>
          <w:szCs w:val="24"/>
          <w:lang w:eastAsia="en-GB"/>
        </w:rPr>
        <w:t>SBAC within</w:t>
      </w:r>
      <w:r>
        <w:rPr>
          <w:rFonts w:eastAsia="Times New Roman" w:cstheme="minorHAnsi"/>
          <w:sz w:val="24"/>
          <w:szCs w:val="24"/>
          <w:lang w:eastAsia="en-GB"/>
        </w:rPr>
        <w:t xml:space="preserve"> </w:t>
      </w:r>
      <w:r w:rsidRPr="00F13014">
        <w:rPr>
          <w:rFonts w:eastAsia="Times New Roman" w:cstheme="minorHAnsi"/>
          <w:sz w:val="24"/>
          <w:szCs w:val="24"/>
          <w:lang w:eastAsia="en-GB"/>
        </w:rPr>
        <w:t xml:space="preserve">each of the non-economic regulators. This </w:t>
      </w:r>
      <w:r>
        <w:rPr>
          <w:rFonts w:eastAsia="Times New Roman" w:cstheme="minorHAnsi"/>
          <w:sz w:val="24"/>
          <w:szCs w:val="24"/>
          <w:lang w:eastAsia="en-GB"/>
        </w:rPr>
        <w:t>was</w:t>
      </w:r>
      <w:r w:rsidRPr="00F13014">
        <w:rPr>
          <w:rFonts w:eastAsia="Times New Roman" w:cstheme="minorHAnsi"/>
          <w:sz w:val="24"/>
          <w:szCs w:val="24"/>
          <w:lang w:eastAsia="en-GB"/>
        </w:rPr>
        <w:t xml:space="preserve"> to provide assurance to business</w:t>
      </w:r>
      <w:r>
        <w:rPr>
          <w:rFonts w:eastAsia="Times New Roman" w:cstheme="minorHAnsi"/>
          <w:sz w:val="24"/>
          <w:szCs w:val="24"/>
          <w:lang w:eastAsia="en-GB"/>
        </w:rPr>
        <w:t xml:space="preserve"> </w:t>
      </w:r>
      <w:r w:rsidRPr="00F13014">
        <w:rPr>
          <w:rFonts w:eastAsia="Times New Roman" w:cstheme="minorHAnsi"/>
          <w:sz w:val="24"/>
          <w:szCs w:val="24"/>
          <w:lang w:eastAsia="en-GB"/>
        </w:rPr>
        <w:t>and government that regulators are delivering against the goals relating to appeals</w:t>
      </w:r>
      <w:r>
        <w:rPr>
          <w:rFonts w:eastAsia="Times New Roman" w:cstheme="minorHAnsi"/>
          <w:sz w:val="24"/>
          <w:szCs w:val="24"/>
          <w:lang w:eastAsia="en-GB"/>
        </w:rPr>
        <w:t xml:space="preserve"> </w:t>
      </w:r>
      <w:r w:rsidRPr="00F13014">
        <w:rPr>
          <w:rFonts w:eastAsia="Times New Roman" w:cstheme="minorHAnsi"/>
          <w:sz w:val="24"/>
          <w:szCs w:val="24"/>
          <w:lang w:eastAsia="en-GB"/>
        </w:rPr>
        <w:t>and complaints set out in the new statutory Regulators’ Code.</w:t>
      </w:r>
      <w:r>
        <w:rPr>
          <w:rFonts w:eastAsia="Times New Roman" w:cstheme="minorHAnsi"/>
          <w:sz w:val="24"/>
          <w:szCs w:val="24"/>
          <w:lang w:eastAsia="en-GB"/>
        </w:rPr>
        <w:t xml:space="preserve"> At final stage the Department addressed a comment from the RPC that</w:t>
      </w:r>
      <w:r w:rsidRPr="00F13014">
        <w:rPr>
          <w:rFonts w:eastAsia="Times New Roman" w:cstheme="minorHAnsi"/>
          <w:sz w:val="24"/>
          <w:szCs w:val="24"/>
          <w:lang w:eastAsia="en-GB"/>
        </w:rPr>
        <w:t xml:space="preserve"> the equivalent annual net cost to business (EANCB) figure </w:t>
      </w:r>
      <w:r>
        <w:rPr>
          <w:rFonts w:eastAsia="Times New Roman" w:cstheme="minorHAnsi"/>
          <w:sz w:val="24"/>
          <w:szCs w:val="24"/>
          <w:lang w:eastAsia="en-GB"/>
        </w:rPr>
        <w:t>should</w:t>
      </w:r>
      <w:r w:rsidRPr="00F13014">
        <w:rPr>
          <w:rFonts w:eastAsia="Times New Roman" w:cstheme="minorHAnsi"/>
          <w:sz w:val="24"/>
          <w:szCs w:val="24"/>
          <w:lang w:eastAsia="en-GB"/>
        </w:rPr>
        <w:t xml:space="preserve"> include</w:t>
      </w:r>
      <w:r>
        <w:rPr>
          <w:rFonts w:eastAsia="Times New Roman" w:cstheme="minorHAnsi"/>
          <w:sz w:val="24"/>
          <w:szCs w:val="24"/>
          <w:lang w:eastAsia="en-GB"/>
        </w:rPr>
        <w:t xml:space="preserve"> </w:t>
      </w:r>
      <w:r w:rsidRPr="00F13014">
        <w:rPr>
          <w:rFonts w:eastAsia="Times New Roman" w:cstheme="minorHAnsi"/>
          <w:sz w:val="24"/>
          <w:szCs w:val="24"/>
          <w:lang w:eastAsia="en-GB"/>
        </w:rPr>
        <w:t xml:space="preserve">the costs relating to </w:t>
      </w:r>
      <w:r>
        <w:rPr>
          <w:rFonts w:eastAsia="Times New Roman" w:cstheme="minorHAnsi"/>
          <w:sz w:val="24"/>
          <w:szCs w:val="24"/>
          <w:lang w:eastAsia="en-GB"/>
        </w:rPr>
        <w:t xml:space="preserve">SBAC </w:t>
      </w:r>
      <w:r w:rsidRPr="00F13014">
        <w:rPr>
          <w:rFonts w:eastAsia="Times New Roman" w:cstheme="minorHAnsi"/>
          <w:sz w:val="24"/>
          <w:szCs w:val="24"/>
          <w:lang w:eastAsia="en-GB"/>
        </w:rPr>
        <w:t xml:space="preserve">that will be recovered from business. The </w:t>
      </w:r>
      <w:r>
        <w:rPr>
          <w:rFonts w:eastAsia="Times New Roman" w:cstheme="minorHAnsi"/>
          <w:sz w:val="24"/>
          <w:szCs w:val="24"/>
          <w:lang w:eastAsia="en-GB"/>
        </w:rPr>
        <w:t xml:space="preserve">final </w:t>
      </w:r>
      <w:r w:rsidRPr="00F13014">
        <w:rPr>
          <w:rFonts w:eastAsia="Times New Roman" w:cstheme="minorHAnsi"/>
          <w:sz w:val="24"/>
          <w:szCs w:val="24"/>
          <w:lang w:eastAsia="en-GB"/>
        </w:rPr>
        <w:t xml:space="preserve">EANCB </w:t>
      </w:r>
      <w:r>
        <w:rPr>
          <w:rFonts w:eastAsia="Times New Roman" w:cstheme="minorHAnsi"/>
          <w:sz w:val="24"/>
          <w:szCs w:val="24"/>
          <w:lang w:eastAsia="en-GB"/>
        </w:rPr>
        <w:t xml:space="preserve">figure was </w:t>
      </w:r>
      <w:r w:rsidRPr="00F13014">
        <w:rPr>
          <w:rFonts w:eastAsia="Times New Roman" w:cstheme="minorHAnsi"/>
          <w:sz w:val="24"/>
          <w:szCs w:val="24"/>
          <w:lang w:eastAsia="en-GB"/>
        </w:rPr>
        <w:t xml:space="preserve">estimated from cost data provided by regulators and </w:t>
      </w:r>
      <w:r>
        <w:rPr>
          <w:rFonts w:eastAsia="Times New Roman" w:cstheme="minorHAnsi"/>
          <w:sz w:val="24"/>
          <w:szCs w:val="24"/>
          <w:lang w:eastAsia="en-GB"/>
        </w:rPr>
        <w:t xml:space="preserve">was </w:t>
      </w:r>
      <w:proofErr w:type="gramStart"/>
      <w:r>
        <w:rPr>
          <w:rFonts w:eastAsia="Times New Roman" w:cstheme="minorHAnsi"/>
          <w:sz w:val="24"/>
          <w:szCs w:val="24"/>
          <w:lang w:eastAsia="en-GB"/>
        </w:rPr>
        <w:t>validated  by</w:t>
      </w:r>
      <w:proofErr w:type="gramEnd"/>
      <w:r>
        <w:rPr>
          <w:rFonts w:eastAsia="Times New Roman" w:cstheme="minorHAnsi"/>
          <w:sz w:val="24"/>
          <w:szCs w:val="24"/>
          <w:lang w:eastAsia="en-GB"/>
        </w:rPr>
        <w:t xml:space="preserve"> the RPC</w:t>
      </w:r>
      <w:r w:rsidRPr="00F13014">
        <w:rPr>
          <w:rFonts w:eastAsia="Times New Roman" w:cstheme="minorHAnsi"/>
          <w:sz w:val="24"/>
          <w:szCs w:val="24"/>
          <w:lang w:eastAsia="en-GB"/>
        </w:rPr>
        <w:t>.</w:t>
      </w:r>
    </w:p>
    <w:p w:rsidR="00CE5B54" w:rsidRPr="000A3296" w:rsidRDefault="00CE5B54" w:rsidP="00CE5B54">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sz w:val="24"/>
          <w:szCs w:val="24"/>
          <w:lang w:eastAsia="en-GB"/>
        </w:rPr>
      </w:pPr>
    </w:p>
    <w:p w:rsidR="00CE5B54" w:rsidRDefault="00CE5B54" w:rsidP="00CE5B54">
      <w:pPr>
        <w:spacing w:after="0"/>
        <w:rPr>
          <w:rFonts w:eastAsia="Times New Roman" w:cstheme="minorHAnsi"/>
          <w:sz w:val="24"/>
          <w:szCs w:val="24"/>
          <w:lang w:eastAsia="en-GB"/>
        </w:rPr>
      </w:pPr>
    </w:p>
    <w:p w:rsidR="00CE5B54" w:rsidRPr="00CF7EC8" w:rsidRDefault="00CE5B54" w:rsidP="00CE5B54">
      <w:pPr>
        <w:spacing w:after="0"/>
        <w:rPr>
          <w:rFonts w:eastAsia="Times New Roman" w:cstheme="minorHAnsi"/>
          <w:sz w:val="24"/>
          <w:szCs w:val="24"/>
          <w:lang w:eastAsia="en-GB"/>
        </w:rPr>
      </w:pPr>
      <w:r>
        <w:rPr>
          <w:rFonts w:eastAsia="Times New Roman" w:cstheme="minorHAnsi"/>
          <w:sz w:val="24"/>
          <w:szCs w:val="24"/>
          <w:lang w:eastAsia="en-GB"/>
        </w:rPr>
        <w:t>Any increase in costs that are stated as</w:t>
      </w:r>
      <w:r w:rsidRPr="00CF7EC8">
        <w:rPr>
          <w:rFonts w:eastAsia="Times New Roman" w:cstheme="minorHAnsi"/>
          <w:sz w:val="24"/>
          <w:szCs w:val="24"/>
          <w:lang w:eastAsia="en-GB"/>
        </w:rPr>
        <w:t xml:space="preserve"> “absorbed” </w:t>
      </w:r>
      <w:r>
        <w:rPr>
          <w:rFonts w:eastAsia="Times New Roman" w:cstheme="minorHAnsi"/>
          <w:sz w:val="24"/>
          <w:szCs w:val="24"/>
          <w:lang w:eastAsia="en-GB"/>
        </w:rPr>
        <w:t xml:space="preserve">by regulators </w:t>
      </w:r>
      <w:r w:rsidRPr="00CF7EC8">
        <w:rPr>
          <w:rFonts w:eastAsia="Times New Roman" w:cstheme="minorHAnsi"/>
          <w:sz w:val="24"/>
          <w:szCs w:val="24"/>
          <w:lang w:eastAsia="en-GB"/>
        </w:rPr>
        <w:t xml:space="preserve">should </w:t>
      </w:r>
      <w:r>
        <w:rPr>
          <w:rFonts w:eastAsia="Times New Roman" w:cstheme="minorHAnsi"/>
          <w:sz w:val="24"/>
          <w:szCs w:val="24"/>
          <w:lang w:eastAsia="en-GB"/>
        </w:rPr>
        <w:t xml:space="preserve">also normally </w:t>
      </w:r>
      <w:r w:rsidRPr="00CF7EC8">
        <w:rPr>
          <w:rFonts w:eastAsia="Times New Roman" w:cstheme="minorHAnsi"/>
          <w:sz w:val="24"/>
          <w:szCs w:val="24"/>
          <w:lang w:eastAsia="en-GB"/>
        </w:rPr>
        <w:t>be treated as a direct cost to business. This reflect</w:t>
      </w:r>
      <w:r>
        <w:rPr>
          <w:rFonts w:eastAsia="Times New Roman" w:cstheme="minorHAnsi"/>
          <w:sz w:val="24"/>
          <w:szCs w:val="24"/>
          <w:lang w:eastAsia="en-GB"/>
        </w:rPr>
        <w:t>s</w:t>
      </w:r>
      <w:r w:rsidRPr="00CF7EC8">
        <w:rPr>
          <w:rFonts w:eastAsia="Times New Roman" w:cstheme="minorHAnsi"/>
          <w:sz w:val="24"/>
          <w:szCs w:val="24"/>
          <w:lang w:eastAsia="en-GB"/>
        </w:rPr>
        <w:t xml:space="preserve"> that, in the counterfactual, the costs to business would be lower because it should be assumed that the regulator’s efficiency savings would have been passed to them </w:t>
      </w:r>
      <w:r>
        <w:rPr>
          <w:rFonts w:eastAsia="Times New Roman" w:cstheme="minorHAnsi"/>
          <w:sz w:val="24"/>
          <w:szCs w:val="24"/>
          <w:lang w:eastAsia="en-GB"/>
        </w:rPr>
        <w:t>(</w:t>
      </w:r>
      <w:r w:rsidRPr="00CF7EC8">
        <w:rPr>
          <w:rFonts w:eastAsia="Times New Roman" w:cstheme="minorHAnsi"/>
          <w:sz w:val="24"/>
          <w:szCs w:val="24"/>
          <w:lang w:eastAsia="en-GB"/>
        </w:rPr>
        <w:t xml:space="preserve">in the form of a reduction in </w:t>
      </w:r>
      <w:r>
        <w:rPr>
          <w:rFonts w:eastAsia="Times New Roman" w:cstheme="minorHAnsi"/>
          <w:sz w:val="24"/>
          <w:szCs w:val="24"/>
          <w:lang w:eastAsia="en-GB"/>
        </w:rPr>
        <w:t>fees/charges)</w:t>
      </w:r>
      <w:r w:rsidRPr="00CF7EC8">
        <w:rPr>
          <w:rFonts w:eastAsia="Times New Roman" w:cstheme="minorHAnsi"/>
          <w:sz w:val="24"/>
          <w:szCs w:val="24"/>
          <w:lang w:eastAsia="en-GB"/>
        </w:rPr>
        <w:t>.</w:t>
      </w:r>
    </w:p>
    <w:p w:rsidR="00CE5B54" w:rsidRPr="000A3296" w:rsidRDefault="00CE5B54" w:rsidP="00CE5B54">
      <w:pPr>
        <w:rPr>
          <w:rFonts w:eastAsia="Times New Roman" w:cstheme="minorHAnsi"/>
          <w:b/>
          <w:sz w:val="24"/>
          <w:szCs w:val="24"/>
          <w:lang w:eastAsia="en-GB"/>
        </w:rPr>
      </w:pPr>
    </w:p>
    <w:p w:rsidR="00CE5B54" w:rsidRPr="000A3296" w:rsidRDefault="00CE5B54" w:rsidP="00CE5B54">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sz w:val="24"/>
          <w:szCs w:val="24"/>
          <w:lang w:eastAsia="en-GB"/>
        </w:rPr>
      </w:pPr>
      <w:r w:rsidRPr="000A3296">
        <w:rPr>
          <w:rFonts w:eastAsia="Times New Roman" w:cstheme="minorHAnsi"/>
          <w:b/>
          <w:sz w:val="24"/>
          <w:szCs w:val="24"/>
          <w:lang w:eastAsia="en-GB"/>
        </w:rPr>
        <w:t xml:space="preserve">REMIT criminal sanctions (RPC14-DECC-2076(3)): </w:t>
      </w:r>
      <w:r w:rsidRPr="000A3296">
        <w:rPr>
          <w:rFonts w:eastAsia="Times New Roman" w:cstheme="minorHAnsi"/>
          <w:sz w:val="24"/>
          <w:szCs w:val="24"/>
          <w:lang w:eastAsia="en-GB"/>
        </w:rPr>
        <w:t xml:space="preserve">the REMIT proposal resulted in expected additional costs to </w:t>
      </w:r>
      <w:proofErr w:type="spellStart"/>
      <w:r w:rsidRPr="000A3296">
        <w:rPr>
          <w:rFonts w:eastAsia="Times New Roman" w:cstheme="minorHAnsi"/>
          <w:sz w:val="24"/>
          <w:szCs w:val="24"/>
          <w:lang w:eastAsia="en-GB"/>
        </w:rPr>
        <w:t>Ofgem</w:t>
      </w:r>
      <w:proofErr w:type="spellEnd"/>
      <w:r w:rsidRPr="000A3296">
        <w:rPr>
          <w:rFonts w:eastAsia="Times New Roman" w:cstheme="minorHAnsi"/>
          <w:sz w:val="24"/>
          <w:szCs w:val="24"/>
          <w:lang w:eastAsia="en-GB"/>
        </w:rPr>
        <w:t xml:space="preserve"> (for illustration only as the business impact target excludes economic regulation of natural monopoly markets) due to the undertaking of a number of new criminal investigations each year. According to the department, </w:t>
      </w:r>
      <w:proofErr w:type="spellStart"/>
      <w:r w:rsidRPr="000A3296">
        <w:rPr>
          <w:rFonts w:eastAsia="Times New Roman" w:cstheme="minorHAnsi"/>
          <w:sz w:val="24"/>
          <w:szCs w:val="24"/>
          <w:lang w:eastAsia="en-GB"/>
        </w:rPr>
        <w:t>Ofgem</w:t>
      </w:r>
      <w:proofErr w:type="spellEnd"/>
      <w:r w:rsidRPr="000A3296">
        <w:rPr>
          <w:rFonts w:eastAsia="Times New Roman" w:cstheme="minorHAnsi"/>
          <w:sz w:val="24"/>
          <w:szCs w:val="24"/>
          <w:lang w:eastAsia="en-GB"/>
        </w:rPr>
        <w:t xml:space="preserve"> was not proposing to increase the cost of the licence fee to industry to recover the additional cost of investigations. However, as </w:t>
      </w:r>
      <w:proofErr w:type="spellStart"/>
      <w:r w:rsidRPr="000A3296">
        <w:rPr>
          <w:rFonts w:eastAsia="Times New Roman" w:cstheme="minorHAnsi"/>
          <w:sz w:val="24"/>
          <w:szCs w:val="24"/>
          <w:lang w:eastAsia="en-GB"/>
        </w:rPr>
        <w:t>Ofgem</w:t>
      </w:r>
      <w:proofErr w:type="spellEnd"/>
      <w:r w:rsidRPr="000A3296">
        <w:rPr>
          <w:rFonts w:eastAsia="Times New Roman" w:cstheme="minorHAnsi"/>
          <w:sz w:val="24"/>
          <w:szCs w:val="24"/>
          <w:lang w:eastAsia="en-GB"/>
        </w:rPr>
        <w:t xml:space="preserve"> is funded by industry, in effect, any increase in cost to the regulator represents a foregone cost saving to business and should, therefore, be treated as a direct cost to business and included in the EANCB. This is most obviously the case where the IA states that the regulator will pay for these additional costs through efficiency savings. </w:t>
      </w:r>
    </w:p>
    <w:p w:rsidR="00CE5B54" w:rsidRPr="000A3296" w:rsidRDefault="00CE5B54" w:rsidP="00CE5B54">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sz w:val="24"/>
          <w:szCs w:val="24"/>
          <w:lang w:eastAsia="en-GB"/>
        </w:rPr>
      </w:pPr>
    </w:p>
    <w:p w:rsidR="00CE5B54" w:rsidRDefault="00CE5B54" w:rsidP="00CE5B54">
      <w:pPr>
        <w:spacing w:after="0"/>
        <w:rPr>
          <w:rFonts w:cstheme="minorHAnsi"/>
          <w:sz w:val="24"/>
          <w:szCs w:val="24"/>
        </w:rPr>
      </w:pPr>
      <w:r w:rsidRPr="00CF7EC8">
        <w:rPr>
          <w:rFonts w:eastAsia="Times New Roman" w:cstheme="minorHAnsi"/>
          <w:sz w:val="24"/>
          <w:szCs w:val="24"/>
          <w:lang w:eastAsia="en-GB"/>
        </w:rPr>
        <w:lastRenderedPageBreak/>
        <w:t xml:space="preserve">In some cases it may not be proportionate to monetise “absorbed costs”. </w:t>
      </w:r>
      <w:r>
        <w:rPr>
          <w:rFonts w:eastAsia="Times New Roman" w:cstheme="minorHAnsi"/>
          <w:sz w:val="24"/>
          <w:szCs w:val="24"/>
          <w:lang w:eastAsia="en-GB"/>
        </w:rPr>
        <w:t xml:space="preserve">If the </w:t>
      </w:r>
      <w:r w:rsidRPr="000A3296">
        <w:rPr>
          <w:rFonts w:cstheme="minorHAnsi"/>
          <w:sz w:val="24"/>
          <w:szCs w:val="24"/>
        </w:rPr>
        <w:t xml:space="preserve">impacts are very small, they may be viewed as small variations on “business as usual” costs. </w:t>
      </w:r>
      <w:r>
        <w:rPr>
          <w:rFonts w:cstheme="minorHAnsi"/>
          <w:sz w:val="24"/>
          <w:szCs w:val="24"/>
        </w:rPr>
        <w:t>However, t</w:t>
      </w:r>
      <w:r w:rsidRPr="000A3296">
        <w:rPr>
          <w:rFonts w:cstheme="minorHAnsi"/>
          <w:sz w:val="24"/>
          <w:szCs w:val="24"/>
        </w:rPr>
        <w:t>his is a very particular exception.</w:t>
      </w:r>
    </w:p>
    <w:p w:rsidR="00CE5B54" w:rsidRPr="000A3296" w:rsidRDefault="00CE5B54" w:rsidP="00CE5B54">
      <w:pPr>
        <w:spacing w:after="0"/>
        <w:rPr>
          <w:rFonts w:eastAsia="Times New Roman" w:cstheme="minorHAnsi"/>
          <w:sz w:val="24"/>
          <w:szCs w:val="24"/>
          <w:lang w:eastAsia="en-GB"/>
        </w:rPr>
      </w:pPr>
    </w:p>
    <w:p w:rsidR="00CE5B54" w:rsidRDefault="00A161A5" w:rsidP="00CE5B54">
      <w:pPr>
        <w:rPr>
          <w:rFonts w:cstheme="minorHAnsi"/>
          <w:b/>
          <w:color w:val="984806" w:themeColor="accent6" w:themeShade="80"/>
          <w:sz w:val="28"/>
          <w:szCs w:val="24"/>
        </w:rPr>
      </w:pPr>
      <w:r>
        <w:rPr>
          <w:rFonts w:cstheme="minorHAnsi"/>
          <w:b/>
          <w:color w:val="984806" w:themeColor="accent6" w:themeShade="80"/>
          <w:sz w:val="28"/>
          <w:szCs w:val="24"/>
        </w:rPr>
        <w:t>7</w:t>
      </w:r>
      <w:r w:rsidR="00CE5B54">
        <w:rPr>
          <w:rFonts w:cstheme="minorHAnsi"/>
          <w:b/>
          <w:color w:val="984806" w:themeColor="accent6" w:themeShade="80"/>
          <w:sz w:val="28"/>
          <w:szCs w:val="24"/>
        </w:rPr>
        <w:t>.2</w:t>
      </w:r>
      <w:r w:rsidR="00CE5B54" w:rsidRPr="000A3296">
        <w:rPr>
          <w:rFonts w:cstheme="minorHAnsi"/>
          <w:b/>
          <w:color w:val="984806" w:themeColor="accent6" w:themeShade="80"/>
          <w:sz w:val="28"/>
          <w:szCs w:val="24"/>
        </w:rPr>
        <w:t xml:space="preserve"> </w:t>
      </w:r>
      <w:r w:rsidR="00CE5B54">
        <w:rPr>
          <w:rFonts w:cstheme="minorHAnsi"/>
          <w:b/>
          <w:color w:val="984806" w:themeColor="accent6" w:themeShade="80"/>
          <w:sz w:val="28"/>
          <w:szCs w:val="24"/>
        </w:rPr>
        <w:t xml:space="preserve">The scoring of costs to business as a result of an independent regulator complying with the requirements of </w:t>
      </w:r>
      <w:proofErr w:type="gramStart"/>
      <w:r w:rsidR="00CE5B54">
        <w:rPr>
          <w:rFonts w:cstheme="minorHAnsi"/>
          <w:b/>
          <w:color w:val="984806" w:themeColor="accent6" w:themeShade="80"/>
          <w:sz w:val="28"/>
          <w:szCs w:val="24"/>
        </w:rPr>
        <w:t>a</w:t>
      </w:r>
      <w:proofErr w:type="gramEnd"/>
      <w:r w:rsidR="00CE5B54">
        <w:rPr>
          <w:rFonts w:cstheme="minorHAnsi"/>
          <w:b/>
          <w:color w:val="984806" w:themeColor="accent6" w:themeShade="80"/>
          <w:sz w:val="28"/>
          <w:szCs w:val="24"/>
        </w:rPr>
        <w:t xml:space="preserve"> EU Directive or domestic legislation</w:t>
      </w:r>
    </w:p>
    <w:p w:rsidR="00CE5B54" w:rsidRPr="000A3296" w:rsidRDefault="00CE5B54" w:rsidP="00CE5B54">
      <w:pPr>
        <w:rPr>
          <w:rFonts w:cstheme="minorHAnsi"/>
        </w:rPr>
      </w:pPr>
      <w:r w:rsidRPr="001B0009">
        <w:rPr>
          <w:rFonts w:eastAsia="Times New Roman" w:cstheme="minorHAnsi"/>
          <w:sz w:val="24"/>
          <w:szCs w:val="24"/>
          <w:lang w:eastAsia="en-GB"/>
        </w:rPr>
        <w:t xml:space="preserve">The impacts of actions by economic regulators, such as the Financial Conduct Authority (FCA), </w:t>
      </w:r>
      <w:r>
        <w:rPr>
          <w:rFonts w:eastAsia="Times New Roman" w:cstheme="minorHAnsi"/>
          <w:sz w:val="24"/>
          <w:szCs w:val="24"/>
          <w:lang w:eastAsia="en-GB"/>
        </w:rPr>
        <w:t>were</w:t>
      </w:r>
      <w:r w:rsidRPr="001B0009">
        <w:rPr>
          <w:rFonts w:eastAsia="Times New Roman" w:cstheme="minorHAnsi"/>
          <w:sz w:val="24"/>
          <w:szCs w:val="24"/>
          <w:lang w:eastAsia="en-GB"/>
        </w:rPr>
        <w:t xml:space="preserve"> not in scope of OITO. However, when a department place</w:t>
      </w:r>
      <w:r>
        <w:rPr>
          <w:rFonts w:eastAsia="Times New Roman" w:cstheme="minorHAnsi"/>
          <w:sz w:val="24"/>
          <w:szCs w:val="24"/>
          <w:lang w:eastAsia="en-GB"/>
        </w:rPr>
        <w:t>d</w:t>
      </w:r>
      <w:r w:rsidRPr="001B0009">
        <w:rPr>
          <w:rFonts w:eastAsia="Times New Roman" w:cstheme="minorHAnsi"/>
          <w:sz w:val="24"/>
          <w:szCs w:val="24"/>
          <w:lang w:eastAsia="en-GB"/>
        </w:rPr>
        <w:t xml:space="preserve"> a requirement on a regulator to achieve specified outcomes, then the impacts of this </w:t>
      </w:r>
      <w:r>
        <w:rPr>
          <w:rFonts w:eastAsia="Times New Roman" w:cstheme="minorHAnsi"/>
          <w:sz w:val="24"/>
          <w:szCs w:val="24"/>
          <w:lang w:eastAsia="en-GB"/>
        </w:rPr>
        <w:t>were</w:t>
      </w:r>
      <w:r w:rsidRPr="001B0009">
        <w:rPr>
          <w:rFonts w:eastAsia="Times New Roman" w:cstheme="minorHAnsi"/>
          <w:sz w:val="24"/>
          <w:szCs w:val="24"/>
          <w:lang w:eastAsia="en-GB"/>
        </w:rPr>
        <w:t xml:space="preserve"> treated as in scope of </w:t>
      </w:r>
      <w:r>
        <w:rPr>
          <w:rFonts w:eastAsia="Times New Roman" w:cstheme="minorHAnsi"/>
          <w:sz w:val="24"/>
          <w:szCs w:val="24"/>
          <w:lang w:eastAsia="en-GB"/>
        </w:rPr>
        <w:t xml:space="preserve">the </w:t>
      </w:r>
      <w:r w:rsidRPr="001B0009">
        <w:rPr>
          <w:rFonts w:eastAsia="Times New Roman" w:cstheme="minorHAnsi"/>
          <w:sz w:val="24"/>
          <w:szCs w:val="24"/>
          <w:lang w:eastAsia="en-GB"/>
        </w:rPr>
        <w:t xml:space="preserve">OITO. </w:t>
      </w:r>
    </w:p>
    <w:p w:rsidR="00CE5B54" w:rsidRPr="000A3296" w:rsidRDefault="00CE5B54" w:rsidP="00CE5B54">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rPr>
          <w:rFonts w:eastAsia="Times New Roman" w:cstheme="minorHAnsi"/>
          <w:sz w:val="24"/>
          <w:szCs w:val="24"/>
          <w:lang w:eastAsia="en-GB"/>
        </w:rPr>
      </w:pPr>
      <w:r w:rsidRPr="000A3296">
        <w:rPr>
          <w:rFonts w:eastAsia="Times New Roman" w:cstheme="minorHAnsi"/>
          <w:b/>
          <w:sz w:val="24"/>
          <w:szCs w:val="24"/>
          <w:lang w:eastAsia="en-GB"/>
        </w:rPr>
        <w:t xml:space="preserve">Amendment to the Financial Services (Banking Reform) Bill - restricting charges for high-cost short term credit (payday loans) (RPC13-HMT-1984): </w:t>
      </w:r>
      <w:r w:rsidRPr="000A3296">
        <w:rPr>
          <w:rFonts w:eastAsia="Times New Roman" w:cstheme="minorHAnsi"/>
          <w:sz w:val="24"/>
          <w:szCs w:val="24"/>
          <w:lang w:eastAsia="en-GB"/>
        </w:rPr>
        <w:t xml:space="preserve">the Government legislated to introduce a cap on the cost of payday loans,  placing a duty on the Financial Conduct Authority (FCA)  to impose a cap. The policy did not set out the exact level of the </w:t>
      </w:r>
      <w:proofErr w:type="gramStart"/>
      <w:r w:rsidRPr="000A3296">
        <w:rPr>
          <w:rFonts w:eastAsia="Times New Roman" w:cstheme="minorHAnsi"/>
          <w:sz w:val="24"/>
          <w:szCs w:val="24"/>
          <w:lang w:eastAsia="en-GB"/>
        </w:rPr>
        <w:t>cap  but</w:t>
      </w:r>
      <w:proofErr w:type="gramEnd"/>
      <w:r w:rsidRPr="000A3296">
        <w:rPr>
          <w:rFonts w:eastAsia="Times New Roman" w:cstheme="minorHAnsi"/>
          <w:sz w:val="24"/>
          <w:szCs w:val="24"/>
          <w:lang w:eastAsia="en-GB"/>
        </w:rPr>
        <w:t xml:space="preserve"> set out  </w:t>
      </w:r>
      <w:r>
        <w:rPr>
          <w:rFonts w:eastAsia="Times New Roman" w:cstheme="minorHAnsi"/>
          <w:sz w:val="24"/>
          <w:szCs w:val="24"/>
          <w:lang w:eastAsia="en-GB"/>
        </w:rPr>
        <w:t xml:space="preserve">the </w:t>
      </w:r>
      <w:r w:rsidRPr="000A3296">
        <w:rPr>
          <w:rFonts w:eastAsia="Times New Roman" w:cstheme="minorHAnsi"/>
          <w:sz w:val="24"/>
          <w:szCs w:val="24"/>
          <w:lang w:eastAsia="en-GB"/>
        </w:rPr>
        <w:t xml:space="preserve">criteria the FCA should use when determining the cap (i.e. to secure protection for borrowers against excessive charges). </w:t>
      </w:r>
      <w:r>
        <w:rPr>
          <w:rFonts w:eastAsia="Times New Roman" w:cstheme="minorHAnsi"/>
          <w:sz w:val="24"/>
          <w:szCs w:val="24"/>
          <w:lang w:eastAsia="en-GB"/>
        </w:rPr>
        <w:t>T</w:t>
      </w:r>
      <w:r w:rsidRPr="000A3296">
        <w:rPr>
          <w:rFonts w:eastAsia="Times New Roman" w:cstheme="minorHAnsi"/>
          <w:sz w:val="24"/>
          <w:szCs w:val="24"/>
          <w:lang w:eastAsia="en-GB"/>
        </w:rPr>
        <w:t>he FCA already had the power to cap interest rates on borrowing although they had decided not to exercise that power to the point when the Government decided to legislate.</w:t>
      </w:r>
    </w:p>
    <w:p w:rsidR="00CE5B54" w:rsidRDefault="00CE5B54" w:rsidP="00CE5B54">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rPr>
          <w:rFonts w:eastAsia="Times New Roman" w:cstheme="minorHAnsi"/>
          <w:sz w:val="24"/>
          <w:szCs w:val="24"/>
          <w:lang w:eastAsia="en-GB"/>
        </w:rPr>
      </w:pPr>
      <w:r w:rsidRPr="000A3296">
        <w:rPr>
          <w:rFonts w:eastAsia="Times New Roman" w:cstheme="minorHAnsi"/>
          <w:sz w:val="24"/>
          <w:szCs w:val="24"/>
          <w:lang w:eastAsia="en-GB"/>
        </w:rPr>
        <w:t>The RPC concluded that the measure was in scope of OITO and that the Treasury would need to account for the statutory duty placed on the FCA to cap the cost of payday lending. The RPC noted that for the measure to be considered out of scope of OITO, the Treasury would have to demonstrate that:</w:t>
      </w:r>
    </w:p>
    <w:p w:rsidR="00CE5B54" w:rsidRPr="000A3296" w:rsidRDefault="00CE5B54" w:rsidP="00CE5B54">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ind w:left="284" w:hanging="284"/>
        <w:rPr>
          <w:rFonts w:eastAsia="Times New Roman" w:cstheme="minorHAnsi"/>
          <w:sz w:val="24"/>
          <w:szCs w:val="24"/>
          <w:lang w:eastAsia="en-GB"/>
        </w:rPr>
      </w:pPr>
      <w:r>
        <w:rPr>
          <w:rFonts w:eastAsia="Times New Roman" w:cstheme="minorHAnsi"/>
          <w:sz w:val="24"/>
          <w:szCs w:val="24"/>
          <w:lang w:eastAsia="en-GB"/>
        </w:rPr>
        <w:t>▪</w:t>
      </w:r>
      <w:r>
        <w:rPr>
          <w:rFonts w:eastAsia="Times New Roman" w:cstheme="minorHAnsi"/>
          <w:sz w:val="24"/>
          <w:szCs w:val="24"/>
          <w:lang w:eastAsia="en-GB"/>
        </w:rPr>
        <w:tab/>
      </w:r>
      <w:proofErr w:type="gramStart"/>
      <w:r w:rsidRPr="000A3296">
        <w:rPr>
          <w:rFonts w:eastAsia="Times New Roman" w:cstheme="minorHAnsi"/>
          <w:sz w:val="24"/>
          <w:szCs w:val="24"/>
          <w:lang w:eastAsia="en-GB"/>
        </w:rPr>
        <w:t>it</w:t>
      </w:r>
      <w:proofErr w:type="gramEnd"/>
      <w:r w:rsidRPr="000A3296">
        <w:rPr>
          <w:rFonts w:eastAsia="Times New Roman" w:cstheme="minorHAnsi"/>
          <w:sz w:val="24"/>
          <w:szCs w:val="24"/>
          <w:lang w:eastAsia="en-GB"/>
        </w:rPr>
        <w:t xml:space="preserve"> was inevitable that the regulator would use its existing powers in the same way  for which the Government had  legislated for the regulator to curb excessive pay</w:t>
      </w:r>
      <w:r>
        <w:rPr>
          <w:rFonts w:eastAsia="Times New Roman" w:cstheme="minorHAnsi"/>
          <w:sz w:val="24"/>
          <w:szCs w:val="24"/>
          <w:lang w:eastAsia="en-GB"/>
        </w:rPr>
        <w:t>ment charges by payday lenders;</w:t>
      </w:r>
    </w:p>
    <w:p w:rsidR="00CE5B54" w:rsidRDefault="00CE5B54" w:rsidP="00CE5B54">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ind w:left="284" w:hanging="284"/>
        <w:rPr>
          <w:rFonts w:eastAsia="Times New Roman" w:cstheme="minorHAnsi"/>
          <w:sz w:val="24"/>
          <w:szCs w:val="24"/>
          <w:lang w:eastAsia="en-GB"/>
        </w:rPr>
      </w:pPr>
      <w:r>
        <w:rPr>
          <w:rFonts w:eastAsia="Times New Roman" w:cstheme="minorHAnsi"/>
          <w:sz w:val="24"/>
          <w:szCs w:val="24"/>
          <w:lang w:eastAsia="en-GB"/>
        </w:rPr>
        <w:t>▪</w:t>
      </w:r>
      <w:r>
        <w:rPr>
          <w:rFonts w:eastAsia="Times New Roman" w:cstheme="minorHAnsi"/>
          <w:sz w:val="24"/>
          <w:szCs w:val="24"/>
          <w:lang w:eastAsia="en-GB"/>
        </w:rPr>
        <w:tab/>
      </w:r>
      <w:proofErr w:type="gramStart"/>
      <w:r>
        <w:rPr>
          <w:rFonts w:eastAsia="Times New Roman" w:cstheme="minorHAnsi"/>
          <w:sz w:val="24"/>
          <w:szCs w:val="24"/>
          <w:lang w:eastAsia="en-GB"/>
        </w:rPr>
        <w:t>t</w:t>
      </w:r>
      <w:r w:rsidRPr="000A3296">
        <w:rPr>
          <w:rFonts w:eastAsia="Times New Roman" w:cstheme="minorHAnsi"/>
          <w:sz w:val="24"/>
          <w:szCs w:val="24"/>
          <w:lang w:eastAsia="en-GB"/>
        </w:rPr>
        <w:t>he</w:t>
      </w:r>
      <w:proofErr w:type="gramEnd"/>
      <w:r w:rsidRPr="000A3296">
        <w:rPr>
          <w:rFonts w:eastAsia="Times New Roman" w:cstheme="minorHAnsi"/>
          <w:sz w:val="24"/>
          <w:szCs w:val="24"/>
          <w:lang w:eastAsia="en-GB"/>
        </w:rPr>
        <w:t xml:space="preserve"> regulator would have opted specifically to impose a cap on payday lending charges, rather than any other intervention;</w:t>
      </w:r>
      <w:r>
        <w:rPr>
          <w:rFonts w:eastAsia="Times New Roman" w:cstheme="minorHAnsi"/>
          <w:sz w:val="24"/>
          <w:szCs w:val="24"/>
          <w:lang w:eastAsia="en-GB"/>
        </w:rPr>
        <w:t xml:space="preserve"> and</w:t>
      </w:r>
    </w:p>
    <w:p w:rsidR="00CE5B54" w:rsidRDefault="00CE5B54" w:rsidP="00CE5B54">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tabs>
          <w:tab w:val="left" w:pos="284"/>
        </w:tabs>
        <w:ind w:left="284" w:hanging="284"/>
        <w:rPr>
          <w:rFonts w:eastAsia="Times New Roman" w:cstheme="minorHAnsi"/>
          <w:sz w:val="24"/>
          <w:szCs w:val="24"/>
          <w:lang w:eastAsia="en-GB"/>
        </w:rPr>
      </w:pPr>
      <w:r>
        <w:rPr>
          <w:rFonts w:eastAsia="Times New Roman" w:cstheme="minorHAnsi"/>
          <w:sz w:val="24"/>
          <w:szCs w:val="24"/>
          <w:lang w:eastAsia="en-GB"/>
        </w:rPr>
        <w:t>▪</w:t>
      </w:r>
      <w:r>
        <w:rPr>
          <w:rFonts w:eastAsia="Times New Roman" w:cstheme="minorHAnsi"/>
          <w:sz w:val="24"/>
          <w:szCs w:val="24"/>
          <w:lang w:eastAsia="en-GB"/>
        </w:rPr>
        <w:tab/>
      </w:r>
      <w:r w:rsidRPr="000A3296">
        <w:rPr>
          <w:rFonts w:eastAsia="Times New Roman" w:cstheme="minorHAnsi"/>
          <w:sz w:val="24"/>
          <w:szCs w:val="24"/>
          <w:lang w:eastAsia="en-GB"/>
        </w:rPr>
        <w:t>under these circumstances the regulator would have set the cap within twelve months of the time frame set by the Treasury in legislation (January 2015).</w:t>
      </w:r>
    </w:p>
    <w:p w:rsidR="00CE5B54" w:rsidRPr="000A3296" w:rsidRDefault="00CE5B54" w:rsidP="00CE5B54">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tabs>
          <w:tab w:val="left" w:pos="284"/>
        </w:tabs>
        <w:ind w:left="284" w:hanging="284"/>
        <w:rPr>
          <w:rFonts w:eastAsia="Times New Roman" w:cstheme="minorHAnsi"/>
          <w:sz w:val="24"/>
          <w:szCs w:val="24"/>
          <w:lang w:eastAsia="en-GB"/>
        </w:rPr>
      </w:pPr>
      <w:r>
        <w:rPr>
          <w:rFonts w:eastAsia="Times New Roman" w:cstheme="minorHAnsi"/>
          <w:sz w:val="24"/>
          <w:szCs w:val="24"/>
          <w:lang w:eastAsia="en-GB"/>
        </w:rPr>
        <w:t>The measure was listed as an IN of £91.3 million in the Ninth Statement of Regulation.</w:t>
      </w:r>
      <w:r w:rsidRPr="000A3296">
        <w:rPr>
          <w:rFonts w:eastAsia="Times New Roman" w:cstheme="minorHAnsi"/>
          <w:b/>
          <w:sz w:val="24"/>
          <w:szCs w:val="24"/>
          <w:u w:val="single"/>
          <w:lang w:eastAsia="en-GB"/>
        </w:rPr>
        <w:t xml:space="preserve"> </w:t>
      </w:r>
    </w:p>
    <w:p w:rsidR="00833335" w:rsidRDefault="00833335" w:rsidP="00CE5B54">
      <w:pPr>
        <w:rPr>
          <w:rFonts w:eastAsia="Times New Roman" w:cstheme="minorHAnsi"/>
          <w:sz w:val="24"/>
          <w:szCs w:val="24"/>
          <w:lang w:eastAsia="en-GB"/>
        </w:rPr>
      </w:pPr>
    </w:p>
    <w:p w:rsidR="00833335" w:rsidRDefault="00833335" w:rsidP="00CE5B54">
      <w:pPr>
        <w:rPr>
          <w:rFonts w:eastAsia="Times New Roman" w:cstheme="minorHAnsi"/>
          <w:sz w:val="24"/>
          <w:szCs w:val="24"/>
          <w:lang w:eastAsia="en-GB"/>
        </w:rPr>
      </w:pPr>
    </w:p>
    <w:p w:rsidR="00833335" w:rsidRDefault="00833335" w:rsidP="00CE5B54">
      <w:pPr>
        <w:rPr>
          <w:rFonts w:eastAsia="Times New Roman" w:cstheme="minorHAnsi"/>
          <w:sz w:val="24"/>
          <w:szCs w:val="24"/>
          <w:lang w:eastAsia="en-GB"/>
        </w:rPr>
      </w:pPr>
    </w:p>
    <w:p w:rsidR="00833335" w:rsidRDefault="00833335" w:rsidP="00CE5B54">
      <w:pPr>
        <w:rPr>
          <w:rFonts w:eastAsia="Times New Roman" w:cstheme="minorHAnsi"/>
          <w:sz w:val="24"/>
          <w:szCs w:val="24"/>
          <w:lang w:eastAsia="en-GB"/>
        </w:rPr>
      </w:pPr>
    </w:p>
    <w:p w:rsidR="00CE5B54" w:rsidRPr="000A3296" w:rsidRDefault="00CE5B54" w:rsidP="00CE5B54">
      <w:pPr>
        <w:rPr>
          <w:rFonts w:eastAsia="Times New Roman" w:cstheme="minorHAnsi"/>
          <w:sz w:val="24"/>
          <w:szCs w:val="24"/>
          <w:lang w:eastAsia="en-GB"/>
        </w:rPr>
      </w:pPr>
      <w:r>
        <w:rPr>
          <w:rFonts w:eastAsia="Times New Roman" w:cstheme="minorHAnsi"/>
          <w:sz w:val="24"/>
          <w:szCs w:val="24"/>
          <w:lang w:eastAsia="en-GB"/>
        </w:rPr>
        <w:lastRenderedPageBreak/>
        <w:t xml:space="preserve">Changes to </w:t>
      </w:r>
      <w:r w:rsidRPr="000A3296">
        <w:rPr>
          <w:rFonts w:eastAsia="Times New Roman" w:cstheme="minorHAnsi"/>
          <w:sz w:val="24"/>
          <w:szCs w:val="24"/>
          <w:lang w:eastAsia="en-GB"/>
        </w:rPr>
        <w:t xml:space="preserve">regulator activity could </w:t>
      </w:r>
      <w:r>
        <w:rPr>
          <w:rFonts w:eastAsia="Times New Roman" w:cstheme="minorHAnsi"/>
          <w:sz w:val="24"/>
          <w:szCs w:val="24"/>
          <w:lang w:eastAsia="en-GB"/>
        </w:rPr>
        <w:t xml:space="preserve">also </w:t>
      </w:r>
      <w:r w:rsidRPr="000A3296">
        <w:rPr>
          <w:rFonts w:eastAsia="Times New Roman" w:cstheme="minorHAnsi"/>
          <w:sz w:val="24"/>
          <w:szCs w:val="24"/>
          <w:lang w:eastAsia="en-GB"/>
        </w:rPr>
        <w:t xml:space="preserve">be </w:t>
      </w:r>
      <w:r>
        <w:rPr>
          <w:rFonts w:eastAsia="Times New Roman" w:cstheme="minorHAnsi"/>
          <w:sz w:val="24"/>
          <w:szCs w:val="24"/>
          <w:lang w:eastAsia="en-GB"/>
        </w:rPr>
        <w:t xml:space="preserve">ultimately </w:t>
      </w:r>
      <w:r w:rsidRPr="000A3296">
        <w:rPr>
          <w:rFonts w:eastAsia="Times New Roman" w:cstheme="minorHAnsi"/>
          <w:sz w:val="24"/>
          <w:szCs w:val="24"/>
          <w:lang w:eastAsia="en-GB"/>
        </w:rPr>
        <w:t>in response to European Directives.</w:t>
      </w:r>
      <w:r>
        <w:rPr>
          <w:rFonts w:eastAsia="Times New Roman" w:cstheme="minorHAnsi"/>
          <w:sz w:val="24"/>
          <w:szCs w:val="24"/>
          <w:lang w:eastAsia="en-GB"/>
        </w:rPr>
        <w:t xml:space="preserve"> </w:t>
      </w:r>
    </w:p>
    <w:p w:rsidR="00CE5B54" w:rsidRDefault="00CE5B54" w:rsidP="00CE5B54">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rPr>
          <w:rFonts w:eastAsia="Times New Roman" w:cstheme="minorHAnsi"/>
          <w:sz w:val="24"/>
          <w:szCs w:val="24"/>
          <w:lang w:eastAsia="en-GB"/>
        </w:rPr>
      </w:pPr>
      <w:r w:rsidRPr="003D440F">
        <w:rPr>
          <w:rFonts w:eastAsia="Times New Roman" w:cstheme="minorHAnsi"/>
          <w:b/>
          <w:sz w:val="24"/>
          <w:szCs w:val="24"/>
          <w:lang w:eastAsia="en-GB"/>
        </w:rPr>
        <w:t xml:space="preserve">The Implementation of the EU Mortgage Credit Directive </w:t>
      </w:r>
      <w:r>
        <w:rPr>
          <w:rFonts w:eastAsia="Times New Roman" w:cstheme="minorHAnsi"/>
          <w:b/>
          <w:sz w:val="24"/>
          <w:szCs w:val="24"/>
          <w:lang w:eastAsia="en-GB"/>
        </w:rPr>
        <w:t>(RPC14</w:t>
      </w:r>
      <w:r w:rsidRPr="000A3296">
        <w:rPr>
          <w:rFonts w:eastAsia="Times New Roman" w:cstheme="minorHAnsi"/>
          <w:b/>
          <w:sz w:val="24"/>
          <w:szCs w:val="24"/>
          <w:lang w:eastAsia="en-GB"/>
        </w:rPr>
        <w:t>-HMT-</w:t>
      </w:r>
      <w:r>
        <w:rPr>
          <w:rFonts w:eastAsia="Times New Roman" w:cstheme="minorHAnsi"/>
          <w:b/>
          <w:sz w:val="24"/>
          <w:szCs w:val="24"/>
          <w:lang w:eastAsia="en-GB"/>
        </w:rPr>
        <w:t>2144(2)</w:t>
      </w:r>
      <w:r w:rsidRPr="000A3296">
        <w:rPr>
          <w:rFonts w:eastAsia="Times New Roman" w:cstheme="minorHAnsi"/>
          <w:b/>
          <w:sz w:val="24"/>
          <w:szCs w:val="24"/>
          <w:lang w:eastAsia="en-GB"/>
        </w:rPr>
        <w:t xml:space="preserve">): </w:t>
      </w:r>
      <w:r w:rsidRPr="003D440F">
        <w:rPr>
          <w:rFonts w:eastAsia="Times New Roman" w:cstheme="minorHAnsi"/>
          <w:sz w:val="24"/>
          <w:szCs w:val="24"/>
          <w:lang w:eastAsia="en-GB"/>
        </w:rPr>
        <w:t xml:space="preserve">The </w:t>
      </w:r>
      <w:r>
        <w:rPr>
          <w:rFonts w:eastAsia="Times New Roman" w:cstheme="minorHAnsi"/>
          <w:sz w:val="24"/>
          <w:szCs w:val="24"/>
          <w:lang w:eastAsia="en-GB"/>
        </w:rPr>
        <w:t>department’s EANDCB</w:t>
      </w:r>
      <w:r w:rsidRPr="003D440F">
        <w:rPr>
          <w:rFonts w:eastAsia="Times New Roman" w:cstheme="minorHAnsi"/>
          <w:sz w:val="24"/>
          <w:szCs w:val="24"/>
          <w:lang w:eastAsia="en-GB"/>
        </w:rPr>
        <w:t xml:space="preserve"> d</w:t>
      </w:r>
      <w:r>
        <w:rPr>
          <w:rFonts w:eastAsia="Times New Roman" w:cstheme="minorHAnsi"/>
          <w:sz w:val="24"/>
          <w:szCs w:val="24"/>
          <w:lang w:eastAsia="en-GB"/>
        </w:rPr>
        <w:t>id</w:t>
      </w:r>
      <w:r w:rsidRPr="003D440F">
        <w:rPr>
          <w:rFonts w:eastAsia="Times New Roman" w:cstheme="minorHAnsi"/>
          <w:sz w:val="24"/>
          <w:szCs w:val="24"/>
          <w:lang w:eastAsia="en-GB"/>
        </w:rPr>
        <w:t xml:space="preserve"> not include the impact on business of the F</w:t>
      </w:r>
      <w:r>
        <w:rPr>
          <w:rFonts w:eastAsia="Times New Roman" w:cstheme="minorHAnsi"/>
          <w:sz w:val="24"/>
          <w:szCs w:val="24"/>
          <w:lang w:eastAsia="en-GB"/>
        </w:rPr>
        <w:t xml:space="preserve">inancial </w:t>
      </w:r>
      <w:r w:rsidRPr="003D440F">
        <w:rPr>
          <w:rFonts w:eastAsia="Times New Roman" w:cstheme="minorHAnsi"/>
          <w:sz w:val="24"/>
          <w:szCs w:val="24"/>
          <w:lang w:eastAsia="en-GB"/>
        </w:rPr>
        <w:t>C</w:t>
      </w:r>
      <w:r>
        <w:rPr>
          <w:rFonts w:eastAsia="Times New Roman" w:cstheme="minorHAnsi"/>
          <w:sz w:val="24"/>
          <w:szCs w:val="24"/>
          <w:lang w:eastAsia="en-GB"/>
        </w:rPr>
        <w:t xml:space="preserve">onduct </w:t>
      </w:r>
      <w:r w:rsidRPr="003D440F">
        <w:rPr>
          <w:rFonts w:eastAsia="Times New Roman" w:cstheme="minorHAnsi"/>
          <w:sz w:val="24"/>
          <w:szCs w:val="24"/>
          <w:lang w:eastAsia="en-GB"/>
        </w:rPr>
        <w:t>A</w:t>
      </w:r>
      <w:r>
        <w:rPr>
          <w:rFonts w:eastAsia="Times New Roman" w:cstheme="minorHAnsi"/>
          <w:sz w:val="24"/>
          <w:szCs w:val="24"/>
          <w:lang w:eastAsia="en-GB"/>
        </w:rPr>
        <w:t>uthority</w:t>
      </w:r>
      <w:r w:rsidRPr="003D440F">
        <w:rPr>
          <w:rFonts w:eastAsia="Times New Roman" w:cstheme="minorHAnsi"/>
          <w:sz w:val="24"/>
          <w:szCs w:val="24"/>
          <w:lang w:eastAsia="en-GB"/>
        </w:rPr>
        <w:t xml:space="preserve"> changing its rules in order to meet the requirements set out by the MCD.  The </w:t>
      </w:r>
      <w:r>
        <w:rPr>
          <w:rFonts w:eastAsia="Times New Roman" w:cstheme="minorHAnsi"/>
          <w:sz w:val="24"/>
          <w:szCs w:val="24"/>
          <w:lang w:eastAsia="en-GB"/>
        </w:rPr>
        <w:t>department</w:t>
      </w:r>
      <w:r w:rsidRPr="003D440F">
        <w:rPr>
          <w:rFonts w:eastAsia="Times New Roman" w:cstheme="minorHAnsi"/>
          <w:sz w:val="24"/>
          <w:szCs w:val="24"/>
          <w:lang w:eastAsia="en-GB"/>
        </w:rPr>
        <w:t xml:space="preserve"> explain</w:t>
      </w:r>
      <w:r>
        <w:rPr>
          <w:rFonts w:eastAsia="Times New Roman" w:cstheme="minorHAnsi"/>
          <w:sz w:val="24"/>
          <w:szCs w:val="24"/>
          <w:lang w:eastAsia="en-GB"/>
        </w:rPr>
        <w:t>ed</w:t>
      </w:r>
      <w:r w:rsidRPr="003D440F">
        <w:rPr>
          <w:rFonts w:eastAsia="Times New Roman" w:cstheme="minorHAnsi"/>
          <w:sz w:val="24"/>
          <w:szCs w:val="24"/>
          <w:lang w:eastAsia="en-GB"/>
        </w:rPr>
        <w:t xml:space="preserve"> that this impact </w:t>
      </w:r>
      <w:r>
        <w:rPr>
          <w:rFonts w:eastAsia="Times New Roman" w:cstheme="minorHAnsi"/>
          <w:sz w:val="24"/>
          <w:szCs w:val="24"/>
          <w:lang w:eastAsia="en-GB"/>
        </w:rPr>
        <w:t>was</w:t>
      </w:r>
      <w:r w:rsidRPr="003D440F">
        <w:rPr>
          <w:rFonts w:eastAsia="Times New Roman" w:cstheme="minorHAnsi"/>
          <w:sz w:val="24"/>
          <w:szCs w:val="24"/>
          <w:lang w:eastAsia="en-GB"/>
        </w:rPr>
        <w:t xml:space="preserve"> dependent on how exactly the FCA, in its capacity as the independent regulator, decide</w:t>
      </w:r>
      <w:r>
        <w:rPr>
          <w:rFonts w:eastAsia="Times New Roman" w:cstheme="minorHAnsi"/>
          <w:sz w:val="24"/>
          <w:szCs w:val="24"/>
          <w:lang w:eastAsia="en-GB"/>
        </w:rPr>
        <w:t>d</w:t>
      </w:r>
      <w:r w:rsidRPr="003D440F">
        <w:rPr>
          <w:rFonts w:eastAsia="Times New Roman" w:cstheme="minorHAnsi"/>
          <w:sz w:val="24"/>
          <w:szCs w:val="24"/>
          <w:lang w:eastAsia="en-GB"/>
        </w:rPr>
        <w:t xml:space="preserve"> to change its rules. </w:t>
      </w:r>
      <w:r>
        <w:rPr>
          <w:rFonts w:eastAsia="Times New Roman" w:cstheme="minorHAnsi"/>
          <w:sz w:val="24"/>
          <w:szCs w:val="24"/>
          <w:lang w:eastAsia="en-GB"/>
        </w:rPr>
        <w:t>The Department also noted that</w:t>
      </w:r>
      <w:r w:rsidRPr="003D440F">
        <w:rPr>
          <w:rFonts w:eastAsia="Times New Roman" w:cstheme="minorHAnsi"/>
          <w:sz w:val="24"/>
          <w:szCs w:val="24"/>
          <w:lang w:eastAsia="en-GB"/>
        </w:rPr>
        <w:t xml:space="preserve"> the FCA is required by legislation to carry out its own cost benefit analysis for any changes it makes to its rules in response to the MCD</w:t>
      </w:r>
      <w:r>
        <w:rPr>
          <w:rFonts w:eastAsia="Times New Roman" w:cstheme="minorHAnsi"/>
          <w:sz w:val="24"/>
          <w:szCs w:val="24"/>
          <w:lang w:eastAsia="en-GB"/>
        </w:rPr>
        <w:t>.</w:t>
      </w:r>
    </w:p>
    <w:p w:rsidR="00CE5B54" w:rsidRDefault="00CE5B54" w:rsidP="00CE5B54">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rPr>
          <w:rFonts w:eastAsia="Times New Roman" w:cstheme="minorHAnsi"/>
          <w:sz w:val="24"/>
          <w:szCs w:val="24"/>
          <w:lang w:eastAsia="en-GB"/>
        </w:rPr>
      </w:pPr>
      <w:r>
        <w:rPr>
          <w:rFonts w:eastAsia="Times New Roman" w:cstheme="minorHAnsi"/>
          <w:sz w:val="24"/>
          <w:szCs w:val="24"/>
          <w:lang w:eastAsia="en-GB"/>
        </w:rPr>
        <w:t xml:space="preserve">The RPC’s concern with the absence of an EANDCB for the actions of the regulator was two-fold. </w:t>
      </w:r>
      <w:r w:rsidRPr="00B52860">
        <w:rPr>
          <w:rFonts w:eastAsia="Times New Roman" w:cstheme="minorHAnsi"/>
          <w:sz w:val="24"/>
          <w:szCs w:val="24"/>
          <w:lang w:eastAsia="en-GB"/>
        </w:rPr>
        <w:t xml:space="preserve">First, </w:t>
      </w:r>
      <w:r>
        <w:rPr>
          <w:rFonts w:eastAsia="Times New Roman" w:cstheme="minorHAnsi"/>
          <w:sz w:val="24"/>
          <w:szCs w:val="24"/>
          <w:lang w:eastAsia="en-GB"/>
        </w:rPr>
        <w:t xml:space="preserve">the </w:t>
      </w:r>
      <w:r w:rsidRPr="00B52860">
        <w:rPr>
          <w:rFonts w:eastAsia="Times New Roman" w:cstheme="minorHAnsi"/>
          <w:sz w:val="24"/>
          <w:szCs w:val="24"/>
          <w:lang w:eastAsia="en-GB"/>
        </w:rPr>
        <w:t>regulator ha</w:t>
      </w:r>
      <w:r>
        <w:rPr>
          <w:rFonts w:eastAsia="Times New Roman" w:cstheme="minorHAnsi"/>
          <w:sz w:val="24"/>
          <w:szCs w:val="24"/>
          <w:lang w:eastAsia="en-GB"/>
        </w:rPr>
        <w:t>s</w:t>
      </w:r>
      <w:r w:rsidRPr="00B52860">
        <w:rPr>
          <w:rFonts w:eastAsia="Times New Roman" w:cstheme="minorHAnsi"/>
          <w:sz w:val="24"/>
          <w:szCs w:val="24"/>
          <w:lang w:eastAsia="en-GB"/>
        </w:rPr>
        <w:t xml:space="preserve"> no discretion but to meet the minimum EU requirements </w:t>
      </w:r>
      <w:r>
        <w:rPr>
          <w:rFonts w:eastAsia="Times New Roman" w:cstheme="minorHAnsi"/>
          <w:sz w:val="24"/>
          <w:szCs w:val="24"/>
          <w:lang w:eastAsia="en-GB"/>
        </w:rPr>
        <w:t>and, therefore, were not acting independently</w:t>
      </w:r>
      <w:r w:rsidRPr="00B52860">
        <w:rPr>
          <w:rFonts w:eastAsia="Times New Roman" w:cstheme="minorHAnsi"/>
          <w:sz w:val="24"/>
          <w:szCs w:val="24"/>
          <w:lang w:eastAsia="en-GB"/>
        </w:rPr>
        <w:t>. Second, it</w:t>
      </w:r>
      <w:r>
        <w:rPr>
          <w:rFonts w:eastAsia="Times New Roman" w:cstheme="minorHAnsi"/>
          <w:sz w:val="24"/>
          <w:szCs w:val="24"/>
          <w:lang w:eastAsia="en-GB"/>
        </w:rPr>
        <w:t>s inclusion would</w:t>
      </w:r>
      <w:r w:rsidRPr="00B52860">
        <w:rPr>
          <w:rFonts w:eastAsia="Times New Roman" w:cstheme="minorHAnsi"/>
          <w:sz w:val="24"/>
          <w:szCs w:val="24"/>
          <w:lang w:eastAsia="en-GB"/>
        </w:rPr>
        <w:t xml:space="preserve"> make for a more complete assessment of the cost of EU regulation.</w:t>
      </w:r>
    </w:p>
    <w:p w:rsidR="00CE5B54" w:rsidRPr="00026369" w:rsidRDefault="00CE5B54" w:rsidP="00CE5B54">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rPr>
          <w:rFonts w:eastAsia="Times New Roman" w:cstheme="minorHAnsi"/>
          <w:sz w:val="24"/>
          <w:szCs w:val="24"/>
          <w:lang w:eastAsia="en-GB"/>
        </w:rPr>
      </w:pPr>
      <w:r>
        <w:rPr>
          <w:rFonts w:eastAsia="Times New Roman" w:cstheme="minorHAnsi"/>
          <w:sz w:val="24"/>
          <w:szCs w:val="24"/>
          <w:lang w:eastAsia="en-GB"/>
        </w:rPr>
        <w:t>The department explained why it was not possible to produce a robust EANDCB for the regulator action but included</w:t>
      </w:r>
      <w:r w:rsidRPr="00026369">
        <w:rPr>
          <w:rFonts w:eastAsia="Times New Roman" w:cstheme="minorHAnsi"/>
          <w:sz w:val="24"/>
          <w:szCs w:val="24"/>
          <w:lang w:eastAsia="en-GB"/>
        </w:rPr>
        <w:t xml:space="preserve"> a summary of the FCA’s own cost benefit analysis, highlighting the likely impact on business of its planned rule changes as a result of the MCD.</w:t>
      </w:r>
      <w:r>
        <w:rPr>
          <w:rFonts w:eastAsia="Times New Roman" w:cstheme="minorHAnsi"/>
          <w:sz w:val="24"/>
          <w:szCs w:val="24"/>
          <w:lang w:eastAsia="en-GB"/>
        </w:rPr>
        <w:t xml:space="preserve"> On this basis, the IA was given a green rating by the RPC.</w:t>
      </w:r>
    </w:p>
    <w:p w:rsidR="00CE5B54" w:rsidRPr="003D440F" w:rsidRDefault="00CE5B54" w:rsidP="00CE5B54">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rPr>
          <w:rFonts w:eastAsia="Times New Roman" w:cstheme="minorHAnsi"/>
          <w:sz w:val="24"/>
          <w:szCs w:val="24"/>
          <w:lang w:eastAsia="en-GB"/>
        </w:rPr>
      </w:pPr>
    </w:p>
    <w:p w:rsidR="00CE5B54" w:rsidRPr="008124C0" w:rsidRDefault="00CE5B54" w:rsidP="00CE5B54">
      <w:pPr>
        <w:spacing w:after="0"/>
        <w:rPr>
          <w:rFonts w:eastAsia="Times New Roman" w:cstheme="minorHAnsi"/>
          <w:color w:val="000000" w:themeColor="text1"/>
          <w:sz w:val="24"/>
          <w:szCs w:val="24"/>
          <w:lang w:eastAsia="en-GB"/>
        </w:rPr>
      </w:pPr>
      <w:r w:rsidRPr="008124C0">
        <w:rPr>
          <w:rFonts w:eastAsia="Times New Roman" w:cstheme="minorHAnsi"/>
          <w:color w:val="000000" w:themeColor="text1"/>
          <w:sz w:val="24"/>
          <w:szCs w:val="24"/>
          <w:lang w:eastAsia="en-GB"/>
        </w:rPr>
        <w:t>Given that the actions of regulators</w:t>
      </w:r>
      <w:r>
        <w:rPr>
          <w:rFonts w:eastAsia="Times New Roman" w:cstheme="minorHAnsi"/>
          <w:color w:val="000000" w:themeColor="text1"/>
          <w:sz w:val="24"/>
          <w:szCs w:val="24"/>
          <w:lang w:eastAsia="en-GB"/>
        </w:rPr>
        <w:t>, unless falling within one of the exclusions, are in scope of the BIT, the issues in relation to the Mortgage Credit Directive should of lesser significance under the new framework.</w:t>
      </w:r>
    </w:p>
    <w:p w:rsidR="00CE5B54" w:rsidRDefault="00CE5B54" w:rsidP="00CE5B54">
      <w:pPr>
        <w:spacing w:after="0"/>
        <w:rPr>
          <w:rFonts w:eastAsia="Times New Roman" w:cstheme="minorHAnsi"/>
          <w:b/>
          <w:color w:val="000000" w:themeColor="text1"/>
          <w:sz w:val="24"/>
          <w:szCs w:val="24"/>
          <w:lang w:eastAsia="en-GB"/>
        </w:rPr>
      </w:pPr>
    </w:p>
    <w:p w:rsidR="00CE5B54" w:rsidRPr="00867ADF" w:rsidRDefault="00A161A5" w:rsidP="00CE5B54">
      <w:pPr>
        <w:spacing w:after="0"/>
        <w:rPr>
          <w:rFonts w:eastAsia="Times New Roman" w:cstheme="minorHAnsi"/>
          <w:b/>
          <w:color w:val="984806" w:themeColor="accent6" w:themeShade="80"/>
          <w:sz w:val="28"/>
          <w:szCs w:val="28"/>
          <w:lang w:eastAsia="en-GB"/>
        </w:rPr>
      </w:pPr>
      <w:r>
        <w:rPr>
          <w:rFonts w:eastAsia="Times New Roman" w:cstheme="minorHAnsi"/>
          <w:b/>
          <w:color w:val="984806" w:themeColor="accent6" w:themeShade="80"/>
          <w:sz w:val="28"/>
          <w:szCs w:val="28"/>
          <w:lang w:eastAsia="en-GB"/>
        </w:rPr>
        <w:t>7</w:t>
      </w:r>
      <w:r w:rsidR="00CE5B54" w:rsidRPr="00867ADF">
        <w:rPr>
          <w:rFonts w:eastAsia="Times New Roman" w:cstheme="minorHAnsi"/>
          <w:b/>
          <w:color w:val="984806" w:themeColor="accent6" w:themeShade="80"/>
          <w:sz w:val="28"/>
          <w:szCs w:val="28"/>
          <w:lang w:eastAsia="en-GB"/>
        </w:rPr>
        <w:t>.3 Specific enforcement actions</w:t>
      </w:r>
    </w:p>
    <w:p w:rsidR="00833335" w:rsidRDefault="00833335" w:rsidP="00CE5B54">
      <w:pPr>
        <w:spacing w:after="0"/>
        <w:rPr>
          <w:rFonts w:eastAsia="Times New Roman" w:cstheme="minorHAnsi"/>
          <w:b/>
          <w:sz w:val="24"/>
          <w:szCs w:val="24"/>
          <w:u w:val="single"/>
          <w:lang w:eastAsia="en-GB"/>
        </w:rPr>
      </w:pPr>
    </w:p>
    <w:p w:rsidR="00CE5B54" w:rsidRPr="0086076D" w:rsidRDefault="00CE5B54" w:rsidP="00CE5B54">
      <w:pPr>
        <w:spacing w:after="0"/>
        <w:rPr>
          <w:rFonts w:eastAsia="Times New Roman" w:cstheme="minorHAnsi"/>
          <w:sz w:val="24"/>
          <w:szCs w:val="24"/>
          <w:lang w:eastAsia="en-GB"/>
        </w:rPr>
      </w:pPr>
      <w:r w:rsidRPr="0086076D">
        <w:rPr>
          <w:rFonts w:eastAsia="Times New Roman" w:cstheme="minorHAnsi"/>
          <w:sz w:val="24"/>
          <w:szCs w:val="24"/>
          <w:lang w:eastAsia="en-GB"/>
        </w:rPr>
        <w:t xml:space="preserve">Policies relating to </w:t>
      </w:r>
      <w:r w:rsidRPr="00842C8D">
        <w:rPr>
          <w:rFonts w:eastAsia="Times New Roman" w:cstheme="minorHAnsi"/>
          <w:sz w:val="24"/>
          <w:szCs w:val="24"/>
          <w:u w:val="single"/>
          <w:lang w:eastAsia="en-GB"/>
        </w:rPr>
        <w:t>specific</w:t>
      </w:r>
      <w:r w:rsidRPr="0086076D">
        <w:rPr>
          <w:rFonts w:eastAsia="Times New Roman" w:cstheme="minorHAnsi"/>
          <w:sz w:val="24"/>
          <w:szCs w:val="24"/>
          <w:lang w:eastAsia="en-GB"/>
        </w:rPr>
        <w:t xml:space="preserve"> enforcement actions are out of scope</w:t>
      </w:r>
      <w:r>
        <w:rPr>
          <w:rFonts w:eastAsia="Times New Roman" w:cstheme="minorHAnsi"/>
          <w:sz w:val="24"/>
          <w:szCs w:val="24"/>
          <w:lang w:eastAsia="en-GB"/>
        </w:rPr>
        <w:t xml:space="preserve"> of OITO</w:t>
      </w:r>
      <w:r w:rsidRPr="0086076D">
        <w:rPr>
          <w:rFonts w:eastAsia="Times New Roman" w:cstheme="minorHAnsi"/>
          <w:sz w:val="24"/>
          <w:szCs w:val="24"/>
          <w:lang w:eastAsia="en-GB"/>
        </w:rPr>
        <w:t>. This applies only to policies designed to deal with a specific breach, not p</w:t>
      </w:r>
      <w:r>
        <w:rPr>
          <w:rFonts w:eastAsia="Times New Roman" w:cstheme="minorHAnsi"/>
          <w:sz w:val="24"/>
          <w:szCs w:val="24"/>
          <w:lang w:eastAsia="en-GB"/>
        </w:rPr>
        <w:t>olicies relating to enforcement in general.</w:t>
      </w:r>
    </w:p>
    <w:p w:rsidR="00CE5B54" w:rsidRPr="0086076D" w:rsidRDefault="00CE5B54" w:rsidP="00CE5B54">
      <w:pPr>
        <w:spacing w:after="0"/>
        <w:rPr>
          <w:rFonts w:eastAsia="Times New Roman" w:cstheme="minorHAnsi"/>
          <w:i/>
          <w:sz w:val="24"/>
          <w:szCs w:val="24"/>
          <w:lang w:eastAsia="en-GB"/>
        </w:rPr>
      </w:pPr>
    </w:p>
    <w:p w:rsidR="00CE5B54" w:rsidRPr="0086076D" w:rsidRDefault="00CE5B54" w:rsidP="00CE5B54">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0"/>
        <w:rPr>
          <w:rFonts w:eastAsia="Times New Roman" w:cstheme="minorHAnsi"/>
          <w:b/>
          <w:sz w:val="24"/>
          <w:szCs w:val="24"/>
          <w:lang w:eastAsia="en-GB"/>
        </w:rPr>
      </w:pPr>
      <w:r w:rsidRPr="0086076D">
        <w:rPr>
          <w:rFonts w:eastAsia="Times New Roman" w:cstheme="minorHAnsi"/>
          <w:b/>
          <w:sz w:val="24"/>
          <w:szCs w:val="24"/>
          <w:lang w:eastAsia="en-GB"/>
        </w:rPr>
        <w:t xml:space="preserve">Merchant Shipping (Maritime Labour Convention) (Hours of Work) (Amendment) Regulations 2013 (RPC13-DfT-1849): </w:t>
      </w:r>
      <w:r w:rsidRPr="0086076D">
        <w:rPr>
          <w:rFonts w:eastAsia="Times New Roman" w:cstheme="minorHAnsi"/>
          <w:sz w:val="24"/>
          <w:szCs w:val="24"/>
          <w:lang w:eastAsia="en-GB"/>
        </w:rPr>
        <w:t>the IA claimed that the proposal relating to a seafarer’s right to take a case to an employment tribunal on annual or additional paid leave matters was out of scope under enforcement. However, this did not meet the definition of “</w:t>
      </w:r>
      <w:r w:rsidRPr="0086076D">
        <w:rPr>
          <w:rFonts w:eastAsia="Times New Roman" w:cstheme="minorHAnsi"/>
          <w:i/>
          <w:sz w:val="24"/>
          <w:szCs w:val="24"/>
          <w:lang w:eastAsia="en-GB"/>
        </w:rPr>
        <w:t xml:space="preserve">specific enforcement action’ (“imposed on individual companies to remedy non-compliance”). </w:t>
      </w:r>
      <w:r w:rsidRPr="0086076D">
        <w:rPr>
          <w:rFonts w:eastAsia="Times New Roman" w:cstheme="minorHAnsi"/>
          <w:sz w:val="24"/>
          <w:szCs w:val="24"/>
          <w:lang w:eastAsia="en-GB"/>
        </w:rPr>
        <w:t xml:space="preserve">The department submitted a revised IA with costs to compliant businesses scored as an IN </w:t>
      </w:r>
      <w:r>
        <w:rPr>
          <w:rFonts w:eastAsia="Times New Roman" w:cstheme="minorHAnsi"/>
          <w:sz w:val="24"/>
          <w:szCs w:val="24"/>
          <w:lang w:eastAsia="en-GB"/>
        </w:rPr>
        <w:t xml:space="preserve">under OITO </w:t>
      </w:r>
      <w:r w:rsidRPr="0086076D">
        <w:rPr>
          <w:rFonts w:eastAsia="Times New Roman" w:cstheme="minorHAnsi"/>
          <w:sz w:val="24"/>
          <w:szCs w:val="24"/>
          <w:lang w:eastAsia="en-GB"/>
        </w:rPr>
        <w:t>(as it went beyond minimum international requirements). (</w:t>
      </w:r>
      <w:hyperlink r:id="rId63" w:history="1">
        <w:r w:rsidRPr="0086076D">
          <w:rPr>
            <w:rFonts w:eastAsia="Times New Roman" w:cstheme="minorHAnsi"/>
            <w:color w:val="0000FF"/>
            <w:sz w:val="24"/>
            <w:szCs w:val="24"/>
            <w:u w:val="single"/>
            <w:lang w:eastAsia="en-GB"/>
          </w:rPr>
          <w:t>Opinion and IA</w:t>
        </w:r>
      </w:hyperlink>
      <w:r w:rsidRPr="0086076D">
        <w:rPr>
          <w:rFonts w:eastAsia="Times New Roman" w:cstheme="minorHAnsi"/>
          <w:sz w:val="24"/>
          <w:szCs w:val="24"/>
          <w:lang w:eastAsia="en-GB"/>
        </w:rPr>
        <w:t>)</w:t>
      </w:r>
    </w:p>
    <w:p w:rsidR="00CE5B54" w:rsidRDefault="00CE5B54" w:rsidP="00CE5B54">
      <w:pPr>
        <w:pStyle w:val="ListParagraph"/>
        <w:spacing w:after="120"/>
        <w:ind w:left="0"/>
        <w:rPr>
          <w:b/>
          <w:color w:val="984806" w:themeColor="accent6" w:themeShade="80"/>
          <w:sz w:val="28"/>
          <w:szCs w:val="28"/>
        </w:rPr>
      </w:pPr>
    </w:p>
    <w:p w:rsidR="00A161A5" w:rsidRPr="00A161A5" w:rsidRDefault="00CE5B54" w:rsidP="00CE5B54">
      <w:pPr>
        <w:rPr>
          <w:sz w:val="24"/>
          <w:szCs w:val="24"/>
        </w:rPr>
      </w:pPr>
      <w:r w:rsidRPr="000A3296">
        <w:rPr>
          <w:rFonts w:eastAsia="Times New Roman" w:cstheme="minorHAnsi"/>
          <w:sz w:val="24"/>
          <w:szCs w:val="24"/>
          <w:lang w:eastAsia="en-GB"/>
        </w:rPr>
        <w:lastRenderedPageBreak/>
        <w:t>Under the new better regulation framework, regulators have been brought into scope of the business impact target (BIT).</w:t>
      </w:r>
      <w:r w:rsidRPr="00551B9C">
        <w:rPr>
          <w:sz w:val="24"/>
          <w:szCs w:val="24"/>
        </w:rPr>
        <w:t xml:space="preserve"> </w:t>
      </w:r>
      <w:r>
        <w:rPr>
          <w:sz w:val="24"/>
          <w:szCs w:val="24"/>
        </w:rPr>
        <w:t>As noted above, issues specifically relating to regulators, including the application of BIT e</w:t>
      </w:r>
      <w:r w:rsidRPr="00FF0DB7">
        <w:rPr>
          <w:sz w:val="24"/>
          <w:szCs w:val="24"/>
        </w:rPr>
        <w:t>xclusions K to L4</w:t>
      </w:r>
      <w:r>
        <w:rPr>
          <w:sz w:val="24"/>
          <w:szCs w:val="24"/>
        </w:rPr>
        <w:t>,</w:t>
      </w:r>
      <w:r w:rsidRPr="00FF0DB7">
        <w:rPr>
          <w:sz w:val="24"/>
          <w:szCs w:val="24"/>
        </w:rPr>
        <w:t xml:space="preserve"> will be covered in a f</w:t>
      </w:r>
      <w:r>
        <w:rPr>
          <w:sz w:val="24"/>
          <w:szCs w:val="24"/>
        </w:rPr>
        <w:t>uture</w:t>
      </w:r>
      <w:r w:rsidRPr="00FF0DB7">
        <w:rPr>
          <w:sz w:val="24"/>
          <w:szCs w:val="24"/>
        </w:rPr>
        <w:t xml:space="preserve"> RPC case histories </w:t>
      </w:r>
      <w:r>
        <w:rPr>
          <w:sz w:val="24"/>
          <w:szCs w:val="24"/>
        </w:rPr>
        <w:t>document</w:t>
      </w:r>
      <w:r w:rsidRPr="00FF0DB7">
        <w:rPr>
          <w:sz w:val="24"/>
          <w:szCs w:val="24"/>
        </w:rPr>
        <w:t>.</w:t>
      </w:r>
    </w:p>
    <w:p w:rsidR="00A161A5" w:rsidRDefault="00B30582" w:rsidP="00A161A5">
      <w:pPr>
        <w:spacing w:after="480"/>
        <w:rPr>
          <w:rFonts w:cstheme="minorHAnsi"/>
          <w:b/>
          <w:color w:val="E36C0A" w:themeColor="accent6" w:themeShade="BF"/>
          <w:sz w:val="32"/>
          <w:szCs w:val="32"/>
        </w:rPr>
      </w:pPr>
      <w:r w:rsidRPr="00B30582">
        <w:rPr>
          <w:rFonts w:eastAsia="Times New Roman" w:cstheme="minorHAnsi"/>
          <w:b/>
          <w:color w:val="E36C0A" w:themeColor="accent6" w:themeShade="BF"/>
          <w:sz w:val="32"/>
          <w:szCs w:val="32"/>
          <w:lang w:eastAsia="en-GB"/>
        </w:rPr>
        <w:t xml:space="preserve">Section </w:t>
      </w:r>
      <w:r w:rsidR="00A161A5">
        <w:rPr>
          <w:rFonts w:eastAsia="Times New Roman" w:cstheme="minorHAnsi"/>
          <w:b/>
          <w:color w:val="E36C0A" w:themeColor="accent6" w:themeShade="BF"/>
          <w:sz w:val="32"/>
          <w:szCs w:val="32"/>
          <w:lang w:eastAsia="en-GB"/>
        </w:rPr>
        <w:t>8</w:t>
      </w:r>
      <w:r w:rsidRPr="00B30582">
        <w:rPr>
          <w:rFonts w:eastAsia="Times New Roman" w:cstheme="minorHAnsi"/>
          <w:b/>
          <w:color w:val="E36C0A" w:themeColor="accent6" w:themeShade="BF"/>
          <w:sz w:val="32"/>
          <w:szCs w:val="32"/>
          <w:lang w:eastAsia="en-GB"/>
        </w:rPr>
        <w:t>:</w:t>
      </w:r>
      <w:r w:rsidR="00B978C5" w:rsidRPr="00B30582">
        <w:rPr>
          <w:rFonts w:cstheme="minorHAnsi"/>
          <w:b/>
          <w:color w:val="E36C0A" w:themeColor="accent6" w:themeShade="BF"/>
          <w:sz w:val="32"/>
          <w:szCs w:val="32"/>
        </w:rPr>
        <w:t xml:space="preserve"> </w:t>
      </w:r>
      <w:r w:rsidR="00561401" w:rsidRPr="00B30582">
        <w:rPr>
          <w:rFonts w:cstheme="minorHAnsi"/>
          <w:b/>
          <w:color w:val="E36C0A" w:themeColor="accent6" w:themeShade="BF"/>
          <w:sz w:val="32"/>
          <w:szCs w:val="32"/>
        </w:rPr>
        <w:t>S</w:t>
      </w:r>
      <w:r w:rsidR="00B978C5" w:rsidRPr="00B30582">
        <w:rPr>
          <w:rFonts w:cstheme="minorHAnsi"/>
          <w:b/>
          <w:color w:val="E36C0A" w:themeColor="accent6" w:themeShade="BF"/>
          <w:sz w:val="32"/>
          <w:szCs w:val="32"/>
        </w:rPr>
        <w:t xml:space="preserve">mall </w:t>
      </w:r>
      <w:r w:rsidR="00561401" w:rsidRPr="00B30582">
        <w:rPr>
          <w:rFonts w:cstheme="minorHAnsi"/>
          <w:b/>
          <w:color w:val="E36C0A" w:themeColor="accent6" w:themeShade="BF"/>
          <w:sz w:val="32"/>
          <w:szCs w:val="32"/>
        </w:rPr>
        <w:t>a</w:t>
      </w:r>
      <w:r w:rsidR="00B978C5" w:rsidRPr="00B30582">
        <w:rPr>
          <w:rFonts w:cstheme="minorHAnsi"/>
          <w:b/>
          <w:color w:val="E36C0A" w:themeColor="accent6" w:themeShade="BF"/>
          <w:sz w:val="32"/>
          <w:szCs w:val="32"/>
        </w:rPr>
        <w:t>nd Micro Business Assessments (</w:t>
      </w:r>
      <w:proofErr w:type="spellStart"/>
      <w:r w:rsidR="00B978C5" w:rsidRPr="00B30582">
        <w:rPr>
          <w:rFonts w:cstheme="minorHAnsi"/>
          <w:b/>
          <w:color w:val="E36C0A" w:themeColor="accent6" w:themeShade="BF"/>
          <w:sz w:val="32"/>
          <w:szCs w:val="32"/>
        </w:rPr>
        <w:t>Sa</w:t>
      </w:r>
      <w:r w:rsidR="00561401" w:rsidRPr="00B30582">
        <w:rPr>
          <w:rFonts w:cstheme="minorHAnsi"/>
          <w:b/>
          <w:color w:val="E36C0A" w:themeColor="accent6" w:themeShade="BF"/>
          <w:sz w:val="32"/>
          <w:szCs w:val="32"/>
        </w:rPr>
        <w:t>MBA</w:t>
      </w:r>
      <w:proofErr w:type="spellEnd"/>
      <w:r w:rsidR="00B978C5" w:rsidRPr="00B30582">
        <w:rPr>
          <w:rFonts w:cstheme="minorHAnsi"/>
          <w:b/>
          <w:color w:val="E36C0A" w:themeColor="accent6" w:themeShade="BF"/>
          <w:sz w:val="32"/>
          <w:szCs w:val="32"/>
        </w:rPr>
        <w:t>)</w:t>
      </w:r>
    </w:p>
    <w:p w:rsidR="00A161A5" w:rsidRDefault="00CE5B54" w:rsidP="00A161A5">
      <w:pPr>
        <w:rPr>
          <w:rFonts w:cstheme="minorHAnsi"/>
          <w:b/>
          <w:color w:val="E36C0A" w:themeColor="accent6" w:themeShade="BF"/>
          <w:sz w:val="24"/>
          <w:szCs w:val="24"/>
        </w:rPr>
      </w:pPr>
      <w:r w:rsidRPr="0005278D">
        <w:rPr>
          <w:rFonts w:cstheme="minorHAnsi"/>
          <w:b/>
          <w:color w:val="E36C0A" w:themeColor="accent6" w:themeShade="BF"/>
          <w:sz w:val="24"/>
          <w:szCs w:val="24"/>
        </w:rPr>
        <w:t>What is a small</w:t>
      </w:r>
      <w:r>
        <w:rPr>
          <w:rFonts w:cstheme="minorHAnsi"/>
          <w:b/>
          <w:color w:val="E36C0A" w:themeColor="accent6" w:themeShade="BF"/>
          <w:sz w:val="24"/>
          <w:szCs w:val="24"/>
        </w:rPr>
        <w:t xml:space="preserve"> / micro </w:t>
      </w:r>
      <w:r w:rsidRPr="0005278D">
        <w:rPr>
          <w:rFonts w:cstheme="minorHAnsi"/>
          <w:b/>
          <w:color w:val="E36C0A" w:themeColor="accent6" w:themeShade="BF"/>
          <w:sz w:val="24"/>
          <w:szCs w:val="24"/>
        </w:rPr>
        <w:t>business</w:t>
      </w:r>
      <w:r>
        <w:rPr>
          <w:rFonts w:cstheme="minorHAnsi"/>
          <w:b/>
          <w:color w:val="E36C0A" w:themeColor="accent6" w:themeShade="BF"/>
          <w:sz w:val="24"/>
          <w:szCs w:val="24"/>
        </w:rPr>
        <w:t xml:space="preserve"> or civil society organisation</w:t>
      </w:r>
      <w:r w:rsidRPr="0005278D">
        <w:rPr>
          <w:rFonts w:cstheme="minorHAnsi"/>
          <w:b/>
          <w:color w:val="E36C0A" w:themeColor="accent6" w:themeShade="BF"/>
          <w:sz w:val="24"/>
          <w:szCs w:val="24"/>
        </w:rPr>
        <w:t>?</w:t>
      </w:r>
    </w:p>
    <w:p w:rsidR="00A161A5" w:rsidRDefault="00CE5B54" w:rsidP="00A161A5">
      <w:pPr>
        <w:spacing w:after="0"/>
        <w:rPr>
          <w:rFonts w:cstheme="minorHAnsi"/>
          <w:b/>
          <w:color w:val="E36C0A" w:themeColor="accent6" w:themeShade="BF"/>
          <w:sz w:val="32"/>
          <w:szCs w:val="32"/>
        </w:rPr>
      </w:pPr>
      <w:r w:rsidRPr="00AB273E">
        <w:rPr>
          <w:rFonts w:cstheme="minorHAnsi"/>
          <w:i/>
          <w:color w:val="000000"/>
          <w:sz w:val="24"/>
          <w:szCs w:val="24"/>
        </w:rPr>
        <w:t>Small businesses and civil society organisations</w:t>
      </w:r>
      <w:r w:rsidRPr="008C4B9D">
        <w:rPr>
          <w:rFonts w:cstheme="minorHAnsi"/>
          <w:color w:val="000000"/>
          <w:sz w:val="24"/>
          <w:szCs w:val="24"/>
        </w:rPr>
        <w:t xml:space="preserve"> are defined</w:t>
      </w:r>
      <w:r>
        <w:rPr>
          <w:rFonts w:cstheme="minorHAnsi"/>
          <w:color w:val="000000"/>
          <w:sz w:val="24"/>
          <w:szCs w:val="24"/>
        </w:rPr>
        <w:t xml:space="preserve"> in the Better Regulation framework manual</w:t>
      </w:r>
      <w:r w:rsidRPr="008C4B9D">
        <w:rPr>
          <w:rFonts w:cstheme="minorHAnsi"/>
          <w:color w:val="000000"/>
          <w:sz w:val="24"/>
          <w:szCs w:val="24"/>
        </w:rPr>
        <w:t xml:space="preserve"> as those </w:t>
      </w:r>
      <w:r>
        <w:rPr>
          <w:rFonts w:cstheme="minorHAnsi"/>
          <w:color w:val="000000"/>
          <w:sz w:val="24"/>
          <w:szCs w:val="24"/>
        </w:rPr>
        <w:t>employing</w:t>
      </w:r>
      <w:r w:rsidRPr="008C4B9D">
        <w:rPr>
          <w:rFonts w:cstheme="minorHAnsi"/>
          <w:color w:val="000000"/>
          <w:sz w:val="24"/>
          <w:szCs w:val="24"/>
        </w:rPr>
        <w:t xml:space="preserve"> </w:t>
      </w:r>
      <w:r w:rsidRPr="00CC3536">
        <w:rPr>
          <w:rFonts w:cstheme="minorHAnsi"/>
          <w:color w:val="000000"/>
          <w:sz w:val="24"/>
          <w:szCs w:val="24"/>
        </w:rPr>
        <w:t xml:space="preserve">up to 49 </w:t>
      </w:r>
      <w:r>
        <w:rPr>
          <w:rFonts w:cstheme="minorHAnsi"/>
          <w:color w:val="000000"/>
          <w:sz w:val="24"/>
          <w:szCs w:val="24"/>
        </w:rPr>
        <w:t>full-time equivalent</w:t>
      </w:r>
      <w:r w:rsidRPr="00CC3536">
        <w:rPr>
          <w:rFonts w:cstheme="minorHAnsi"/>
          <w:color w:val="000000"/>
          <w:sz w:val="24"/>
          <w:szCs w:val="24"/>
        </w:rPr>
        <w:t xml:space="preserve"> employees</w:t>
      </w:r>
      <w:r w:rsidRPr="008C4B9D">
        <w:rPr>
          <w:rFonts w:cstheme="minorHAnsi"/>
          <w:color w:val="000000"/>
          <w:sz w:val="24"/>
          <w:szCs w:val="24"/>
        </w:rPr>
        <w:t xml:space="preserve"> and </w:t>
      </w:r>
      <w:r w:rsidRPr="00AB273E">
        <w:rPr>
          <w:rFonts w:cstheme="minorHAnsi"/>
          <w:i/>
          <w:color w:val="000000"/>
          <w:sz w:val="24"/>
          <w:szCs w:val="24"/>
        </w:rPr>
        <w:t>micro-businesses</w:t>
      </w:r>
      <w:r w:rsidRPr="00CC3536">
        <w:rPr>
          <w:rFonts w:cstheme="minorHAnsi"/>
          <w:color w:val="000000"/>
          <w:sz w:val="24"/>
          <w:szCs w:val="24"/>
        </w:rPr>
        <w:t xml:space="preserve"> </w:t>
      </w:r>
      <w:r w:rsidRPr="008C4B9D">
        <w:rPr>
          <w:rFonts w:cstheme="minorHAnsi"/>
          <w:color w:val="000000"/>
          <w:sz w:val="24"/>
          <w:szCs w:val="24"/>
        </w:rPr>
        <w:t>as those employing up to 10 employees.</w:t>
      </w:r>
      <w:r>
        <w:rPr>
          <w:rFonts w:cstheme="minorHAnsi"/>
          <w:color w:val="000000"/>
          <w:sz w:val="24"/>
          <w:szCs w:val="24"/>
        </w:rPr>
        <w:t xml:space="preserve"> </w:t>
      </w:r>
    </w:p>
    <w:p w:rsidR="00A161A5" w:rsidRDefault="00A161A5" w:rsidP="00A161A5">
      <w:pPr>
        <w:spacing w:after="0"/>
        <w:rPr>
          <w:rFonts w:cstheme="minorHAnsi"/>
          <w:b/>
          <w:color w:val="E36C0A" w:themeColor="accent6" w:themeShade="BF"/>
          <w:sz w:val="32"/>
          <w:szCs w:val="32"/>
        </w:rPr>
      </w:pPr>
    </w:p>
    <w:p w:rsidR="00CE5B54" w:rsidRPr="00A161A5" w:rsidRDefault="00CE5B54" w:rsidP="00A161A5">
      <w:pPr>
        <w:spacing w:after="0"/>
        <w:rPr>
          <w:rFonts w:cstheme="minorHAnsi"/>
          <w:b/>
          <w:color w:val="E36C0A" w:themeColor="accent6" w:themeShade="BF"/>
          <w:sz w:val="32"/>
          <w:szCs w:val="32"/>
        </w:rPr>
      </w:pPr>
      <w:r w:rsidRPr="0005278D">
        <w:rPr>
          <w:rFonts w:cstheme="minorHAnsi"/>
          <w:b/>
          <w:color w:val="E36C0A" w:themeColor="accent6" w:themeShade="BF"/>
          <w:sz w:val="24"/>
          <w:szCs w:val="24"/>
        </w:rPr>
        <w:t xml:space="preserve">When is a </w:t>
      </w:r>
      <w:proofErr w:type="spellStart"/>
      <w:r w:rsidRPr="0005278D">
        <w:rPr>
          <w:rFonts w:cstheme="minorHAnsi"/>
          <w:b/>
          <w:color w:val="E36C0A" w:themeColor="accent6" w:themeShade="BF"/>
          <w:sz w:val="24"/>
          <w:szCs w:val="24"/>
        </w:rPr>
        <w:t>SaMBA</w:t>
      </w:r>
      <w:proofErr w:type="spellEnd"/>
      <w:r w:rsidRPr="0005278D">
        <w:rPr>
          <w:rFonts w:cstheme="minorHAnsi"/>
          <w:b/>
          <w:color w:val="E36C0A" w:themeColor="accent6" w:themeShade="BF"/>
          <w:sz w:val="24"/>
          <w:szCs w:val="24"/>
        </w:rPr>
        <w:t xml:space="preserve"> required?</w:t>
      </w:r>
    </w:p>
    <w:p w:rsidR="00CE5B54" w:rsidRPr="0005278D" w:rsidRDefault="00CE5B54" w:rsidP="00CE5B54">
      <w:pPr>
        <w:autoSpaceDE w:val="0"/>
        <w:autoSpaceDN w:val="0"/>
        <w:adjustRightInd w:val="0"/>
        <w:spacing w:after="360"/>
        <w:rPr>
          <w:rFonts w:cstheme="minorHAnsi"/>
          <w:bCs/>
          <w:sz w:val="24"/>
          <w:szCs w:val="24"/>
        </w:rPr>
      </w:pPr>
      <w:r w:rsidRPr="0005278D">
        <w:rPr>
          <w:rFonts w:cstheme="minorHAnsi"/>
          <w:sz w:val="24"/>
          <w:szCs w:val="24"/>
        </w:rPr>
        <w:t xml:space="preserve">A </w:t>
      </w:r>
      <w:proofErr w:type="spellStart"/>
      <w:r w:rsidRPr="0005278D">
        <w:rPr>
          <w:rFonts w:cstheme="minorHAnsi"/>
          <w:bCs/>
          <w:sz w:val="24"/>
          <w:szCs w:val="24"/>
        </w:rPr>
        <w:t>SaMBA</w:t>
      </w:r>
      <w:proofErr w:type="spellEnd"/>
      <w:r w:rsidRPr="0005278D">
        <w:rPr>
          <w:rFonts w:cstheme="minorHAnsi"/>
          <w:bCs/>
          <w:sz w:val="24"/>
          <w:szCs w:val="24"/>
        </w:rPr>
        <w:t xml:space="preserve"> </w:t>
      </w:r>
      <w:r w:rsidRPr="0005278D">
        <w:rPr>
          <w:rFonts w:cstheme="minorHAnsi"/>
          <w:sz w:val="24"/>
          <w:szCs w:val="24"/>
        </w:rPr>
        <w:t xml:space="preserve">is mandatory for all new domestic regulatory proposals </w:t>
      </w:r>
      <w:r>
        <w:rPr>
          <w:rFonts w:cstheme="minorHAnsi"/>
          <w:sz w:val="24"/>
          <w:szCs w:val="24"/>
        </w:rPr>
        <w:t xml:space="preserve">that come </w:t>
      </w:r>
      <w:r w:rsidRPr="0005278D">
        <w:rPr>
          <w:rFonts w:cstheme="minorHAnsi"/>
          <w:sz w:val="24"/>
          <w:szCs w:val="24"/>
        </w:rPr>
        <w:t xml:space="preserve">into force </w:t>
      </w:r>
      <w:r>
        <w:rPr>
          <w:rFonts w:cstheme="minorHAnsi"/>
          <w:sz w:val="24"/>
          <w:szCs w:val="24"/>
        </w:rPr>
        <w:t xml:space="preserve">after </w:t>
      </w:r>
      <w:r w:rsidRPr="0005278D">
        <w:rPr>
          <w:rFonts w:cstheme="minorHAnsi"/>
          <w:sz w:val="24"/>
          <w:szCs w:val="24"/>
        </w:rPr>
        <w:t>31 March 2014, except those which qualify for</w:t>
      </w:r>
      <w:r>
        <w:rPr>
          <w:rFonts w:cstheme="minorHAnsi"/>
          <w:sz w:val="24"/>
          <w:szCs w:val="24"/>
        </w:rPr>
        <w:t xml:space="preserve"> the</w:t>
      </w:r>
      <w:r w:rsidRPr="0005278D">
        <w:rPr>
          <w:rFonts w:cstheme="minorHAnsi"/>
          <w:sz w:val="24"/>
          <w:szCs w:val="24"/>
        </w:rPr>
        <w:t xml:space="preserve"> ‘</w:t>
      </w:r>
      <w:r w:rsidRPr="0005278D">
        <w:rPr>
          <w:rFonts w:cstheme="minorHAnsi"/>
          <w:bCs/>
          <w:sz w:val="24"/>
          <w:szCs w:val="24"/>
        </w:rPr>
        <w:t>Fast Track’.</w:t>
      </w:r>
    </w:p>
    <w:p w:rsidR="00CE5B54" w:rsidRPr="0005278D" w:rsidRDefault="00CE5B54" w:rsidP="00CE5B54">
      <w:pPr>
        <w:autoSpaceDE w:val="0"/>
        <w:autoSpaceDN w:val="0"/>
        <w:adjustRightInd w:val="0"/>
        <w:spacing w:after="120"/>
        <w:rPr>
          <w:rFonts w:cstheme="minorHAnsi"/>
          <w:b/>
          <w:color w:val="E36C0A" w:themeColor="accent6" w:themeShade="BF"/>
          <w:sz w:val="24"/>
          <w:szCs w:val="24"/>
        </w:rPr>
      </w:pPr>
      <w:r w:rsidRPr="0005278D">
        <w:rPr>
          <w:rFonts w:cstheme="minorHAnsi"/>
          <w:b/>
          <w:color w:val="E36C0A" w:themeColor="accent6" w:themeShade="BF"/>
          <w:sz w:val="24"/>
          <w:szCs w:val="24"/>
        </w:rPr>
        <w:t xml:space="preserve">When would the RPC expect to see a </w:t>
      </w:r>
      <w:proofErr w:type="spellStart"/>
      <w:r w:rsidRPr="0005278D">
        <w:rPr>
          <w:rFonts w:cstheme="minorHAnsi"/>
          <w:b/>
          <w:color w:val="E36C0A" w:themeColor="accent6" w:themeShade="BF"/>
          <w:sz w:val="24"/>
          <w:szCs w:val="24"/>
        </w:rPr>
        <w:t>SaMBA</w:t>
      </w:r>
      <w:proofErr w:type="spellEnd"/>
      <w:r w:rsidRPr="0005278D">
        <w:rPr>
          <w:rFonts w:cstheme="minorHAnsi"/>
          <w:b/>
          <w:color w:val="E36C0A" w:themeColor="accent6" w:themeShade="BF"/>
          <w:sz w:val="24"/>
          <w:szCs w:val="24"/>
        </w:rPr>
        <w:t>?</w:t>
      </w:r>
    </w:p>
    <w:p w:rsidR="00CE5B54" w:rsidRDefault="00CE5B54" w:rsidP="00CE5B54">
      <w:pPr>
        <w:autoSpaceDE w:val="0"/>
        <w:autoSpaceDN w:val="0"/>
        <w:adjustRightInd w:val="0"/>
        <w:spacing w:after="120"/>
        <w:rPr>
          <w:rFonts w:cstheme="minorHAnsi"/>
          <w:sz w:val="24"/>
          <w:szCs w:val="24"/>
        </w:rPr>
      </w:pPr>
      <w:r>
        <w:rPr>
          <w:rFonts w:cstheme="minorHAnsi"/>
          <w:sz w:val="24"/>
          <w:szCs w:val="24"/>
        </w:rPr>
        <w:t xml:space="preserve">The BRFM sets out circumstances when a </w:t>
      </w:r>
      <w:proofErr w:type="spellStart"/>
      <w:r>
        <w:rPr>
          <w:rFonts w:cstheme="minorHAnsi"/>
          <w:sz w:val="24"/>
          <w:szCs w:val="24"/>
        </w:rPr>
        <w:t>SaMBA</w:t>
      </w:r>
      <w:proofErr w:type="spellEnd"/>
      <w:r>
        <w:rPr>
          <w:rFonts w:cstheme="minorHAnsi"/>
          <w:sz w:val="24"/>
          <w:szCs w:val="24"/>
        </w:rPr>
        <w:t xml:space="preserve"> is required. However, many impact assessments would benefit from providing a </w:t>
      </w:r>
      <w:proofErr w:type="spellStart"/>
      <w:r w:rsidRPr="00021E8C">
        <w:rPr>
          <w:rFonts w:cstheme="minorHAnsi"/>
          <w:sz w:val="24"/>
          <w:szCs w:val="24"/>
        </w:rPr>
        <w:t>SaMBA</w:t>
      </w:r>
      <w:proofErr w:type="spellEnd"/>
      <w:r>
        <w:rPr>
          <w:rFonts w:cstheme="minorHAnsi"/>
          <w:sz w:val="24"/>
          <w:szCs w:val="24"/>
        </w:rPr>
        <w:t xml:space="preserve"> even when it is not mandatory, for example with some deregulatory and/or European and international measures. </w:t>
      </w:r>
      <w:r w:rsidRPr="0005278D">
        <w:rPr>
          <w:rFonts w:cstheme="minorHAnsi"/>
          <w:sz w:val="24"/>
          <w:szCs w:val="24"/>
        </w:rPr>
        <w:t>The RPC encourage</w:t>
      </w:r>
      <w:r>
        <w:rPr>
          <w:rFonts w:cstheme="minorHAnsi"/>
          <w:sz w:val="24"/>
          <w:szCs w:val="24"/>
        </w:rPr>
        <w:t>s</w:t>
      </w:r>
      <w:r w:rsidRPr="0005278D">
        <w:rPr>
          <w:rFonts w:cstheme="minorHAnsi"/>
          <w:sz w:val="24"/>
          <w:szCs w:val="24"/>
        </w:rPr>
        <w:t xml:space="preserve"> </w:t>
      </w:r>
      <w:r>
        <w:rPr>
          <w:rFonts w:cstheme="minorHAnsi"/>
          <w:sz w:val="24"/>
          <w:szCs w:val="24"/>
        </w:rPr>
        <w:t xml:space="preserve">the wider use of </w:t>
      </w:r>
      <w:proofErr w:type="spellStart"/>
      <w:r>
        <w:rPr>
          <w:rFonts w:cstheme="minorHAnsi"/>
          <w:sz w:val="24"/>
          <w:szCs w:val="24"/>
        </w:rPr>
        <w:t>SaMBAs</w:t>
      </w:r>
      <w:proofErr w:type="spellEnd"/>
      <w:r>
        <w:rPr>
          <w:rFonts w:cstheme="minorHAnsi"/>
          <w:sz w:val="24"/>
          <w:szCs w:val="24"/>
        </w:rPr>
        <w:t xml:space="preserve"> because t</w:t>
      </w:r>
      <w:r w:rsidRPr="0005278D">
        <w:rPr>
          <w:rFonts w:cstheme="minorHAnsi"/>
          <w:sz w:val="24"/>
          <w:szCs w:val="24"/>
        </w:rPr>
        <w:t>his</w:t>
      </w:r>
      <w:r>
        <w:rPr>
          <w:rFonts w:cstheme="minorHAnsi"/>
          <w:sz w:val="24"/>
          <w:szCs w:val="24"/>
        </w:rPr>
        <w:t xml:space="preserve"> contributes further to the </w:t>
      </w:r>
      <w:r w:rsidRPr="0005278D">
        <w:rPr>
          <w:rFonts w:cstheme="minorHAnsi"/>
          <w:sz w:val="24"/>
          <w:szCs w:val="24"/>
        </w:rPr>
        <w:t>balanced reporting of the regulatory burden faced by small businesses.</w:t>
      </w:r>
    </w:p>
    <w:p w:rsidR="00CE5B54" w:rsidRPr="0005278D" w:rsidRDefault="00CE5B54" w:rsidP="00CE5B54">
      <w:pPr>
        <w:autoSpaceDE w:val="0"/>
        <w:autoSpaceDN w:val="0"/>
        <w:adjustRightInd w:val="0"/>
        <w:spacing w:after="360"/>
        <w:rPr>
          <w:rFonts w:cstheme="minorHAnsi"/>
          <w:sz w:val="24"/>
          <w:szCs w:val="24"/>
        </w:rPr>
      </w:pPr>
      <w:r w:rsidRPr="0005278D">
        <w:rPr>
          <w:rFonts w:cstheme="minorHAnsi"/>
          <w:sz w:val="24"/>
          <w:szCs w:val="24"/>
        </w:rPr>
        <w:t xml:space="preserve">The inclusion of a </w:t>
      </w:r>
      <w:proofErr w:type="spellStart"/>
      <w:r w:rsidRPr="0005278D">
        <w:rPr>
          <w:rFonts w:cstheme="minorHAnsi"/>
          <w:sz w:val="24"/>
          <w:szCs w:val="24"/>
        </w:rPr>
        <w:t>SaMBA</w:t>
      </w:r>
      <w:proofErr w:type="spellEnd"/>
      <w:r w:rsidRPr="0005278D">
        <w:rPr>
          <w:rFonts w:cstheme="minorHAnsi"/>
          <w:sz w:val="24"/>
          <w:szCs w:val="24"/>
        </w:rPr>
        <w:t xml:space="preserve"> is </w:t>
      </w:r>
      <w:r>
        <w:rPr>
          <w:rFonts w:cstheme="minorHAnsi"/>
          <w:sz w:val="24"/>
          <w:szCs w:val="24"/>
        </w:rPr>
        <w:t>particularly</w:t>
      </w:r>
      <w:r w:rsidRPr="0005278D">
        <w:rPr>
          <w:rFonts w:cstheme="minorHAnsi"/>
          <w:sz w:val="24"/>
          <w:szCs w:val="24"/>
        </w:rPr>
        <w:t xml:space="preserve"> advisable for measures which, although deregulatory and benefitting businesses overall, could affect small businesses negatively. </w:t>
      </w:r>
      <w:r>
        <w:rPr>
          <w:rFonts w:cstheme="minorHAnsi"/>
          <w:sz w:val="24"/>
          <w:szCs w:val="24"/>
        </w:rPr>
        <w:t>Producing</w:t>
      </w:r>
      <w:r w:rsidRPr="0005278D">
        <w:rPr>
          <w:rFonts w:cstheme="minorHAnsi"/>
          <w:sz w:val="24"/>
          <w:szCs w:val="24"/>
        </w:rPr>
        <w:t xml:space="preserve"> a </w:t>
      </w:r>
      <w:proofErr w:type="spellStart"/>
      <w:r w:rsidRPr="0005278D">
        <w:rPr>
          <w:rFonts w:cstheme="minorHAnsi"/>
          <w:sz w:val="24"/>
          <w:szCs w:val="24"/>
        </w:rPr>
        <w:t>SaMBA</w:t>
      </w:r>
      <w:proofErr w:type="spellEnd"/>
      <w:r w:rsidRPr="0005278D">
        <w:rPr>
          <w:rFonts w:cstheme="minorHAnsi"/>
          <w:sz w:val="24"/>
          <w:szCs w:val="24"/>
        </w:rPr>
        <w:t xml:space="preserve"> in cases</w:t>
      </w:r>
      <w:r>
        <w:rPr>
          <w:rFonts w:cstheme="minorHAnsi"/>
          <w:sz w:val="24"/>
          <w:szCs w:val="24"/>
        </w:rPr>
        <w:t xml:space="preserve"> where a</w:t>
      </w:r>
      <w:r w:rsidRPr="0005278D">
        <w:rPr>
          <w:rFonts w:cstheme="minorHAnsi"/>
          <w:sz w:val="24"/>
          <w:szCs w:val="24"/>
        </w:rPr>
        <w:t xml:space="preserve"> policy proposal benefit</w:t>
      </w:r>
      <w:r>
        <w:rPr>
          <w:rFonts w:cstheme="minorHAnsi"/>
          <w:sz w:val="24"/>
          <w:szCs w:val="24"/>
        </w:rPr>
        <w:t>s</w:t>
      </w:r>
      <w:r w:rsidRPr="0005278D">
        <w:rPr>
          <w:rFonts w:cstheme="minorHAnsi"/>
          <w:sz w:val="24"/>
          <w:szCs w:val="24"/>
        </w:rPr>
        <w:t xml:space="preserve"> large </w:t>
      </w:r>
      <w:proofErr w:type="gramStart"/>
      <w:r w:rsidRPr="0005278D">
        <w:rPr>
          <w:rFonts w:cstheme="minorHAnsi"/>
          <w:sz w:val="24"/>
          <w:szCs w:val="24"/>
        </w:rPr>
        <w:t>businesses</w:t>
      </w:r>
      <w:proofErr w:type="gramEnd"/>
      <w:r w:rsidRPr="0005278D">
        <w:rPr>
          <w:rFonts w:cstheme="minorHAnsi"/>
          <w:sz w:val="24"/>
          <w:szCs w:val="24"/>
        </w:rPr>
        <w:t xml:space="preserve"> </w:t>
      </w:r>
      <w:r>
        <w:rPr>
          <w:rFonts w:cstheme="minorHAnsi"/>
          <w:sz w:val="24"/>
          <w:szCs w:val="24"/>
        </w:rPr>
        <w:t xml:space="preserve">at the expense of </w:t>
      </w:r>
      <w:r w:rsidRPr="0005278D">
        <w:rPr>
          <w:rFonts w:cstheme="minorHAnsi"/>
          <w:sz w:val="24"/>
          <w:szCs w:val="24"/>
        </w:rPr>
        <w:t>small businesses</w:t>
      </w:r>
      <w:r>
        <w:rPr>
          <w:rFonts w:cstheme="minorHAnsi"/>
          <w:sz w:val="24"/>
          <w:szCs w:val="24"/>
        </w:rPr>
        <w:t xml:space="preserve"> is recommended, so that alternative policy options or exemption/mitigation options are considered</w:t>
      </w:r>
      <w:r w:rsidRPr="0005278D">
        <w:rPr>
          <w:rFonts w:cstheme="minorHAnsi"/>
          <w:sz w:val="24"/>
          <w:szCs w:val="24"/>
        </w:rPr>
        <w:t>.</w:t>
      </w:r>
    </w:p>
    <w:p w:rsidR="00CE5B54" w:rsidRPr="0005278D" w:rsidRDefault="00CE5B54" w:rsidP="00CE5B54">
      <w:pPr>
        <w:autoSpaceDE w:val="0"/>
        <w:autoSpaceDN w:val="0"/>
        <w:adjustRightInd w:val="0"/>
        <w:spacing w:after="120" w:line="23" w:lineRule="atLeast"/>
        <w:rPr>
          <w:rFonts w:cstheme="minorHAnsi"/>
          <w:b/>
          <w:color w:val="E36C0A" w:themeColor="accent6" w:themeShade="BF"/>
          <w:sz w:val="24"/>
          <w:szCs w:val="24"/>
        </w:rPr>
      </w:pPr>
      <w:r w:rsidRPr="0005278D">
        <w:rPr>
          <w:rFonts w:cstheme="minorHAnsi"/>
          <w:b/>
          <w:color w:val="E36C0A" w:themeColor="accent6" w:themeShade="BF"/>
          <w:sz w:val="24"/>
          <w:szCs w:val="24"/>
        </w:rPr>
        <w:t xml:space="preserve">What should a </w:t>
      </w:r>
      <w:proofErr w:type="spellStart"/>
      <w:r w:rsidRPr="0005278D">
        <w:rPr>
          <w:rFonts w:cstheme="minorHAnsi"/>
          <w:b/>
          <w:color w:val="E36C0A" w:themeColor="accent6" w:themeShade="BF"/>
          <w:sz w:val="24"/>
          <w:szCs w:val="24"/>
        </w:rPr>
        <w:t>SaMBA</w:t>
      </w:r>
      <w:proofErr w:type="spellEnd"/>
      <w:r w:rsidRPr="0005278D">
        <w:rPr>
          <w:rFonts w:cstheme="minorHAnsi"/>
          <w:b/>
          <w:color w:val="E36C0A" w:themeColor="accent6" w:themeShade="BF"/>
          <w:sz w:val="24"/>
          <w:szCs w:val="24"/>
        </w:rPr>
        <w:t xml:space="preserve"> include? What level of analysis does the RPC expect?</w:t>
      </w:r>
    </w:p>
    <w:p w:rsidR="00CE5B54" w:rsidRPr="0005278D" w:rsidRDefault="00CE5B54" w:rsidP="00CE5B54">
      <w:pPr>
        <w:spacing w:after="120"/>
        <w:rPr>
          <w:rFonts w:cstheme="minorHAnsi"/>
          <w:color w:val="000000" w:themeColor="text1"/>
          <w:sz w:val="24"/>
          <w:szCs w:val="24"/>
        </w:rPr>
      </w:pPr>
      <w:r w:rsidRPr="0005278D">
        <w:rPr>
          <w:rFonts w:cstheme="minorHAnsi"/>
          <w:color w:val="000000" w:themeColor="text1"/>
          <w:sz w:val="24"/>
          <w:szCs w:val="24"/>
        </w:rPr>
        <w:t xml:space="preserve">The default assumption for </w:t>
      </w:r>
      <w:proofErr w:type="spellStart"/>
      <w:r w:rsidRPr="0005278D">
        <w:rPr>
          <w:rFonts w:cstheme="minorHAnsi"/>
          <w:bCs/>
          <w:color w:val="000000" w:themeColor="text1"/>
          <w:sz w:val="24"/>
          <w:szCs w:val="24"/>
        </w:rPr>
        <w:t>SaMBA</w:t>
      </w:r>
      <w:proofErr w:type="spellEnd"/>
      <w:r w:rsidRPr="0005278D">
        <w:rPr>
          <w:rFonts w:cstheme="minorHAnsi"/>
          <w:color w:val="000000" w:themeColor="text1"/>
          <w:sz w:val="24"/>
          <w:szCs w:val="24"/>
        </w:rPr>
        <w:t xml:space="preserve"> is that where a large part of the intended benefits can </w:t>
      </w:r>
      <w:r>
        <w:rPr>
          <w:rFonts w:cstheme="minorHAnsi"/>
          <w:color w:val="000000" w:themeColor="text1"/>
          <w:sz w:val="24"/>
          <w:szCs w:val="24"/>
        </w:rPr>
        <w:t xml:space="preserve">be </w:t>
      </w:r>
      <w:r w:rsidRPr="0005278D">
        <w:rPr>
          <w:rFonts w:cstheme="minorHAnsi"/>
          <w:color w:val="000000" w:themeColor="text1"/>
          <w:sz w:val="24"/>
          <w:szCs w:val="24"/>
        </w:rPr>
        <w:t xml:space="preserve">achieved without including smaller businesses, an exemption will </w:t>
      </w:r>
      <w:r>
        <w:rPr>
          <w:rFonts w:cstheme="minorHAnsi"/>
          <w:color w:val="000000" w:themeColor="text1"/>
          <w:sz w:val="24"/>
          <w:szCs w:val="24"/>
        </w:rPr>
        <w:t xml:space="preserve">normally </w:t>
      </w:r>
      <w:r w:rsidRPr="0005278D">
        <w:rPr>
          <w:rFonts w:cstheme="minorHAnsi"/>
          <w:color w:val="000000" w:themeColor="text1"/>
          <w:sz w:val="24"/>
          <w:szCs w:val="24"/>
        </w:rPr>
        <w:t>be applied. Departments should think c</w:t>
      </w:r>
      <w:r>
        <w:rPr>
          <w:rFonts w:cstheme="minorHAnsi"/>
          <w:color w:val="000000" w:themeColor="text1"/>
          <w:sz w:val="24"/>
          <w:szCs w:val="24"/>
        </w:rPr>
        <w:t>arefully</w:t>
      </w:r>
      <w:r w:rsidRPr="0005278D">
        <w:rPr>
          <w:rFonts w:cstheme="minorHAnsi"/>
          <w:color w:val="000000" w:themeColor="text1"/>
          <w:sz w:val="24"/>
          <w:szCs w:val="24"/>
        </w:rPr>
        <w:t xml:space="preserve"> about whether it is necessary to extend a measure to micro and/or small businesses at the very outset of policy development. </w:t>
      </w:r>
    </w:p>
    <w:p w:rsidR="00CE5B54" w:rsidRPr="00565C52" w:rsidRDefault="00CE5B54" w:rsidP="00CE5B54">
      <w:pPr>
        <w:pBdr>
          <w:top w:val="single" w:sz="12" w:space="2"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BD4B4" w:themeFill="accent6" w:themeFillTint="66"/>
        <w:spacing w:after="0"/>
        <w:rPr>
          <w:rFonts w:cstheme="minorHAnsi"/>
          <w:color w:val="000000" w:themeColor="text1"/>
          <w:sz w:val="8"/>
          <w:szCs w:val="8"/>
        </w:rPr>
      </w:pPr>
    </w:p>
    <w:p w:rsidR="00CE5B54" w:rsidRDefault="00CE5B54" w:rsidP="00CE5B54">
      <w:pPr>
        <w:pBdr>
          <w:top w:val="single" w:sz="12" w:space="2"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BD4B4" w:themeFill="accent6" w:themeFillTint="66"/>
        <w:spacing w:after="0"/>
        <w:rPr>
          <w:rFonts w:cstheme="minorHAnsi"/>
          <w:color w:val="000000" w:themeColor="text1"/>
          <w:sz w:val="24"/>
          <w:szCs w:val="24"/>
        </w:rPr>
      </w:pPr>
      <w:r w:rsidRPr="0005278D">
        <w:rPr>
          <w:rFonts w:cstheme="minorHAnsi"/>
          <w:color w:val="000000" w:themeColor="text1"/>
          <w:sz w:val="24"/>
          <w:szCs w:val="24"/>
        </w:rPr>
        <w:t>The regulatory requirement can be extended to smaller businesses</w:t>
      </w:r>
      <w:r>
        <w:rPr>
          <w:rFonts w:cstheme="minorHAnsi"/>
          <w:color w:val="000000" w:themeColor="text1"/>
          <w:sz w:val="24"/>
          <w:szCs w:val="24"/>
        </w:rPr>
        <w:t xml:space="preserve"> if:</w:t>
      </w:r>
    </w:p>
    <w:p w:rsidR="00CE5B54" w:rsidRPr="002D2E21" w:rsidRDefault="00CE5B54" w:rsidP="00CE5B54">
      <w:pPr>
        <w:pBdr>
          <w:top w:val="single" w:sz="12" w:space="2"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BD4B4" w:themeFill="accent6" w:themeFillTint="66"/>
        <w:spacing w:after="0"/>
        <w:rPr>
          <w:rFonts w:cstheme="minorHAnsi"/>
          <w:color w:val="000000" w:themeColor="text1"/>
          <w:sz w:val="4"/>
          <w:szCs w:val="4"/>
        </w:rPr>
      </w:pPr>
      <w:r w:rsidRPr="0005278D">
        <w:rPr>
          <w:rFonts w:cstheme="minorHAnsi"/>
          <w:color w:val="000000" w:themeColor="text1"/>
          <w:sz w:val="24"/>
          <w:szCs w:val="24"/>
        </w:rPr>
        <w:t xml:space="preserve"> </w:t>
      </w:r>
    </w:p>
    <w:p w:rsidR="00CE5B54" w:rsidRPr="00565C52" w:rsidRDefault="00CE5B54" w:rsidP="00CE5B54">
      <w:pPr>
        <w:pBdr>
          <w:top w:val="single" w:sz="12" w:space="2"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BD4B4" w:themeFill="accent6" w:themeFillTint="66"/>
        <w:spacing w:after="0"/>
        <w:rPr>
          <w:rFonts w:cstheme="minorHAnsi"/>
          <w:color w:val="000000" w:themeColor="text1"/>
          <w:sz w:val="24"/>
          <w:szCs w:val="24"/>
        </w:rPr>
      </w:pPr>
      <w:r>
        <w:rPr>
          <w:rFonts w:cstheme="minorHAnsi"/>
          <w:b/>
          <w:color w:val="000000" w:themeColor="text1"/>
          <w:sz w:val="24"/>
          <w:szCs w:val="24"/>
        </w:rPr>
        <w:t xml:space="preserve">       </w:t>
      </w:r>
      <w:proofErr w:type="gramStart"/>
      <w:r w:rsidRPr="00565C52">
        <w:rPr>
          <w:rFonts w:cstheme="minorHAnsi"/>
          <w:b/>
          <w:color w:val="000000" w:themeColor="text1"/>
          <w:sz w:val="24"/>
          <w:szCs w:val="24"/>
        </w:rPr>
        <w:t>a</w:t>
      </w:r>
      <w:proofErr w:type="gramEnd"/>
      <w:r w:rsidRPr="00565C52">
        <w:rPr>
          <w:rFonts w:cstheme="minorHAnsi"/>
          <w:b/>
          <w:color w:val="000000" w:themeColor="text1"/>
          <w:sz w:val="24"/>
          <w:szCs w:val="24"/>
        </w:rPr>
        <w:t>.</w:t>
      </w:r>
      <w:r>
        <w:rPr>
          <w:rFonts w:cstheme="minorHAnsi"/>
          <w:color w:val="000000" w:themeColor="text1"/>
          <w:sz w:val="24"/>
          <w:szCs w:val="24"/>
        </w:rPr>
        <w:t xml:space="preserve"> </w:t>
      </w:r>
      <w:r w:rsidRPr="00565C52">
        <w:rPr>
          <w:rFonts w:cstheme="minorHAnsi"/>
          <w:color w:val="000000" w:themeColor="text1"/>
          <w:sz w:val="24"/>
          <w:szCs w:val="24"/>
        </w:rPr>
        <w:t xml:space="preserve">any </w:t>
      </w:r>
      <w:r w:rsidRPr="00565C52">
        <w:rPr>
          <w:rFonts w:cstheme="minorHAnsi"/>
          <w:b/>
          <w:i/>
          <w:color w:val="000000" w:themeColor="text1"/>
          <w:sz w:val="24"/>
          <w:szCs w:val="24"/>
        </w:rPr>
        <w:t>disproportionate burdens</w:t>
      </w:r>
      <w:r w:rsidRPr="00565C52">
        <w:rPr>
          <w:rFonts w:cstheme="minorHAnsi"/>
          <w:i/>
          <w:color w:val="000000" w:themeColor="text1"/>
          <w:sz w:val="24"/>
          <w:szCs w:val="24"/>
        </w:rPr>
        <w:t xml:space="preserve"> </w:t>
      </w:r>
      <w:r w:rsidRPr="00565C52">
        <w:rPr>
          <w:rFonts w:cstheme="minorHAnsi"/>
          <w:color w:val="000000" w:themeColor="text1"/>
          <w:sz w:val="24"/>
          <w:szCs w:val="24"/>
        </w:rPr>
        <w:t>have been mitigated; and</w:t>
      </w:r>
    </w:p>
    <w:p w:rsidR="00CE5B54" w:rsidRPr="002D2E21" w:rsidRDefault="00CE5B54" w:rsidP="00CE5B54">
      <w:pPr>
        <w:pBdr>
          <w:top w:val="single" w:sz="12" w:space="2"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BD4B4" w:themeFill="accent6" w:themeFillTint="66"/>
        <w:spacing w:after="0"/>
        <w:rPr>
          <w:rFonts w:cstheme="minorHAnsi"/>
          <w:color w:val="000000" w:themeColor="text1"/>
          <w:sz w:val="12"/>
          <w:szCs w:val="12"/>
        </w:rPr>
      </w:pPr>
    </w:p>
    <w:p w:rsidR="00CE5B54" w:rsidRDefault="00CE5B54" w:rsidP="00CE5B54">
      <w:pPr>
        <w:pBdr>
          <w:top w:val="single" w:sz="12" w:space="2"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BD4B4" w:themeFill="accent6" w:themeFillTint="66"/>
        <w:spacing w:after="0"/>
        <w:rPr>
          <w:rFonts w:cstheme="minorHAnsi"/>
          <w:b/>
          <w:i/>
          <w:color w:val="000000" w:themeColor="text1"/>
          <w:sz w:val="24"/>
          <w:szCs w:val="24"/>
        </w:rPr>
      </w:pPr>
      <w:r>
        <w:rPr>
          <w:rFonts w:cstheme="minorHAnsi"/>
          <w:b/>
          <w:color w:val="000000" w:themeColor="text1"/>
          <w:sz w:val="24"/>
          <w:szCs w:val="24"/>
        </w:rPr>
        <w:t xml:space="preserve">       </w:t>
      </w:r>
      <w:proofErr w:type="gramStart"/>
      <w:r w:rsidRPr="00565C52">
        <w:rPr>
          <w:rFonts w:cstheme="minorHAnsi"/>
          <w:b/>
          <w:color w:val="000000" w:themeColor="text1"/>
          <w:sz w:val="24"/>
          <w:szCs w:val="24"/>
        </w:rPr>
        <w:t>b</w:t>
      </w:r>
      <w:proofErr w:type="gramEnd"/>
      <w:r w:rsidRPr="00565C52">
        <w:rPr>
          <w:rFonts w:cstheme="minorHAnsi"/>
          <w:b/>
          <w:color w:val="000000" w:themeColor="text1"/>
          <w:sz w:val="24"/>
          <w:szCs w:val="24"/>
        </w:rPr>
        <w:t>.</w:t>
      </w:r>
      <w:r>
        <w:rPr>
          <w:rFonts w:cstheme="minorHAnsi"/>
          <w:color w:val="000000" w:themeColor="text1"/>
          <w:sz w:val="24"/>
          <w:szCs w:val="24"/>
        </w:rPr>
        <w:t xml:space="preserve"> </w:t>
      </w:r>
      <w:r w:rsidRPr="00565C52">
        <w:rPr>
          <w:rFonts w:cstheme="minorHAnsi"/>
          <w:color w:val="000000" w:themeColor="text1"/>
          <w:sz w:val="24"/>
          <w:szCs w:val="24"/>
        </w:rPr>
        <w:t xml:space="preserve">the exemption of small businesses is not viable or compatible with achieving </w:t>
      </w:r>
      <w:r w:rsidRPr="00565C52">
        <w:rPr>
          <w:rFonts w:cstheme="minorHAnsi"/>
          <w:b/>
          <w:i/>
          <w:color w:val="000000" w:themeColor="text1"/>
          <w:sz w:val="24"/>
          <w:szCs w:val="24"/>
        </w:rPr>
        <w:t>a large</w:t>
      </w:r>
    </w:p>
    <w:p w:rsidR="00CE5B54" w:rsidRDefault="00CE5B54" w:rsidP="00CE5B54">
      <w:pPr>
        <w:pBdr>
          <w:top w:val="single" w:sz="12" w:space="2"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BD4B4" w:themeFill="accent6" w:themeFillTint="66"/>
        <w:spacing w:after="0"/>
        <w:rPr>
          <w:rFonts w:cstheme="minorHAnsi"/>
          <w:color w:val="000000" w:themeColor="text1"/>
          <w:sz w:val="24"/>
          <w:szCs w:val="24"/>
        </w:rPr>
      </w:pPr>
      <w:r>
        <w:rPr>
          <w:rFonts w:cstheme="minorHAnsi"/>
          <w:b/>
          <w:i/>
          <w:color w:val="000000" w:themeColor="text1"/>
          <w:sz w:val="24"/>
          <w:szCs w:val="24"/>
        </w:rPr>
        <w:t xml:space="preserve">         </w:t>
      </w:r>
      <w:r w:rsidRPr="00565C52">
        <w:rPr>
          <w:rFonts w:cstheme="minorHAnsi"/>
          <w:b/>
          <w:i/>
          <w:color w:val="000000" w:themeColor="text1"/>
          <w:sz w:val="24"/>
          <w:szCs w:val="24"/>
        </w:rPr>
        <w:t xml:space="preserve"> </w:t>
      </w:r>
      <w:r>
        <w:rPr>
          <w:rFonts w:cstheme="minorHAnsi"/>
          <w:b/>
          <w:i/>
          <w:color w:val="000000" w:themeColor="text1"/>
          <w:sz w:val="24"/>
          <w:szCs w:val="24"/>
        </w:rPr>
        <w:t xml:space="preserve"> </w:t>
      </w:r>
      <w:proofErr w:type="gramStart"/>
      <w:r w:rsidRPr="00565C52">
        <w:rPr>
          <w:rFonts w:cstheme="minorHAnsi"/>
          <w:b/>
          <w:i/>
          <w:color w:val="000000" w:themeColor="text1"/>
          <w:sz w:val="24"/>
          <w:szCs w:val="24"/>
        </w:rPr>
        <w:t>part</w:t>
      </w:r>
      <w:proofErr w:type="gramEnd"/>
      <w:r w:rsidRPr="00565C52">
        <w:rPr>
          <w:rFonts w:cstheme="minorHAnsi"/>
          <w:b/>
          <w:i/>
          <w:color w:val="000000" w:themeColor="text1"/>
          <w:sz w:val="24"/>
          <w:szCs w:val="24"/>
        </w:rPr>
        <w:t xml:space="preserve"> of the intended benefits</w:t>
      </w:r>
      <w:r w:rsidRPr="00565C52">
        <w:rPr>
          <w:rFonts w:cstheme="minorHAnsi"/>
          <w:i/>
          <w:color w:val="000000" w:themeColor="text1"/>
          <w:sz w:val="24"/>
          <w:szCs w:val="24"/>
        </w:rPr>
        <w:t xml:space="preserve"> </w:t>
      </w:r>
      <w:r w:rsidRPr="00565C52">
        <w:rPr>
          <w:rFonts w:cstheme="minorHAnsi"/>
          <w:color w:val="000000" w:themeColor="text1"/>
          <w:sz w:val="24"/>
          <w:szCs w:val="24"/>
        </w:rPr>
        <w:t xml:space="preserve">of the measure. </w:t>
      </w:r>
    </w:p>
    <w:p w:rsidR="00CE5B54" w:rsidRPr="00565C52" w:rsidRDefault="00CE5B54" w:rsidP="00CE5B54">
      <w:pPr>
        <w:pBdr>
          <w:top w:val="single" w:sz="12" w:space="2"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BD4B4" w:themeFill="accent6" w:themeFillTint="66"/>
        <w:spacing w:after="0"/>
        <w:rPr>
          <w:rFonts w:cstheme="minorHAnsi"/>
          <w:color w:val="000000" w:themeColor="text1"/>
          <w:sz w:val="8"/>
          <w:szCs w:val="8"/>
        </w:rPr>
      </w:pPr>
    </w:p>
    <w:p w:rsidR="00CE5B54" w:rsidRPr="009133AD" w:rsidRDefault="00CE5B54" w:rsidP="00CE5B54">
      <w:pPr>
        <w:rPr>
          <w:rFonts w:cstheme="minorHAnsi"/>
          <w:color w:val="000000" w:themeColor="text1"/>
          <w:sz w:val="4"/>
          <w:szCs w:val="4"/>
        </w:rPr>
      </w:pPr>
    </w:p>
    <w:p w:rsidR="00CE5B54" w:rsidRPr="0005278D" w:rsidRDefault="00CE5B54" w:rsidP="00CE5B54">
      <w:pPr>
        <w:rPr>
          <w:rFonts w:cstheme="minorHAnsi"/>
          <w:color w:val="000000" w:themeColor="text1"/>
          <w:sz w:val="24"/>
          <w:szCs w:val="24"/>
        </w:rPr>
      </w:pPr>
      <w:r w:rsidRPr="0040157A">
        <w:rPr>
          <w:noProof/>
          <w:lang w:eastAsia="en-GB"/>
        </w:rPr>
        <w:lastRenderedPageBreak/>
        <mc:AlternateContent>
          <mc:Choice Requires="wps">
            <w:drawing>
              <wp:anchor distT="0" distB="0" distL="114300" distR="114300" simplePos="0" relativeHeight="251714560" behindDoc="0" locked="0" layoutInCell="1" allowOverlap="1" wp14:anchorId="7FB1FF39" wp14:editId="6A99357A">
                <wp:simplePos x="0" y="0"/>
                <wp:positionH relativeFrom="column">
                  <wp:posOffset>-796290</wp:posOffset>
                </wp:positionH>
                <wp:positionV relativeFrom="paragraph">
                  <wp:posOffset>49530</wp:posOffset>
                </wp:positionV>
                <wp:extent cx="643255" cy="44831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643255" cy="448310"/>
                        </a:xfrm>
                        <a:prstGeom prst="rect">
                          <a:avLst/>
                        </a:prstGeom>
                        <a:noFill/>
                        <a:ln w="6350">
                          <a:noFill/>
                        </a:ln>
                        <a:effectLst/>
                      </wps:spPr>
                      <wps:txbx>
                        <w:txbxContent>
                          <w:p w:rsidR="00C90A59" w:rsidRPr="00ED65B4" w:rsidRDefault="00C90A59" w:rsidP="00CE5B54">
                            <w:pPr>
                              <w:pBdr>
                                <w:top w:val="single" w:sz="4" w:space="1" w:color="F79646" w:themeColor="accent6"/>
                                <w:bottom w:val="single" w:sz="4" w:space="1" w:color="F79646" w:themeColor="accent6"/>
                              </w:pBdr>
                              <w:spacing w:after="0"/>
                              <w:jc w:val="center"/>
                              <w:rPr>
                                <w:rFonts w:cstheme="minorHAnsi"/>
                                <w:i/>
                                <w:color w:val="E36C0A" w:themeColor="accent6" w:themeShade="BF"/>
                                <w:sz w:val="16"/>
                                <w:szCs w:val="16"/>
                              </w:rPr>
                            </w:pPr>
                            <w:r w:rsidRPr="00ED65B4">
                              <w:rPr>
                                <w:rFonts w:cstheme="minorHAnsi"/>
                                <w:b/>
                                <w:i/>
                                <w:color w:val="E36C0A" w:themeColor="accent6" w:themeShade="BF"/>
                                <w:sz w:val="16"/>
                                <w:szCs w:val="16"/>
                              </w:rPr>
                              <w:t>Potential red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margin-left:-62.7pt;margin-top:3.9pt;width:50.65pt;height:35.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sZ7NgIAAGcEAAAOAAAAZHJzL2Uyb0RvYy54bWysVE1v2zAMvQ/YfxB0X5zPrg3iFFmLDAOC&#10;tkBS9KzIcmzAFjVJiZ39+j3JSRp0Ow27yBRJ8eM90rP7tq7YQVlXkk75oNfnTGlJWal3KX/dLL/c&#10;cua80JmoSKuUH5Xj9/PPn2aNmaohFVRlyjIE0W7amJQX3ptpkjhZqFq4HhmlYczJ1sLjandJZkWD&#10;6HWVDPv9m6QhmxlLUjkH7WNn5PMYP8+V9M957pRnVcpRm4+njec2nMl8JqY7K0xRylMZ4h+qqEWp&#10;kfQS6lF4wfa2/CNUXUpLjnLfk1QnlOelVLEHdDPof+hmXQijYi8Ax5kLTO7/hZVPhxfLygzcjTjT&#10;ogZHG9V69o1aBhXwaYybwm1t4Ohb6OF71jsoQ9ttbuvwRUMMdiB9vKAbokkob8aj4WTCmYRpPL4d&#10;DSL6yftjY53/rqhmQUi5BXkRU3FYOY9C4Hp2Cbk0LcuqigRWmjVIMJr044OLBS8qHXxVHIVTmNBQ&#10;V3iQfLttIwB356a2lB3Rq6VuWpyRyxIVrYTzL8JiPNAeRt4/48grQmY6SZwVZH/9TR/8wRqsnDUY&#10;t5S7n3thFWfVDw0+7wbjcZjPeBlPvg5xsdeW7bVF7+sHwkQPsFxGRjH4++os5pbqN2zGImSFSWiJ&#10;3Cn3Z/HBd0uAzZJqsYhOmEgj/EqvjQyhA24B7037Jqw5keLB5hOdB1NMP3DT+XbsLPae8jISF3Du&#10;UAWL4YJpjnyeNi+sy/U9er3/H+a/AQAA//8DAFBLAwQUAAYACAAAACEAbbUWE+AAAAAJAQAADwAA&#10;AGRycy9kb3ducmV2LnhtbEyPQUvDQBCF74L/YRnBW7pJSLXEbEoJFEH00NqLt0l2mgSzszG7baO/&#10;3u1Jj4/5ePO9Yj2bQZxpcr1lBckiBkHcWN1zq+Dwvo1WIJxH1jhYJgXf5GBd3t4UmGt74R2d974V&#10;oYRdjgo678dcStd0ZNAt7Egcbkc7GfQhTq3UE15CuRlkGscP0mDP4UOHI1UdNZ/7k1HwUm3fcFen&#10;ZvUzVM+vx834dfhYKnV/N2+eQHia/R8MV/2gDmVwqu2JtRODgihJl1lgFTyGCQGI0iwBUV9zBrIs&#10;5P8F5S8AAAD//wMAUEsBAi0AFAAGAAgAAAAhALaDOJL+AAAA4QEAABMAAAAAAAAAAAAAAAAAAAAA&#10;AFtDb250ZW50X1R5cGVzXS54bWxQSwECLQAUAAYACAAAACEAOP0h/9YAAACUAQAACwAAAAAAAAAA&#10;AAAAAAAvAQAAX3JlbHMvLnJlbHNQSwECLQAUAAYACAAAACEAJorGezYCAABnBAAADgAAAAAAAAAA&#10;AAAAAAAuAgAAZHJzL2Uyb0RvYy54bWxQSwECLQAUAAYACAAAACEAbbUWE+AAAAAJAQAADwAAAAAA&#10;AAAAAAAAAACQBAAAZHJzL2Rvd25yZXYueG1sUEsFBgAAAAAEAAQA8wAAAJ0FAAAAAA==&#10;" filled="f" stroked="f" strokeweight=".5pt">
                <v:textbox>
                  <w:txbxContent>
                    <w:p w:rsidR="00C90A59" w:rsidRPr="00ED65B4" w:rsidRDefault="00C90A59" w:rsidP="00CE5B54">
                      <w:pPr>
                        <w:pBdr>
                          <w:top w:val="single" w:sz="4" w:space="1" w:color="F79646" w:themeColor="accent6"/>
                          <w:bottom w:val="single" w:sz="4" w:space="1" w:color="F79646" w:themeColor="accent6"/>
                        </w:pBdr>
                        <w:spacing w:after="0"/>
                        <w:jc w:val="center"/>
                        <w:rPr>
                          <w:rFonts w:cstheme="minorHAnsi"/>
                          <w:i/>
                          <w:color w:val="E36C0A" w:themeColor="accent6" w:themeShade="BF"/>
                          <w:sz w:val="16"/>
                          <w:szCs w:val="16"/>
                        </w:rPr>
                      </w:pPr>
                      <w:r w:rsidRPr="00ED65B4">
                        <w:rPr>
                          <w:rFonts w:cstheme="minorHAnsi"/>
                          <w:b/>
                          <w:i/>
                          <w:color w:val="E36C0A" w:themeColor="accent6" w:themeShade="BF"/>
                          <w:sz w:val="16"/>
                          <w:szCs w:val="16"/>
                        </w:rPr>
                        <w:t>Potential red point</w:t>
                      </w:r>
                    </w:p>
                  </w:txbxContent>
                </v:textbox>
                <w10:wrap type="square"/>
              </v:shape>
            </w:pict>
          </mc:Fallback>
        </mc:AlternateContent>
      </w:r>
      <w:r w:rsidRPr="0005278D">
        <w:rPr>
          <w:rFonts w:cstheme="minorHAnsi"/>
          <w:color w:val="000000" w:themeColor="text1"/>
          <w:sz w:val="24"/>
          <w:szCs w:val="24"/>
        </w:rPr>
        <w:t xml:space="preserve">The </w:t>
      </w:r>
      <w:proofErr w:type="spellStart"/>
      <w:r w:rsidRPr="0005278D">
        <w:rPr>
          <w:rFonts w:cstheme="minorHAnsi"/>
          <w:color w:val="000000" w:themeColor="text1"/>
          <w:sz w:val="24"/>
          <w:szCs w:val="24"/>
        </w:rPr>
        <w:t>SaMBA</w:t>
      </w:r>
      <w:proofErr w:type="spellEnd"/>
      <w:r w:rsidRPr="0005278D">
        <w:rPr>
          <w:rFonts w:cstheme="minorHAnsi"/>
          <w:color w:val="000000" w:themeColor="text1"/>
          <w:sz w:val="24"/>
          <w:szCs w:val="24"/>
        </w:rPr>
        <w:t xml:space="preserve"> should include sufficient analysis on both points to </w:t>
      </w:r>
      <w:r>
        <w:rPr>
          <w:rFonts w:cstheme="minorHAnsi"/>
          <w:color w:val="000000" w:themeColor="text1"/>
          <w:sz w:val="24"/>
          <w:szCs w:val="24"/>
        </w:rPr>
        <w:t>en</w:t>
      </w:r>
      <w:r w:rsidRPr="0005278D">
        <w:rPr>
          <w:rFonts w:cstheme="minorHAnsi"/>
          <w:color w:val="000000" w:themeColor="text1"/>
          <w:sz w:val="24"/>
          <w:szCs w:val="24"/>
        </w:rPr>
        <w:t>sure that any decision about the exemption (or not) of smaller businesses is based upon the evidence.</w:t>
      </w:r>
      <w:r w:rsidRPr="0040157A">
        <w:rPr>
          <w:noProof/>
          <w:lang w:eastAsia="en-GB"/>
        </w:rPr>
        <w:t xml:space="preserve"> </w:t>
      </w:r>
    </w:p>
    <w:p w:rsidR="00CE5B54" w:rsidRDefault="00CE5B54" w:rsidP="00CE5B54">
      <w:pPr>
        <w:spacing w:after="120" w:line="240" w:lineRule="auto"/>
        <w:rPr>
          <w:rFonts w:cstheme="minorHAnsi"/>
          <w:b/>
          <w:color w:val="000000" w:themeColor="text1"/>
          <w:sz w:val="24"/>
          <w:szCs w:val="24"/>
        </w:rPr>
      </w:pPr>
    </w:p>
    <w:p w:rsidR="00CE5B54" w:rsidRPr="00D32B05" w:rsidRDefault="00CE5B54" w:rsidP="00CE5B54">
      <w:pPr>
        <w:spacing w:after="120" w:line="240" w:lineRule="auto"/>
        <w:rPr>
          <w:rFonts w:cstheme="minorHAnsi"/>
          <w:b/>
          <w:color w:val="000000" w:themeColor="text1"/>
          <w:sz w:val="24"/>
          <w:szCs w:val="24"/>
        </w:rPr>
      </w:pPr>
      <w:r w:rsidRPr="00D32B05">
        <w:rPr>
          <w:rFonts w:cstheme="minorHAnsi"/>
          <w:b/>
          <w:color w:val="000000" w:themeColor="text1"/>
          <w:sz w:val="24"/>
          <w:szCs w:val="24"/>
        </w:rPr>
        <w:t xml:space="preserve">Table </w:t>
      </w:r>
      <w:r w:rsidR="004409D4">
        <w:rPr>
          <w:rFonts w:cstheme="minorHAnsi"/>
          <w:b/>
          <w:color w:val="000000" w:themeColor="text1"/>
          <w:sz w:val="24"/>
          <w:szCs w:val="24"/>
        </w:rPr>
        <w:t>3</w:t>
      </w:r>
      <w:r w:rsidRPr="00D32B05">
        <w:rPr>
          <w:rFonts w:cstheme="minorHAnsi"/>
          <w:b/>
          <w:color w:val="000000" w:themeColor="text1"/>
          <w:sz w:val="24"/>
          <w:szCs w:val="24"/>
        </w:rPr>
        <w:t xml:space="preserve">: </w:t>
      </w:r>
      <w:r>
        <w:rPr>
          <w:rFonts w:cstheme="minorHAnsi"/>
          <w:b/>
          <w:color w:val="000000" w:themeColor="text1"/>
          <w:sz w:val="24"/>
          <w:szCs w:val="24"/>
        </w:rPr>
        <w:t>Exemption and mitigation</w:t>
      </w:r>
    </w:p>
    <w:tbl>
      <w:tblPr>
        <w:tblStyle w:val="TableGrid"/>
        <w:tblpPr w:leftFromText="180" w:rightFromText="180" w:vertAnchor="text" w:horzAnchor="margin" w:tblpXSpec="center" w:tblpY="35"/>
        <w:tblW w:w="0" w:type="auto"/>
        <w:jc w:val="center"/>
        <w:tblLook w:val="04A0" w:firstRow="1" w:lastRow="0" w:firstColumn="1" w:lastColumn="0" w:noHBand="0" w:noVBand="1"/>
      </w:tblPr>
      <w:tblGrid>
        <w:gridCol w:w="2310"/>
        <w:gridCol w:w="1134"/>
        <w:gridCol w:w="2311"/>
        <w:gridCol w:w="2311"/>
      </w:tblGrid>
      <w:tr w:rsidR="00CE5B54" w:rsidRPr="0005278D" w:rsidTr="006412DA">
        <w:trPr>
          <w:trHeight w:val="851"/>
          <w:jc w:val="center"/>
        </w:trPr>
        <w:tc>
          <w:tcPr>
            <w:tcW w:w="3444" w:type="dxa"/>
            <w:gridSpan w:val="2"/>
            <w:vMerge w:val="restart"/>
            <w:tcBorders>
              <w:top w:val="nil"/>
              <w:left w:val="nil"/>
              <w:bottom w:val="nil"/>
              <w:right w:val="single" w:sz="12" w:space="0" w:color="auto"/>
            </w:tcBorders>
          </w:tcPr>
          <w:p w:rsidR="00CE5B54" w:rsidRPr="0005278D" w:rsidRDefault="00CE5B54" w:rsidP="006412DA">
            <w:pPr>
              <w:jc w:val="center"/>
              <w:rPr>
                <w:rFonts w:cstheme="minorHAnsi"/>
                <w:color w:val="000000" w:themeColor="text1"/>
                <w:sz w:val="24"/>
                <w:szCs w:val="24"/>
              </w:rPr>
            </w:pPr>
          </w:p>
        </w:tc>
        <w:tc>
          <w:tcPr>
            <w:tcW w:w="4622" w:type="dxa"/>
            <w:gridSpan w:val="2"/>
            <w:tcBorders>
              <w:top w:val="single" w:sz="12" w:space="0" w:color="auto"/>
              <w:left w:val="single" w:sz="12" w:space="0" w:color="auto"/>
              <w:bottom w:val="single" w:sz="12" w:space="0" w:color="auto"/>
              <w:right w:val="single" w:sz="12" w:space="0" w:color="auto"/>
            </w:tcBorders>
            <w:shd w:val="clear" w:color="auto" w:fill="E36C0A" w:themeFill="accent6" w:themeFillShade="BF"/>
            <w:vAlign w:val="center"/>
          </w:tcPr>
          <w:p w:rsidR="00CE5B54" w:rsidRPr="0005278D" w:rsidRDefault="00CE5B54" w:rsidP="006412DA">
            <w:pPr>
              <w:jc w:val="center"/>
              <w:rPr>
                <w:rFonts w:cstheme="minorHAnsi"/>
                <w:i/>
                <w:color w:val="000000" w:themeColor="text1"/>
                <w:sz w:val="24"/>
                <w:szCs w:val="24"/>
              </w:rPr>
            </w:pPr>
            <w:r w:rsidRPr="0005278D">
              <w:rPr>
                <w:rFonts w:cstheme="minorHAnsi"/>
                <w:i/>
                <w:color w:val="000000" w:themeColor="text1"/>
                <w:sz w:val="24"/>
                <w:szCs w:val="24"/>
              </w:rPr>
              <w:t>Large parts of benefits maintained when applying an exemption</w:t>
            </w:r>
          </w:p>
        </w:tc>
      </w:tr>
      <w:tr w:rsidR="00CE5B54" w:rsidRPr="0005278D" w:rsidTr="006412DA">
        <w:trPr>
          <w:trHeight w:val="567"/>
          <w:jc w:val="center"/>
        </w:trPr>
        <w:tc>
          <w:tcPr>
            <w:tcW w:w="3444" w:type="dxa"/>
            <w:gridSpan w:val="2"/>
            <w:vMerge/>
            <w:tcBorders>
              <w:top w:val="nil"/>
              <w:left w:val="nil"/>
              <w:bottom w:val="nil"/>
              <w:right w:val="single" w:sz="12" w:space="0" w:color="auto"/>
            </w:tcBorders>
          </w:tcPr>
          <w:p w:rsidR="00CE5B54" w:rsidRPr="0005278D" w:rsidRDefault="00CE5B54" w:rsidP="006412DA">
            <w:pPr>
              <w:rPr>
                <w:rFonts w:cstheme="minorHAnsi"/>
                <w:color w:val="000000" w:themeColor="text1"/>
                <w:sz w:val="24"/>
                <w:szCs w:val="24"/>
              </w:rPr>
            </w:pPr>
          </w:p>
        </w:tc>
        <w:tc>
          <w:tcPr>
            <w:tcW w:w="2311" w:type="dxa"/>
            <w:tcBorders>
              <w:top w:val="single" w:sz="12" w:space="0" w:color="auto"/>
              <w:left w:val="single" w:sz="12" w:space="0" w:color="auto"/>
              <w:bottom w:val="single" w:sz="12" w:space="0" w:color="auto"/>
            </w:tcBorders>
            <w:shd w:val="clear" w:color="auto" w:fill="FDE9D9" w:themeFill="accent6" w:themeFillTint="33"/>
            <w:vAlign w:val="center"/>
          </w:tcPr>
          <w:p w:rsidR="00CE5B54" w:rsidRPr="0005278D" w:rsidRDefault="00CE5B54" w:rsidP="006412DA">
            <w:pPr>
              <w:jc w:val="center"/>
              <w:rPr>
                <w:rFonts w:cstheme="minorHAnsi"/>
                <w:b/>
                <w:color w:val="000000" w:themeColor="text1"/>
                <w:sz w:val="24"/>
                <w:szCs w:val="24"/>
              </w:rPr>
            </w:pPr>
            <w:r w:rsidRPr="0005278D">
              <w:rPr>
                <w:rFonts w:cstheme="minorHAnsi"/>
                <w:b/>
                <w:color w:val="000000" w:themeColor="text1"/>
                <w:sz w:val="24"/>
                <w:szCs w:val="24"/>
              </w:rPr>
              <w:t>YES</w:t>
            </w:r>
          </w:p>
        </w:tc>
        <w:tc>
          <w:tcPr>
            <w:tcW w:w="2311" w:type="dxa"/>
            <w:tcBorders>
              <w:top w:val="single" w:sz="12" w:space="0" w:color="auto"/>
              <w:bottom w:val="single" w:sz="12" w:space="0" w:color="auto"/>
              <w:right w:val="single" w:sz="12" w:space="0" w:color="auto"/>
            </w:tcBorders>
            <w:shd w:val="clear" w:color="auto" w:fill="FDE9D9" w:themeFill="accent6" w:themeFillTint="33"/>
            <w:vAlign w:val="center"/>
          </w:tcPr>
          <w:p w:rsidR="00CE5B54" w:rsidRPr="0005278D" w:rsidRDefault="00CE5B54" w:rsidP="006412DA">
            <w:pPr>
              <w:jc w:val="center"/>
              <w:rPr>
                <w:rFonts w:cstheme="minorHAnsi"/>
                <w:b/>
                <w:color w:val="000000" w:themeColor="text1"/>
                <w:sz w:val="24"/>
                <w:szCs w:val="24"/>
              </w:rPr>
            </w:pPr>
            <w:r w:rsidRPr="0005278D">
              <w:rPr>
                <w:rFonts w:cstheme="minorHAnsi"/>
                <w:b/>
                <w:color w:val="000000" w:themeColor="text1"/>
                <w:sz w:val="24"/>
                <w:szCs w:val="24"/>
              </w:rPr>
              <w:t>NO</w:t>
            </w:r>
          </w:p>
        </w:tc>
      </w:tr>
      <w:tr w:rsidR="00CE5B54" w:rsidRPr="0005278D" w:rsidTr="006412DA">
        <w:trPr>
          <w:trHeight w:val="1021"/>
          <w:jc w:val="center"/>
        </w:trPr>
        <w:tc>
          <w:tcPr>
            <w:tcW w:w="2310" w:type="dxa"/>
            <w:vMerge w:val="restart"/>
            <w:tcBorders>
              <w:top w:val="single" w:sz="12" w:space="0" w:color="auto"/>
              <w:left w:val="single" w:sz="12" w:space="0" w:color="auto"/>
              <w:bottom w:val="single" w:sz="12" w:space="0" w:color="auto"/>
              <w:right w:val="single" w:sz="12" w:space="0" w:color="auto"/>
            </w:tcBorders>
            <w:shd w:val="clear" w:color="auto" w:fill="E36C0A" w:themeFill="accent6" w:themeFillShade="BF"/>
            <w:vAlign w:val="center"/>
          </w:tcPr>
          <w:p w:rsidR="00CE5B54" w:rsidRDefault="00CE5B54" w:rsidP="006412DA">
            <w:pPr>
              <w:jc w:val="center"/>
              <w:rPr>
                <w:rFonts w:cstheme="minorHAnsi"/>
                <w:i/>
                <w:color w:val="000000" w:themeColor="text1"/>
                <w:sz w:val="24"/>
                <w:szCs w:val="24"/>
              </w:rPr>
            </w:pPr>
            <w:r w:rsidRPr="0005278D">
              <w:rPr>
                <w:rFonts w:cstheme="minorHAnsi"/>
                <w:i/>
                <w:color w:val="000000" w:themeColor="text1"/>
                <w:sz w:val="24"/>
                <w:szCs w:val="24"/>
              </w:rPr>
              <w:t>Disproportionate burdens</w:t>
            </w:r>
            <w:r>
              <w:rPr>
                <w:rFonts w:cstheme="minorHAnsi"/>
                <w:i/>
                <w:color w:val="000000" w:themeColor="text1"/>
                <w:sz w:val="24"/>
                <w:szCs w:val="24"/>
              </w:rPr>
              <w:t xml:space="preserve"> and / or</w:t>
            </w:r>
          </w:p>
          <w:p w:rsidR="00CE5B54" w:rsidRPr="0005278D" w:rsidRDefault="00CE5B54" w:rsidP="006412DA">
            <w:pPr>
              <w:jc w:val="center"/>
              <w:rPr>
                <w:rFonts w:cstheme="minorHAnsi"/>
                <w:i/>
                <w:color w:val="000000" w:themeColor="text1"/>
                <w:sz w:val="24"/>
                <w:szCs w:val="24"/>
              </w:rPr>
            </w:pPr>
            <w:r>
              <w:rPr>
                <w:rFonts w:cstheme="minorHAnsi"/>
                <w:i/>
                <w:color w:val="000000" w:themeColor="text1"/>
                <w:sz w:val="24"/>
                <w:szCs w:val="24"/>
              </w:rPr>
              <w:t>if it is viable to mitigate costs</w:t>
            </w:r>
          </w:p>
        </w:tc>
        <w:tc>
          <w:tcPr>
            <w:tcW w:w="1134" w:type="dxa"/>
            <w:tcBorders>
              <w:top w:val="single" w:sz="12" w:space="0" w:color="auto"/>
              <w:left w:val="single" w:sz="12" w:space="0" w:color="auto"/>
              <w:right w:val="single" w:sz="12" w:space="0" w:color="auto"/>
            </w:tcBorders>
            <w:shd w:val="clear" w:color="auto" w:fill="FDE9D9" w:themeFill="accent6" w:themeFillTint="33"/>
            <w:vAlign w:val="center"/>
          </w:tcPr>
          <w:p w:rsidR="00CE5B54" w:rsidRPr="0005278D" w:rsidRDefault="00CE5B54" w:rsidP="006412DA">
            <w:pPr>
              <w:jc w:val="center"/>
              <w:rPr>
                <w:rFonts w:cstheme="minorHAnsi"/>
                <w:b/>
                <w:color w:val="000000" w:themeColor="text1"/>
                <w:sz w:val="24"/>
                <w:szCs w:val="24"/>
              </w:rPr>
            </w:pPr>
            <w:r w:rsidRPr="0005278D">
              <w:rPr>
                <w:rFonts w:cstheme="minorHAnsi"/>
                <w:b/>
                <w:color w:val="000000" w:themeColor="text1"/>
                <w:sz w:val="24"/>
                <w:szCs w:val="24"/>
              </w:rPr>
              <w:t>YES</w:t>
            </w:r>
          </w:p>
        </w:tc>
        <w:tc>
          <w:tcPr>
            <w:tcW w:w="2311" w:type="dxa"/>
            <w:vMerge w:val="restart"/>
            <w:tcBorders>
              <w:top w:val="single" w:sz="12" w:space="0" w:color="auto"/>
              <w:left w:val="single" w:sz="12" w:space="0" w:color="auto"/>
            </w:tcBorders>
            <w:shd w:val="clear" w:color="auto" w:fill="FFFFFF" w:themeFill="background1"/>
            <w:vAlign w:val="center"/>
          </w:tcPr>
          <w:p w:rsidR="00CE5B54" w:rsidRPr="0005278D" w:rsidRDefault="00CE5B54" w:rsidP="006412DA">
            <w:pPr>
              <w:jc w:val="center"/>
              <w:rPr>
                <w:rFonts w:cstheme="minorHAnsi"/>
                <w:color w:val="000000" w:themeColor="text1"/>
                <w:sz w:val="24"/>
                <w:szCs w:val="24"/>
              </w:rPr>
            </w:pPr>
            <w:r w:rsidRPr="0005278D">
              <w:rPr>
                <w:rFonts w:cstheme="minorHAnsi"/>
                <w:noProof/>
                <w:color w:val="000000" w:themeColor="text1"/>
                <w:sz w:val="24"/>
                <w:szCs w:val="24"/>
                <w:lang w:eastAsia="en-GB"/>
              </w:rPr>
              <mc:AlternateContent>
                <mc:Choice Requires="wps">
                  <w:drawing>
                    <wp:inline distT="0" distB="0" distL="0" distR="0" wp14:anchorId="5A065D5B" wp14:editId="41384D9E">
                      <wp:extent cx="203200" cy="84455"/>
                      <wp:effectExtent l="0" t="19050" r="44450" b="29845"/>
                      <wp:docPr id="14" name="Right Arrow 14"/>
                      <wp:cNvGraphicFramePr/>
                      <a:graphic xmlns:a="http://schemas.openxmlformats.org/drawingml/2006/main">
                        <a:graphicData uri="http://schemas.microsoft.com/office/word/2010/wordprocessingShape">
                          <wps:wsp>
                            <wps:cNvSpPr/>
                            <wps:spPr>
                              <a:xfrm>
                                <a:off x="0" y="0"/>
                                <a:ext cx="203200" cy="84455"/>
                              </a:xfrm>
                              <a:prstGeom prst="rightArrow">
                                <a:avLst/>
                              </a:prstGeom>
                              <a:solidFill>
                                <a:srgbClr val="F79646">
                                  <a:lumMod val="75000"/>
                                </a:srgbClr>
                              </a:solidFill>
                              <a:ln w="25400" cap="flat" cmpd="sng"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6" type="#_x0000_t13" style="width:16pt;height:6.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fedAIAACYFAAAOAAAAZHJzL2Uyb0RvYy54bWysVEtv2zAMvg/YfxB0X51kTh9BkiJokWFA&#10;1xZth54VWbYFSKJGKXG6Xz9KdtPHdtp2sUmR+kh+JDU/31vDdgqDBrfg46MRZ8pJqLRrFvz7w/rT&#10;KWchClcJA04t+JMK/Hz58cO88zM1gRZMpZARiAuzzi94G6OfFUWQrbIiHIFXjow1oBWRVGyKCkVH&#10;6NYUk9HouOgAK48gVQh0etkb+TLj17WS8aaug4rMLDjlFvMX83eTvsVyLmYNCt9qOaQh/iILK7Sj&#10;oAeoSxEF26L+DcpqiRCgjkcSbAF1raXKNVA149G7au5b4VWuhcgJ/kBT+H+w8np3i0xX1LuSMycs&#10;9ehON21kK0ToGJ0SRZ0PM/K897c4aIHEVO++Rpv+VAnbZ1qfDrSqfWSSDiejz9QqziSZTstyOk2Q&#10;xctdjyF+UWBZEhYcU/gcPTMqdlch9heeHVPAAEZXa21MVrDZXBhkO0FtXp+cHZfH+a7Z2m9Q9ccn&#10;0xEl0QOF3j9n8QbIONZRwtMy5ytoIGsjIqVuPVEUXMOZMA1NuoyYI7y5PcD+exqp0EsR2h4pxxgy&#10;Ny7Vq/JkD7yk5vTtSNIGqifqKEI/6sHLtSa0KxHirUCabWoE7Wu8oU9tgKqFQeKsBfz5p/PkTyNH&#10;Vs462hVi4sdWoOLMfHU0jGfjskzLlZVyejIhBV9bNq8tbmsvgPo0ppfByywm/2iexRrBPtJar1JU&#10;MgknKXbP+aBcxH6H6WGQarXKbrRQXsQrd+9lAk88JR4f9o8C/TBbkWbyGp73SszeDVfvm246WG0j&#10;1DpP3guvNDFJoWXMszM8HGnbX+vZ6+V5W/4CAAD//wMAUEsDBBQABgAIAAAAIQC+s3RY2gAAAAMB&#10;AAAPAAAAZHJzL2Rvd25yZXYueG1sTI9BS8NAEIXvgv9hGcGL2I0NBInZlFLUgyLSWvA6zU6TYHY2&#10;7G7b6K939KKXgcd7vPletZjcoI4UYu/ZwM0sA0XceNtza2D79nB9CyomZIuDZzLwSREW9flZhaX1&#10;J17TcZNaJSUcSzTQpTSWWsemI4dx5kdi8fY+OEwiQ6ttwJOUu0HPs6zQDnuWDx2OtOqo+dgcnIEn&#10;fFy/uIyXYfW+3V/dF8XX82thzOXFtLwDlWhKf2H4wRd0qIVp5w9soxoMyJD0e8XL56J2kslz0HWl&#10;/7PX3wAAAP//AwBQSwECLQAUAAYACAAAACEAtoM4kv4AAADhAQAAEwAAAAAAAAAAAAAAAAAAAAAA&#10;W0NvbnRlbnRfVHlwZXNdLnhtbFBLAQItABQABgAIAAAAIQA4/SH/1gAAAJQBAAALAAAAAAAAAAAA&#10;AAAAAC8BAABfcmVscy8ucmVsc1BLAQItABQABgAIAAAAIQDeN/fedAIAACYFAAAOAAAAAAAAAAAA&#10;AAAAAC4CAABkcnMvZTJvRG9jLnhtbFBLAQItABQABgAIAAAAIQC+s3RY2gAAAAMBAAAPAAAAAAAA&#10;AAAAAAAAAM4EAABkcnMvZG93bnJldi54bWxQSwUGAAAAAAQABADzAAAA1QUAAAAA&#10;" adj="17111" fillcolor="#e46c0a" strokecolor="#e46c0a" strokeweight="2pt">
                      <w10:anchorlock/>
                    </v:shape>
                  </w:pict>
                </mc:Fallback>
              </mc:AlternateContent>
            </w:r>
            <w:r w:rsidRPr="0005278D">
              <w:rPr>
                <w:rFonts w:cstheme="minorHAnsi"/>
                <w:color w:val="000000" w:themeColor="text1"/>
                <w:sz w:val="24"/>
                <w:szCs w:val="24"/>
              </w:rPr>
              <w:t>Exemption should be applied</w:t>
            </w:r>
          </w:p>
        </w:tc>
        <w:tc>
          <w:tcPr>
            <w:tcW w:w="2311" w:type="dxa"/>
            <w:tcBorders>
              <w:top w:val="single" w:sz="12" w:space="0" w:color="auto"/>
            </w:tcBorders>
            <w:shd w:val="clear" w:color="auto" w:fill="FFFFFF" w:themeFill="background1"/>
            <w:vAlign w:val="center"/>
          </w:tcPr>
          <w:p w:rsidR="00CE5B54" w:rsidRPr="0005278D" w:rsidRDefault="00CE5B54" w:rsidP="006412DA">
            <w:pPr>
              <w:jc w:val="center"/>
              <w:rPr>
                <w:rFonts w:cstheme="minorHAnsi"/>
                <w:color w:val="000000" w:themeColor="text1"/>
                <w:sz w:val="24"/>
                <w:szCs w:val="24"/>
              </w:rPr>
            </w:pPr>
            <w:r w:rsidRPr="0005278D">
              <w:rPr>
                <w:rFonts w:cstheme="minorHAnsi"/>
                <w:noProof/>
                <w:color w:val="000000" w:themeColor="text1"/>
                <w:sz w:val="24"/>
                <w:szCs w:val="24"/>
                <w:lang w:eastAsia="en-GB"/>
              </w:rPr>
              <mc:AlternateContent>
                <mc:Choice Requires="wps">
                  <w:drawing>
                    <wp:inline distT="0" distB="0" distL="0" distR="0" wp14:anchorId="28066CE8" wp14:editId="198CD733">
                      <wp:extent cx="203200" cy="84455"/>
                      <wp:effectExtent l="0" t="19050" r="44450" b="29845"/>
                      <wp:docPr id="15" name="Right Arrow 15"/>
                      <wp:cNvGraphicFramePr/>
                      <a:graphic xmlns:a="http://schemas.openxmlformats.org/drawingml/2006/main">
                        <a:graphicData uri="http://schemas.microsoft.com/office/word/2010/wordprocessingShape">
                          <wps:wsp>
                            <wps:cNvSpPr/>
                            <wps:spPr>
                              <a:xfrm>
                                <a:off x="0" y="0"/>
                                <a:ext cx="203200" cy="84455"/>
                              </a:xfrm>
                              <a:prstGeom prst="rightArrow">
                                <a:avLst/>
                              </a:prstGeom>
                              <a:solidFill>
                                <a:srgbClr val="F79646">
                                  <a:lumMod val="75000"/>
                                </a:srgbClr>
                              </a:solidFill>
                              <a:ln w="25400" cap="flat" cmpd="sng"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Right Arrow 15" o:spid="_x0000_s1026" type="#_x0000_t13" style="width:16pt;height:6.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e2dAIAACYFAAAOAAAAZHJzL2Uyb0RvYy54bWysVEtv2zAMvg/YfxB0X51kTh9BkiJokWFA&#10;1xZth54VWbYFSKJGKXG6Xz9KdtPHdtp2sUmR+vj6qPn53hq2Uxg0uAUfH404U05CpV2z4N8f1p9O&#10;OQtRuEoYcGrBn1Tg58uPH+adn6kJtGAqhYxAXJh1fsHbGP2sKIJslRXhCLxyZKwBrYikYlNUKDpC&#10;t6aYjEbHRQdYeQSpQqDTy97Ilxm/rpWMN3UdVGRmwSm3mL+Yv5v0LZZzMWtQ+FbLIQ3xF1lYoR0F&#10;PUBdiijYFvVvUFZLhAB1PJJgC6hrLVWugaoZj95Vc98Kr3It1JzgD20K/w9WXu9ukemKZjflzAlL&#10;M7rTTRvZChE6RqfUos6HGXne+1sctEBiqndfo01/qoTtc1ufDm1V+8gkHU5Gn2lUnEkynZblNEMW&#10;L3c9hvhFgWVJWHBM4XP03FGxuwqRotKFZ8cUMIDR1VobkxVsNhcG2U7QmNcnZ8flcb5rtvYbVP3x&#10;yXRESfRAoffPoG+AjGMdJTwtc76CCFkbESl166lFwTWcCdMQ02XEHOHN7QH239NIhV6K0PZIOcaQ&#10;uXGpXpWZPfQlDacfR5I2UD3RRBF6qgcv15rQrkSItwKJ2zQI2td4Q5/aAFULg8RZC/jzT+fJnyhH&#10;Vs462hXqxI+tQMWZ+eqIjGfjskzLlZVyejIhBV9bNq8tbmsvgOY0ppfByywm/2iexRrBPtJar1JU&#10;MgknKXbf80G5iP0O08Mg1WqV3WihvIhX7t7LBJ76lPr4sH8U6AduReLkNTzvlZi9I1fvm246WG0j&#10;1Doz76WvxJik0DJm7gwPR9r213r2ennelr8AAAD//wMAUEsDBBQABgAIAAAAIQC+s3RY2gAAAAMB&#10;AAAPAAAAZHJzL2Rvd25yZXYueG1sTI9BS8NAEIXvgv9hGcGL2I0NBInZlFLUgyLSWvA6zU6TYHY2&#10;7G7b6K939KKXgcd7vPletZjcoI4UYu/ZwM0sA0XceNtza2D79nB9CyomZIuDZzLwSREW9flZhaX1&#10;J17TcZNaJSUcSzTQpTSWWsemI4dx5kdi8fY+OEwiQ6ttwJOUu0HPs6zQDnuWDx2OtOqo+dgcnIEn&#10;fFy/uIyXYfW+3V/dF8XX82thzOXFtLwDlWhKf2H4wRd0qIVp5w9soxoMyJD0e8XL56J2kslz0HWl&#10;/7PX3wAAAP//AwBQSwECLQAUAAYACAAAACEAtoM4kv4AAADhAQAAEwAAAAAAAAAAAAAAAAAAAAAA&#10;W0NvbnRlbnRfVHlwZXNdLnhtbFBLAQItABQABgAIAAAAIQA4/SH/1gAAAJQBAAALAAAAAAAAAAAA&#10;AAAAAC8BAABfcmVscy8ucmVsc1BLAQItABQABgAIAAAAIQD/2Ue2dAIAACYFAAAOAAAAAAAAAAAA&#10;AAAAAC4CAABkcnMvZTJvRG9jLnhtbFBLAQItABQABgAIAAAAIQC+s3RY2gAAAAMBAAAPAAAAAAAA&#10;AAAAAAAAAM4EAABkcnMvZG93bnJldi54bWxQSwUGAAAAAAQABADzAAAA1QUAAAAA&#10;" adj="17111" fillcolor="#e46c0a" strokecolor="#e46c0a" strokeweight="2pt">
                      <w10:anchorlock/>
                    </v:shape>
                  </w:pict>
                </mc:Fallback>
              </mc:AlternateContent>
            </w:r>
            <w:r w:rsidRPr="0005278D">
              <w:rPr>
                <w:rFonts w:cstheme="minorHAnsi"/>
                <w:color w:val="000000" w:themeColor="text1"/>
                <w:sz w:val="24"/>
                <w:szCs w:val="24"/>
              </w:rPr>
              <w:t>Disproportionate costs to small businesses should be mitigated</w:t>
            </w:r>
          </w:p>
        </w:tc>
      </w:tr>
      <w:tr w:rsidR="00CE5B54" w:rsidRPr="0005278D" w:rsidTr="006412DA">
        <w:trPr>
          <w:trHeight w:val="1021"/>
          <w:jc w:val="center"/>
        </w:trPr>
        <w:tc>
          <w:tcPr>
            <w:tcW w:w="2310" w:type="dxa"/>
            <w:vMerge/>
            <w:tcBorders>
              <w:left w:val="single" w:sz="12" w:space="0" w:color="auto"/>
              <w:bottom w:val="single" w:sz="12" w:space="0" w:color="auto"/>
              <w:right w:val="single" w:sz="12" w:space="0" w:color="auto"/>
            </w:tcBorders>
            <w:shd w:val="clear" w:color="auto" w:fill="E36C0A" w:themeFill="accent6" w:themeFillShade="BF"/>
          </w:tcPr>
          <w:p w:rsidR="00CE5B54" w:rsidRPr="0005278D" w:rsidRDefault="00CE5B54" w:rsidP="006412DA">
            <w:pPr>
              <w:rPr>
                <w:rFonts w:cstheme="minorHAnsi"/>
                <w:color w:val="000000" w:themeColor="text1"/>
                <w:sz w:val="24"/>
                <w:szCs w:val="24"/>
              </w:rPr>
            </w:pPr>
          </w:p>
        </w:tc>
        <w:tc>
          <w:tcPr>
            <w:tcW w:w="1134" w:type="dxa"/>
            <w:tcBorders>
              <w:left w:val="single" w:sz="12" w:space="0" w:color="auto"/>
              <w:bottom w:val="single" w:sz="12" w:space="0" w:color="auto"/>
              <w:right w:val="single" w:sz="12" w:space="0" w:color="auto"/>
            </w:tcBorders>
            <w:shd w:val="clear" w:color="auto" w:fill="FDE9D9" w:themeFill="accent6" w:themeFillTint="33"/>
            <w:vAlign w:val="center"/>
          </w:tcPr>
          <w:p w:rsidR="00CE5B54" w:rsidRPr="0005278D" w:rsidRDefault="00CE5B54" w:rsidP="006412DA">
            <w:pPr>
              <w:jc w:val="center"/>
              <w:rPr>
                <w:rFonts w:cstheme="minorHAnsi"/>
                <w:b/>
                <w:color w:val="000000" w:themeColor="text1"/>
                <w:sz w:val="24"/>
                <w:szCs w:val="24"/>
              </w:rPr>
            </w:pPr>
            <w:r w:rsidRPr="0005278D">
              <w:rPr>
                <w:rFonts w:cstheme="minorHAnsi"/>
                <w:b/>
                <w:color w:val="000000" w:themeColor="text1"/>
                <w:sz w:val="24"/>
                <w:szCs w:val="24"/>
              </w:rPr>
              <w:t>NO</w:t>
            </w:r>
          </w:p>
        </w:tc>
        <w:tc>
          <w:tcPr>
            <w:tcW w:w="2311" w:type="dxa"/>
            <w:vMerge/>
            <w:tcBorders>
              <w:left w:val="single" w:sz="12" w:space="0" w:color="auto"/>
            </w:tcBorders>
            <w:shd w:val="clear" w:color="auto" w:fill="FFFFFF" w:themeFill="background1"/>
          </w:tcPr>
          <w:p w:rsidR="00CE5B54" w:rsidRPr="0005278D" w:rsidRDefault="00CE5B54" w:rsidP="006412DA">
            <w:pPr>
              <w:rPr>
                <w:rFonts w:cstheme="minorHAnsi"/>
                <w:color w:val="000000" w:themeColor="text1"/>
                <w:sz w:val="24"/>
                <w:szCs w:val="24"/>
              </w:rPr>
            </w:pPr>
          </w:p>
        </w:tc>
        <w:tc>
          <w:tcPr>
            <w:tcW w:w="2311" w:type="dxa"/>
            <w:shd w:val="clear" w:color="auto" w:fill="FFFFFF" w:themeFill="background1"/>
            <w:vAlign w:val="center"/>
          </w:tcPr>
          <w:p w:rsidR="00CE5B54" w:rsidRPr="0005278D" w:rsidRDefault="00CE5B54" w:rsidP="006412DA">
            <w:pPr>
              <w:jc w:val="center"/>
              <w:rPr>
                <w:rFonts w:cstheme="minorHAnsi"/>
                <w:color w:val="000000" w:themeColor="text1"/>
                <w:sz w:val="24"/>
                <w:szCs w:val="24"/>
              </w:rPr>
            </w:pPr>
            <w:r w:rsidRPr="0005278D">
              <w:rPr>
                <w:rFonts w:cstheme="minorHAnsi"/>
                <w:noProof/>
                <w:color w:val="000000" w:themeColor="text1"/>
                <w:sz w:val="24"/>
                <w:szCs w:val="24"/>
                <w:lang w:eastAsia="en-GB"/>
              </w:rPr>
              <mc:AlternateContent>
                <mc:Choice Requires="wps">
                  <w:drawing>
                    <wp:inline distT="0" distB="0" distL="0" distR="0" wp14:anchorId="4B288DFA" wp14:editId="6DDB907A">
                      <wp:extent cx="203200" cy="84455"/>
                      <wp:effectExtent l="0" t="19050" r="44450" b="29845"/>
                      <wp:docPr id="16" name="Right Arrow 16"/>
                      <wp:cNvGraphicFramePr/>
                      <a:graphic xmlns:a="http://schemas.openxmlformats.org/drawingml/2006/main">
                        <a:graphicData uri="http://schemas.microsoft.com/office/word/2010/wordprocessingShape">
                          <wps:wsp>
                            <wps:cNvSpPr/>
                            <wps:spPr>
                              <a:xfrm>
                                <a:off x="0" y="0"/>
                                <a:ext cx="203200" cy="84455"/>
                              </a:xfrm>
                              <a:prstGeom prst="rightArrow">
                                <a:avLst/>
                              </a:prstGeom>
                              <a:solidFill>
                                <a:srgbClr val="F79646">
                                  <a:lumMod val="75000"/>
                                </a:srgbClr>
                              </a:solidFill>
                              <a:ln w="25400" cap="flat" cmpd="sng"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Right Arrow 16" o:spid="_x0000_s1026" type="#_x0000_t13" style="width:16pt;height:6.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5YPdAIAACYFAAAOAAAAZHJzL2Uyb0RvYy54bWysVE1v2zAMvQ/YfxB0X51kTtoGTYqgRYYB&#10;XRu0HXpWZNkWIIkapcTpfv0o2f3cTtsuNilSj+QjqbPzgzVsrzBocAs+PhpxppyESrtmwb/frz+d&#10;cBaicJUw4NSCP6rAz5cfP5x1fq4m0IKpFDICcWHe+QVvY/TzogiyVVaEI/DKkbEGtCKSik1RoegI&#10;3ZpiMhrNig6w8ghShUCnl72RLzN+XSsZb+o6qMjMglNuMX8xf7fpWyzPxLxB4VsthzTEX2RhhXYU&#10;9BnqUkTBdqh/g7JaIgSo45EEW0Bda6lyDVTNePSumrtWeJVrIXKCf6Yp/D9Yeb3fINMV9W7GmROW&#10;enSrmzayFSJ0jE6Jos6HOXne+Q0OWiAx1Xuo0aY/VcIOmdbHZ1rVITJJh5PRZ2oVZ5JMJ2U5nSbI&#10;4uWuxxC/KLAsCQuOKXyOnhkV+6sQ+wtPjilgAKOrtTYmK9hsLwyyvaA2r49PZ+Us3zU7+w2q/vh4&#10;OqIkeqDQ++cs3gAZxzpKeFrmfAUNZG1EpNStJ4qCazgTpqFJlxFzhDe3B9h/TyMVeilC2yPlGEPm&#10;xqV6VZ7sgZfUnL4dSdpC9UgdRehHPXi51oR2JULcCKTZpkbQvsYb+tQGqFoYJM5awJ9/Ok/+NHJk&#10;5ayjXSEmfuwEKs7MV0fDeDouy7RcWSmnxxNS8LVl+9ridvYCqE9jehm8zGLyj+ZJrBHsA631KkUl&#10;k3CSYvecD8pF7HeYHgapVqvsRgvlRbxyd14m8MRT4vH+8CDQD7MVaSav4WmvxPzdcPW+6aaD1S5C&#10;rfPkvfBKE5MUWsY8O8PDkbb9tZ69Xp635S8AAAD//wMAUEsDBBQABgAIAAAAIQC+s3RY2gAAAAMB&#10;AAAPAAAAZHJzL2Rvd25yZXYueG1sTI9BS8NAEIXvgv9hGcGL2I0NBInZlFLUgyLSWvA6zU6TYHY2&#10;7G7b6K939KKXgcd7vPletZjcoI4UYu/ZwM0sA0XceNtza2D79nB9CyomZIuDZzLwSREW9flZhaX1&#10;J17TcZNaJSUcSzTQpTSWWsemI4dx5kdi8fY+OEwiQ6ttwJOUu0HPs6zQDnuWDx2OtOqo+dgcnIEn&#10;fFy/uIyXYfW+3V/dF8XX82thzOXFtLwDlWhKf2H4wRd0qIVp5w9soxoMyJD0e8XL56J2kslz0HWl&#10;/7PX3wAAAP//AwBQSwECLQAUAAYACAAAACEAtoM4kv4AAADhAQAAEwAAAAAAAAAAAAAAAAAAAAAA&#10;W0NvbnRlbnRfVHlwZXNdLnhtbFBLAQItABQABgAIAAAAIQA4/SH/1gAAAJQBAAALAAAAAAAAAAAA&#10;AAAAAC8BAABfcmVscy8ucmVsc1BLAQItABQABgAIAAAAIQCc65YPdAIAACYFAAAOAAAAAAAAAAAA&#10;AAAAAC4CAABkcnMvZTJvRG9jLnhtbFBLAQItABQABgAIAAAAIQC+s3RY2gAAAAMBAAAPAAAAAAAA&#10;AAAAAAAAAM4EAABkcnMvZG93bnJldi54bWxQSwUGAAAAAAQABADzAAAA1QUAAAAA&#10;" adj="17111" fillcolor="#e46c0a" strokecolor="#e46c0a" strokeweight="2pt">
                      <w10:anchorlock/>
                    </v:shape>
                  </w:pict>
                </mc:Fallback>
              </mc:AlternateContent>
            </w:r>
            <w:r w:rsidRPr="0005278D">
              <w:rPr>
                <w:rFonts w:cstheme="minorHAnsi"/>
                <w:color w:val="000000" w:themeColor="text1"/>
                <w:sz w:val="24"/>
                <w:szCs w:val="24"/>
              </w:rPr>
              <w:t>Neither exemption nor mitigation required</w:t>
            </w:r>
          </w:p>
        </w:tc>
      </w:tr>
    </w:tbl>
    <w:p w:rsidR="00CE5B54" w:rsidRPr="0005278D" w:rsidRDefault="00CE5B54" w:rsidP="00CE5B54">
      <w:pPr>
        <w:spacing w:after="0" w:line="240" w:lineRule="auto"/>
        <w:rPr>
          <w:rFonts w:cstheme="minorHAnsi"/>
          <w:i/>
          <w:color w:val="000000" w:themeColor="text1"/>
          <w:sz w:val="24"/>
          <w:szCs w:val="24"/>
        </w:rPr>
      </w:pPr>
    </w:p>
    <w:p w:rsidR="00CE5B54" w:rsidRDefault="00CE5B54" w:rsidP="00CE5B54">
      <w:pPr>
        <w:rPr>
          <w:rFonts w:cstheme="minorHAnsi"/>
          <w:sz w:val="24"/>
          <w:szCs w:val="24"/>
        </w:rPr>
      </w:pPr>
    </w:p>
    <w:p w:rsidR="00CE5B54" w:rsidRPr="0005278D" w:rsidRDefault="00CE5B54" w:rsidP="00CE5B54">
      <w:pPr>
        <w:rPr>
          <w:rFonts w:cstheme="minorHAnsi"/>
          <w:sz w:val="24"/>
          <w:szCs w:val="24"/>
        </w:rPr>
      </w:pPr>
      <w:r>
        <w:rPr>
          <w:rFonts w:cstheme="minorHAnsi"/>
          <w:sz w:val="24"/>
          <w:szCs w:val="24"/>
        </w:rPr>
        <w:t>However, it should be noted that a</w:t>
      </w:r>
      <w:r w:rsidRPr="0005278D">
        <w:rPr>
          <w:rFonts w:cstheme="minorHAnsi"/>
          <w:sz w:val="24"/>
          <w:szCs w:val="24"/>
        </w:rPr>
        <w:t xml:space="preserve"> </w:t>
      </w:r>
      <w:proofErr w:type="spellStart"/>
      <w:r w:rsidRPr="0005278D">
        <w:rPr>
          <w:rFonts w:cstheme="minorHAnsi"/>
          <w:sz w:val="24"/>
          <w:szCs w:val="24"/>
        </w:rPr>
        <w:t>SaMBA</w:t>
      </w:r>
      <w:proofErr w:type="spellEnd"/>
      <w:r w:rsidRPr="0005278D">
        <w:rPr>
          <w:rFonts w:cstheme="minorHAnsi"/>
          <w:sz w:val="24"/>
          <w:szCs w:val="24"/>
        </w:rPr>
        <w:t xml:space="preserve"> </w:t>
      </w:r>
      <w:r>
        <w:rPr>
          <w:rFonts w:cstheme="minorHAnsi"/>
          <w:sz w:val="24"/>
          <w:szCs w:val="24"/>
        </w:rPr>
        <w:t>that does not</w:t>
      </w:r>
      <w:r w:rsidRPr="0005278D">
        <w:rPr>
          <w:rFonts w:cstheme="minorHAnsi"/>
          <w:sz w:val="24"/>
          <w:szCs w:val="24"/>
        </w:rPr>
        <w:t xml:space="preserve"> </w:t>
      </w:r>
      <w:r>
        <w:rPr>
          <w:rFonts w:cstheme="minorHAnsi"/>
          <w:sz w:val="24"/>
          <w:szCs w:val="24"/>
        </w:rPr>
        <w:t>recommend</w:t>
      </w:r>
      <w:r w:rsidRPr="0005278D">
        <w:rPr>
          <w:rFonts w:cstheme="minorHAnsi"/>
          <w:sz w:val="24"/>
          <w:szCs w:val="24"/>
        </w:rPr>
        <w:t xml:space="preserve"> an exemption or mitigation</w:t>
      </w:r>
      <w:r>
        <w:rPr>
          <w:rFonts w:cstheme="minorHAnsi"/>
          <w:sz w:val="24"/>
          <w:szCs w:val="24"/>
        </w:rPr>
        <w:t xml:space="preserve"> measures</w:t>
      </w:r>
      <w:r w:rsidRPr="0005278D">
        <w:rPr>
          <w:rFonts w:cstheme="minorHAnsi"/>
          <w:sz w:val="24"/>
          <w:szCs w:val="24"/>
        </w:rPr>
        <w:t xml:space="preserve"> is not necessarily a bad </w:t>
      </w:r>
      <w:proofErr w:type="spellStart"/>
      <w:r w:rsidRPr="0005278D">
        <w:rPr>
          <w:rFonts w:cstheme="minorHAnsi"/>
          <w:sz w:val="24"/>
          <w:szCs w:val="24"/>
        </w:rPr>
        <w:t>SaMBA</w:t>
      </w:r>
      <w:proofErr w:type="spellEnd"/>
      <w:r>
        <w:rPr>
          <w:rFonts w:cstheme="minorHAnsi"/>
          <w:sz w:val="24"/>
          <w:szCs w:val="24"/>
        </w:rPr>
        <w:t>,</w:t>
      </w:r>
      <w:r w:rsidRPr="0005278D">
        <w:rPr>
          <w:rFonts w:cstheme="minorHAnsi"/>
          <w:sz w:val="24"/>
          <w:szCs w:val="24"/>
        </w:rPr>
        <w:t xml:space="preserve"> or not fit for purpose. There might be instances where exemption </w:t>
      </w:r>
      <w:r>
        <w:rPr>
          <w:rFonts w:cstheme="minorHAnsi"/>
          <w:sz w:val="24"/>
          <w:szCs w:val="24"/>
        </w:rPr>
        <w:t>c</w:t>
      </w:r>
      <w:r w:rsidRPr="0005278D">
        <w:rPr>
          <w:rFonts w:cstheme="minorHAnsi"/>
          <w:sz w:val="24"/>
          <w:szCs w:val="24"/>
        </w:rPr>
        <w:t>ould be counterproductive</w:t>
      </w:r>
      <w:r>
        <w:rPr>
          <w:rFonts w:cstheme="minorHAnsi"/>
          <w:sz w:val="24"/>
          <w:szCs w:val="24"/>
        </w:rPr>
        <w:t xml:space="preserve"> or significantly disadvantageous</w:t>
      </w:r>
      <w:r w:rsidRPr="0005278D">
        <w:rPr>
          <w:rFonts w:cstheme="minorHAnsi"/>
          <w:sz w:val="24"/>
          <w:szCs w:val="24"/>
        </w:rPr>
        <w:t>, for example</w:t>
      </w:r>
      <w:r>
        <w:rPr>
          <w:rFonts w:cstheme="minorHAnsi"/>
          <w:sz w:val="24"/>
          <w:szCs w:val="24"/>
        </w:rPr>
        <w:t>,</w:t>
      </w:r>
      <w:r w:rsidRPr="0005278D">
        <w:rPr>
          <w:rFonts w:cstheme="minorHAnsi"/>
          <w:sz w:val="24"/>
          <w:szCs w:val="24"/>
        </w:rPr>
        <w:t xml:space="preserve"> when small businesses are actually beneficiaries of the proposal or </w:t>
      </w:r>
      <w:r>
        <w:rPr>
          <w:rFonts w:cstheme="minorHAnsi"/>
          <w:sz w:val="24"/>
          <w:szCs w:val="24"/>
        </w:rPr>
        <w:t xml:space="preserve">with </w:t>
      </w:r>
      <w:r w:rsidRPr="0005278D">
        <w:rPr>
          <w:rFonts w:cstheme="minorHAnsi"/>
          <w:sz w:val="24"/>
          <w:szCs w:val="24"/>
        </w:rPr>
        <w:t xml:space="preserve">regulations </w:t>
      </w:r>
      <w:r>
        <w:rPr>
          <w:rFonts w:cstheme="minorHAnsi"/>
          <w:sz w:val="24"/>
          <w:szCs w:val="24"/>
        </w:rPr>
        <w:t>concerned</w:t>
      </w:r>
      <w:r w:rsidRPr="0005278D">
        <w:rPr>
          <w:rFonts w:cstheme="minorHAnsi"/>
          <w:sz w:val="24"/>
          <w:szCs w:val="24"/>
        </w:rPr>
        <w:t xml:space="preserve"> with </w:t>
      </w:r>
      <w:r w:rsidRPr="00962369">
        <w:rPr>
          <w:rFonts w:cstheme="minorHAnsi"/>
          <w:sz w:val="24"/>
          <w:szCs w:val="24"/>
        </w:rPr>
        <w:t>public safety/health</w:t>
      </w:r>
      <w:r>
        <w:rPr>
          <w:rFonts w:cstheme="minorHAnsi"/>
          <w:sz w:val="24"/>
          <w:szCs w:val="24"/>
        </w:rPr>
        <w:t xml:space="preserve">, </w:t>
      </w:r>
      <w:r w:rsidRPr="0005278D">
        <w:rPr>
          <w:rFonts w:cstheme="minorHAnsi"/>
          <w:sz w:val="24"/>
          <w:szCs w:val="24"/>
        </w:rPr>
        <w:t>consumer protection or the provision of public goods. The RPC does not make judgements on policy decisions, but only on the underlying evidence base. It is, therefore, not in the R</w:t>
      </w:r>
      <w:r>
        <w:rPr>
          <w:rFonts w:cstheme="minorHAnsi"/>
          <w:sz w:val="24"/>
          <w:szCs w:val="24"/>
        </w:rPr>
        <w:t>P</w:t>
      </w:r>
      <w:r w:rsidRPr="0005278D">
        <w:rPr>
          <w:rFonts w:cstheme="minorHAnsi"/>
          <w:sz w:val="24"/>
          <w:szCs w:val="24"/>
        </w:rPr>
        <w:t>C’s remit to judge the policy decision of not exempting small businesses as long as the impact on small businesses has been assessed appropriately</w:t>
      </w:r>
      <w:r>
        <w:rPr>
          <w:rFonts w:cstheme="minorHAnsi"/>
          <w:sz w:val="24"/>
          <w:szCs w:val="24"/>
        </w:rPr>
        <w:t xml:space="preserve"> and</w:t>
      </w:r>
      <w:r w:rsidRPr="0005278D">
        <w:rPr>
          <w:rFonts w:cstheme="minorHAnsi"/>
          <w:sz w:val="24"/>
          <w:szCs w:val="24"/>
        </w:rPr>
        <w:t xml:space="preserve"> the policy decision is </w:t>
      </w:r>
      <w:r>
        <w:rPr>
          <w:rFonts w:cstheme="minorHAnsi"/>
          <w:sz w:val="24"/>
          <w:szCs w:val="24"/>
        </w:rPr>
        <w:t>informed by</w:t>
      </w:r>
      <w:r w:rsidRPr="0005278D">
        <w:rPr>
          <w:rFonts w:cstheme="minorHAnsi"/>
          <w:sz w:val="24"/>
          <w:szCs w:val="24"/>
        </w:rPr>
        <w:t xml:space="preserve"> </w:t>
      </w:r>
      <w:r>
        <w:rPr>
          <w:rFonts w:cstheme="minorHAnsi"/>
          <w:sz w:val="24"/>
          <w:szCs w:val="24"/>
        </w:rPr>
        <w:t xml:space="preserve">sufficient </w:t>
      </w:r>
      <w:r w:rsidRPr="0005278D">
        <w:rPr>
          <w:rFonts w:cstheme="minorHAnsi"/>
          <w:sz w:val="24"/>
          <w:szCs w:val="24"/>
        </w:rPr>
        <w:t>evidence.</w:t>
      </w:r>
    </w:p>
    <w:p w:rsidR="00CE5B54" w:rsidRPr="00C557BE" w:rsidRDefault="00CE5B54" w:rsidP="00CE5B54">
      <w:pPr>
        <w:spacing w:after="0"/>
        <w:rPr>
          <w:rFonts w:cstheme="minorHAnsi"/>
          <w:sz w:val="24"/>
          <w:szCs w:val="24"/>
        </w:rPr>
      </w:pPr>
      <w:r w:rsidRPr="00C557BE">
        <w:rPr>
          <w:rFonts w:cstheme="minorHAnsi"/>
          <w:sz w:val="24"/>
          <w:szCs w:val="24"/>
        </w:rPr>
        <w:t xml:space="preserve">Another reason why exemption might not be possible is because of </w:t>
      </w:r>
      <w:r w:rsidRPr="00507D7A">
        <w:rPr>
          <w:rFonts w:cstheme="minorHAnsi"/>
          <w:i/>
          <w:sz w:val="24"/>
          <w:szCs w:val="24"/>
        </w:rPr>
        <w:t>“dynamic effects”</w:t>
      </w:r>
      <w:r>
        <w:rPr>
          <w:rFonts w:cstheme="minorHAnsi"/>
          <w:sz w:val="24"/>
          <w:szCs w:val="24"/>
        </w:rPr>
        <w:t xml:space="preserve">, </w:t>
      </w:r>
      <w:r w:rsidRPr="00EA3BF0">
        <w:rPr>
          <w:rFonts w:cstheme="minorHAnsi"/>
          <w:sz w:val="24"/>
          <w:szCs w:val="24"/>
        </w:rPr>
        <w:t>i.e. business migr</w:t>
      </w:r>
      <w:r w:rsidRPr="00507D7A">
        <w:rPr>
          <w:rFonts w:cstheme="minorHAnsi"/>
          <w:sz w:val="24"/>
          <w:szCs w:val="24"/>
        </w:rPr>
        <w:t xml:space="preserve">ating to smaller firms if they are exempt from requirements. If this is likely to be the case, departments should </w:t>
      </w:r>
      <w:r w:rsidRPr="00C557BE">
        <w:rPr>
          <w:rFonts w:cstheme="minorHAnsi"/>
          <w:sz w:val="24"/>
          <w:szCs w:val="24"/>
        </w:rPr>
        <w:t>provide evidence and analysis of the likelihood of such effects, which will depend on the nature and structure of the market.</w:t>
      </w:r>
    </w:p>
    <w:p w:rsidR="00CE5B54" w:rsidRPr="00C557BE" w:rsidRDefault="00CE5B54" w:rsidP="00CE5B54">
      <w:pPr>
        <w:spacing w:after="0"/>
        <w:rPr>
          <w:rFonts w:cstheme="minorHAnsi"/>
          <w:color w:val="000000" w:themeColor="text1"/>
          <w:sz w:val="24"/>
          <w:szCs w:val="24"/>
          <w:u w:val="single"/>
        </w:rPr>
      </w:pPr>
    </w:p>
    <w:p w:rsidR="00CE5B54" w:rsidRDefault="00CE5B54" w:rsidP="00CE5B54">
      <w:pPr>
        <w:spacing w:after="0"/>
        <w:rPr>
          <w:rFonts w:cstheme="minorHAnsi"/>
          <w:color w:val="000000"/>
          <w:sz w:val="24"/>
          <w:szCs w:val="24"/>
        </w:rPr>
      </w:pPr>
      <w:r w:rsidRPr="00E64D49">
        <w:rPr>
          <w:rFonts w:cstheme="minorHAnsi"/>
          <w:color w:val="000000" w:themeColor="text1"/>
          <w:sz w:val="24"/>
          <w:szCs w:val="24"/>
        </w:rPr>
        <w:t>When full exemption is not applied, departments should consider applying partial exemption or mitigation. The BRFM lists potential examples of mitigation actions</w:t>
      </w:r>
      <w:r>
        <w:rPr>
          <w:rFonts w:cstheme="minorHAnsi"/>
          <w:color w:val="000000" w:themeColor="text1"/>
          <w:sz w:val="24"/>
          <w:szCs w:val="24"/>
        </w:rPr>
        <w:t xml:space="preserve">. </w:t>
      </w:r>
      <w:r w:rsidRPr="00E64D49">
        <w:rPr>
          <w:rFonts w:cstheme="minorHAnsi"/>
          <w:color w:val="000000" w:themeColor="text1"/>
          <w:sz w:val="24"/>
          <w:szCs w:val="24"/>
        </w:rPr>
        <w:t>In line with the BRFM guidance,</w:t>
      </w:r>
      <w:r>
        <w:rPr>
          <w:rFonts w:cstheme="minorHAnsi"/>
          <w:color w:val="000000" w:themeColor="text1"/>
          <w:sz w:val="24"/>
          <w:szCs w:val="24"/>
        </w:rPr>
        <w:t xml:space="preserve"> t</w:t>
      </w:r>
      <w:r w:rsidRPr="00C557BE">
        <w:rPr>
          <w:rFonts w:cstheme="minorHAnsi"/>
          <w:color w:val="000000"/>
          <w:sz w:val="24"/>
          <w:szCs w:val="24"/>
        </w:rPr>
        <w:t>he impact assessment should include an analysis of the impact of mitigating options proposed, their effect and their rationale. This could be either a qualitat</w:t>
      </w:r>
      <w:r>
        <w:rPr>
          <w:rFonts w:cstheme="minorHAnsi"/>
          <w:color w:val="000000"/>
          <w:sz w:val="24"/>
          <w:szCs w:val="24"/>
        </w:rPr>
        <w:t>ive or quantitative assessment and should include any potential familiarisation and on-going costs to business.</w:t>
      </w:r>
    </w:p>
    <w:p w:rsidR="00CE5B54" w:rsidRDefault="00CE5B54" w:rsidP="00CE5B54">
      <w:pPr>
        <w:spacing w:after="0"/>
        <w:rPr>
          <w:rFonts w:cstheme="minorHAnsi"/>
          <w:color w:val="000000"/>
          <w:sz w:val="24"/>
          <w:szCs w:val="24"/>
        </w:rPr>
      </w:pPr>
    </w:p>
    <w:p w:rsidR="00CE5B54" w:rsidRPr="00C557BE" w:rsidRDefault="00CE5B54" w:rsidP="00CE5B54">
      <w:pPr>
        <w:spacing w:after="0"/>
        <w:rPr>
          <w:rFonts w:cstheme="minorHAnsi"/>
          <w:color w:val="000000" w:themeColor="text1"/>
          <w:sz w:val="24"/>
          <w:szCs w:val="24"/>
          <w:u w:val="single"/>
        </w:rPr>
      </w:pPr>
      <w:r w:rsidRPr="00C557BE">
        <w:rPr>
          <w:rFonts w:cstheme="minorHAnsi"/>
          <w:color w:val="000000"/>
          <w:sz w:val="24"/>
          <w:szCs w:val="24"/>
        </w:rPr>
        <w:lastRenderedPageBreak/>
        <w:t>Where no mitigating options are proposed</w:t>
      </w:r>
      <w:r>
        <w:rPr>
          <w:rFonts w:cstheme="minorHAnsi"/>
          <w:color w:val="000000"/>
          <w:sz w:val="24"/>
          <w:szCs w:val="24"/>
        </w:rPr>
        <w:t>, say</w:t>
      </w:r>
      <w:r w:rsidRPr="00C557BE">
        <w:rPr>
          <w:rFonts w:cstheme="minorHAnsi"/>
          <w:color w:val="000000"/>
          <w:sz w:val="24"/>
          <w:szCs w:val="24"/>
        </w:rPr>
        <w:t xml:space="preserve"> because it is considered that there is no disproportionate burden and / or such action would not be economically viable, this must be clearly evidenced in the impact assessment. </w:t>
      </w:r>
    </w:p>
    <w:p w:rsidR="00CE5B54" w:rsidRDefault="00CE5B54" w:rsidP="00CE5B54">
      <w:pPr>
        <w:spacing w:after="0"/>
        <w:rPr>
          <w:rFonts w:cstheme="minorHAnsi"/>
          <w:color w:val="000000" w:themeColor="text1"/>
          <w:sz w:val="24"/>
          <w:szCs w:val="24"/>
          <w:u w:val="single"/>
        </w:rPr>
      </w:pPr>
    </w:p>
    <w:p w:rsidR="00CE5B54" w:rsidRDefault="00CE5B54" w:rsidP="00CE5B54">
      <w:pPr>
        <w:spacing w:after="0"/>
        <w:rPr>
          <w:rFonts w:cstheme="minorHAnsi"/>
          <w:color w:val="000000" w:themeColor="text1"/>
          <w:sz w:val="24"/>
          <w:szCs w:val="24"/>
          <w:u w:val="single"/>
        </w:rPr>
      </w:pPr>
    </w:p>
    <w:p w:rsidR="00CE5B54" w:rsidRDefault="00CE5B54" w:rsidP="00CE5B54">
      <w:pPr>
        <w:spacing w:after="0"/>
        <w:rPr>
          <w:rFonts w:cstheme="minorHAnsi"/>
          <w:color w:val="000000" w:themeColor="text1"/>
          <w:sz w:val="24"/>
          <w:szCs w:val="24"/>
          <w:u w:val="single"/>
        </w:rPr>
      </w:pPr>
      <w:r w:rsidRPr="0005278D">
        <w:rPr>
          <w:rFonts w:cstheme="minorHAnsi"/>
          <w:color w:val="000000" w:themeColor="text1"/>
          <w:sz w:val="24"/>
          <w:szCs w:val="24"/>
          <w:u w:val="single"/>
        </w:rPr>
        <w:t xml:space="preserve">What are </w:t>
      </w:r>
      <w:r w:rsidRPr="00314DA6">
        <w:rPr>
          <w:rFonts w:cstheme="minorHAnsi"/>
          <w:i/>
          <w:color w:val="000000" w:themeColor="text1"/>
          <w:sz w:val="24"/>
          <w:szCs w:val="24"/>
          <w:u w:val="single"/>
        </w:rPr>
        <w:t>“disproportionate burdens”</w:t>
      </w:r>
      <w:r w:rsidRPr="0005278D">
        <w:rPr>
          <w:rFonts w:cstheme="minorHAnsi"/>
          <w:color w:val="000000" w:themeColor="text1"/>
          <w:sz w:val="24"/>
          <w:szCs w:val="24"/>
          <w:u w:val="single"/>
        </w:rPr>
        <w:t>?</w:t>
      </w:r>
    </w:p>
    <w:p w:rsidR="00CE5B54" w:rsidRPr="0005278D" w:rsidRDefault="00CE5B54" w:rsidP="00CE5B54">
      <w:pPr>
        <w:spacing w:after="0"/>
        <w:rPr>
          <w:rFonts w:cstheme="minorHAnsi"/>
          <w:color w:val="000000" w:themeColor="text1"/>
          <w:sz w:val="24"/>
          <w:szCs w:val="24"/>
          <w:u w:val="single"/>
        </w:rPr>
      </w:pPr>
    </w:p>
    <w:p w:rsidR="00CE5B54" w:rsidRPr="0005278D" w:rsidRDefault="00CE5B54" w:rsidP="00CE5B54">
      <w:pPr>
        <w:spacing w:after="120"/>
        <w:rPr>
          <w:rFonts w:cstheme="minorHAnsi"/>
          <w:color w:val="000000" w:themeColor="text1"/>
          <w:sz w:val="24"/>
          <w:szCs w:val="24"/>
        </w:rPr>
      </w:pPr>
      <w:r w:rsidRPr="0005278D">
        <w:rPr>
          <w:rFonts w:cstheme="minorHAnsi"/>
          <w:color w:val="000000" w:themeColor="text1"/>
          <w:sz w:val="24"/>
          <w:szCs w:val="24"/>
        </w:rPr>
        <w:t>The economic intuition behind small businesses being disproportionately affected</w:t>
      </w:r>
      <w:r>
        <w:rPr>
          <w:rFonts w:cstheme="minorHAnsi"/>
          <w:color w:val="000000" w:themeColor="text1"/>
          <w:sz w:val="24"/>
          <w:szCs w:val="24"/>
        </w:rPr>
        <w:t xml:space="preserve"> by regulation</w:t>
      </w:r>
      <w:r w:rsidRPr="0005278D">
        <w:rPr>
          <w:rFonts w:cstheme="minorHAnsi"/>
          <w:color w:val="000000" w:themeColor="text1"/>
          <w:sz w:val="24"/>
          <w:szCs w:val="24"/>
        </w:rPr>
        <w:t xml:space="preserve"> is that any costs </w:t>
      </w:r>
      <w:r>
        <w:rPr>
          <w:rFonts w:cstheme="minorHAnsi"/>
          <w:color w:val="000000" w:themeColor="text1"/>
          <w:sz w:val="24"/>
          <w:szCs w:val="24"/>
        </w:rPr>
        <w:t xml:space="preserve">resulting from </w:t>
      </w:r>
      <w:r w:rsidRPr="0005278D">
        <w:rPr>
          <w:rFonts w:cstheme="minorHAnsi"/>
          <w:color w:val="000000" w:themeColor="text1"/>
          <w:sz w:val="24"/>
          <w:szCs w:val="24"/>
        </w:rPr>
        <w:t xml:space="preserve">complying with regulation can often </w:t>
      </w:r>
      <w:proofErr w:type="gramStart"/>
      <w:r w:rsidRPr="0005278D">
        <w:rPr>
          <w:rFonts w:cstheme="minorHAnsi"/>
          <w:color w:val="000000" w:themeColor="text1"/>
          <w:sz w:val="24"/>
          <w:szCs w:val="24"/>
        </w:rPr>
        <w:t>be</w:t>
      </w:r>
      <w:proofErr w:type="gramEnd"/>
      <w:r w:rsidRPr="0005278D">
        <w:rPr>
          <w:rFonts w:cstheme="minorHAnsi"/>
          <w:color w:val="000000" w:themeColor="text1"/>
          <w:sz w:val="24"/>
          <w:szCs w:val="24"/>
        </w:rPr>
        <w:t xml:space="preserve"> seen as fixed costs, </w:t>
      </w:r>
      <w:r>
        <w:rPr>
          <w:rFonts w:cstheme="minorHAnsi"/>
          <w:color w:val="000000" w:themeColor="text1"/>
          <w:sz w:val="24"/>
          <w:szCs w:val="24"/>
        </w:rPr>
        <w:t>bec</w:t>
      </w:r>
      <w:r w:rsidRPr="0005278D">
        <w:rPr>
          <w:rFonts w:cstheme="minorHAnsi"/>
          <w:color w:val="000000" w:themeColor="text1"/>
          <w:sz w:val="24"/>
          <w:szCs w:val="24"/>
        </w:rPr>
        <w:t>a</w:t>
      </w:r>
      <w:r>
        <w:rPr>
          <w:rFonts w:cstheme="minorHAnsi"/>
          <w:color w:val="000000" w:themeColor="text1"/>
          <w:sz w:val="24"/>
          <w:szCs w:val="24"/>
        </w:rPr>
        <w:t>u</w:t>
      </w:r>
      <w:r w:rsidRPr="0005278D">
        <w:rPr>
          <w:rFonts w:cstheme="minorHAnsi"/>
          <w:color w:val="000000" w:themeColor="text1"/>
          <w:sz w:val="24"/>
          <w:szCs w:val="24"/>
        </w:rPr>
        <w:t>s</w:t>
      </w:r>
      <w:r>
        <w:rPr>
          <w:rFonts w:cstheme="minorHAnsi"/>
          <w:color w:val="000000" w:themeColor="text1"/>
          <w:sz w:val="24"/>
          <w:szCs w:val="24"/>
        </w:rPr>
        <w:t>e</w:t>
      </w:r>
      <w:r w:rsidRPr="0005278D">
        <w:rPr>
          <w:rFonts w:cstheme="minorHAnsi"/>
          <w:color w:val="000000" w:themeColor="text1"/>
          <w:sz w:val="24"/>
          <w:szCs w:val="24"/>
        </w:rPr>
        <w:t xml:space="preserve"> they do not depend on the </w:t>
      </w:r>
      <w:r>
        <w:rPr>
          <w:rFonts w:cstheme="minorHAnsi"/>
          <w:color w:val="000000" w:themeColor="text1"/>
          <w:sz w:val="24"/>
          <w:szCs w:val="24"/>
        </w:rPr>
        <w:t>output</w:t>
      </w:r>
      <w:r w:rsidRPr="0005278D">
        <w:rPr>
          <w:rFonts w:cstheme="minorHAnsi"/>
          <w:color w:val="000000" w:themeColor="text1"/>
          <w:sz w:val="24"/>
          <w:szCs w:val="24"/>
        </w:rPr>
        <w:t xml:space="preserve"> of </w:t>
      </w:r>
      <w:r>
        <w:rPr>
          <w:rFonts w:cstheme="minorHAnsi"/>
          <w:color w:val="000000" w:themeColor="text1"/>
          <w:sz w:val="24"/>
          <w:szCs w:val="24"/>
        </w:rPr>
        <w:t>the</w:t>
      </w:r>
      <w:r w:rsidRPr="0005278D">
        <w:rPr>
          <w:rFonts w:cstheme="minorHAnsi"/>
          <w:color w:val="000000" w:themeColor="text1"/>
          <w:sz w:val="24"/>
          <w:szCs w:val="24"/>
        </w:rPr>
        <w:t xml:space="preserve"> business. Since larger business</w:t>
      </w:r>
      <w:r>
        <w:rPr>
          <w:rFonts w:cstheme="minorHAnsi"/>
          <w:color w:val="000000" w:themeColor="text1"/>
          <w:sz w:val="24"/>
          <w:szCs w:val="24"/>
        </w:rPr>
        <w:t>es</w:t>
      </w:r>
      <w:r w:rsidRPr="0005278D">
        <w:rPr>
          <w:rFonts w:cstheme="minorHAnsi"/>
          <w:color w:val="000000" w:themeColor="text1"/>
          <w:sz w:val="24"/>
          <w:szCs w:val="24"/>
        </w:rPr>
        <w:t xml:space="preserve"> operate on larger scale, such fixed costs </w:t>
      </w:r>
      <w:r>
        <w:rPr>
          <w:rFonts w:cstheme="minorHAnsi"/>
          <w:color w:val="000000" w:themeColor="text1"/>
          <w:sz w:val="24"/>
          <w:szCs w:val="24"/>
        </w:rPr>
        <w:t>are likely to</w:t>
      </w:r>
      <w:r w:rsidRPr="0005278D">
        <w:rPr>
          <w:rFonts w:cstheme="minorHAnsi"/>
          <w:color w:val="000000" w:themeColor="text1"/>
          <w:sz w:val="24"/>
          <w:szCs w:val="24"/>
        </w:rPr>
        <w:t xml:space="preserve"> make up a smaller proportion of their overall costs. An identical increase in fixed costs in absolute terms will, therefore, translate into a larger relative increase in costs to smaller businesses.</w:t>
      </w:r>
    </w:p>
    <w:p w:rsidR="00CE5B54" w:rsidRPr="0005278D" w:rsidRDefault="00CE5B54" w:rsidP="00CE5B54">
      <w:pPr>
        <w:spacing w:after="120"/>
        <w:rPr>
          <w:rFonts w:cstheme="minorHAnsi"/>
          <w:color w:val="000000" w:themeColor="text1"/>
          <w:sz w:val="24"/>
          <w:szCs w:val="24"/>
        </w:rPr>
      </w:pPr>
      <w:r w:rsidRPr="0005278D">
        <w:rPr>
          <w:rFonts w:cstheme="minorHAnsi"/>
          <w:color w:val="000000" w:themeColor="text1"/>
          <w:sz w:val="24"/>
          <w:szCs w:val="24"/>
        </w:rPr>
        <w:t xml:space="preserve">The RPC </w:t>
      </w:r>
      <w:r>
        <w:rPr>
          <w:rFonts w:cstheme="minorHAnsi"/>
          <w:color w:val="000000" w:themeColor="text1"/>
          <w:sz w:val="24"/>
          <w:szCs w:val="24"/>
        </w:rPr>
        <w:t xml:space="preserve">recommends </w:t>
      </w:r>
      <w:r w:rsidRPr="0005278D">
        <w:rPr>
          <w:rFonts w:cstheme="minorHAnsi"/>
          <w:color w:val="000000" w:themeColor="text1"/>
          <w:sz w:val="24"/>
          <w:szCs w:val="24"/>
        </w:rPr>
        <w:t xml:space="preserve">that departments consider the increase in absolute and relative costs to business, but </w:t>
      </w:r>
      <w:r>
        <w:rPr>
          <w:rFonts w:cstheme="minorHAnsi"/>
          <w:color w:val="000000" w:themeColor="text1"/>
          <w:sz w:val="24"/>
          <w:szCs w:val="24"/>
        </w:rPr>
        <w:t xml:space="preserve">also </w:t>
      </w:r>
      <w:r w:rsidRPr="0005278D">
        <w:rPr>
          <w:rFonts w:cstheme="minorHAnsi"/>
          <w:color w:val="000000" w:themeColor="text1"/>
          <w:sz w:val="24"/>
          <w:szCs w:val="24"/>
        </w:rPr>
        <w:t>assess whether small businesses are disproportionately affected</w:t>
      </w:r>
      <w:r>
        <w:rPr>
          <w:rFonts w:cstheme="minorHAnsi"/>
          <w:color w:val="000000" w:themeColor="text1"/>
          <w:sz w:val="24"/>
          <w:szCs w:val="24"/>
        </w:rPr>
        <w:t>,</w:t>
      </w:r>
      <w:r w:rsidRPr="0005278D">
        <w:rPr>
          <w:rFonts w:cstheme="minorHAnsi"/>
          <w:color w:val="000000" w:themeColor="text1"/>
          <w:sz w:val="24"/>
          <w:szCs w:val="24"/>
        </w:rPr>
        <w:t xml:space="preserve"> based on the relative increase in costs. This should be the default position, unless good reasons can be provided why such an approach might not be suitable in the specific circumstances of the proposal considered.</w:t>
      </w:r>
    </w:p>
    <w:p w:rsidR="00CE5B54" w:rsidRDefault="00CE5B54" w:rsidP="00CE5B54">
      <w:pPr>
        <w:rPr>
          <w:rFonts w:cstheme="minorHAnsi"/>
          <w:color w:val="000000" w:themeColor="text1"/>
          <w:sz w:val="24"/>
          <w:szCs w:val="24"/>
        </w:rPr>
      </w:pPr>
      <w:r w:rsidRPr="0005278D">
        <w:rPr>
          <w:rFonts w:cstheme="minorHAnsi"/>
          <w:color w:val="000000" w:themeColor="text1"/>
          <w:sz w:val="24"/>
          <w:szCs w:val="24"/>
        </w:rPr>
        <w:t>The working assumption applied by the RPC is that small businesses are indeed disproportionately affected</w:t>
      </w:r>
      <w:r>
        <w:rPr>
          <w:rFonts w:cstheme="minorHAnsi"/>
          <w:color w:val="000000" w:themeColor="text1"/>
          <w:sz w:val="24"/>
          <w:szCs w:val="24"/>
        </w:rPr>
        <w:t xml:space="preserve"> by regulation</w:t>
      </w:r>
      <w:r w:rsidRPr="0005278D">
        <w:rPr>
          <w:rFonts w:cstheme="minorHAnsi"/>
          <w:color w:val="000000" w:themeColor="text1"/>
          <w:sz w:val="24"/>
          <w:szCs w:val="24"/>
        </w:rPr>
        <w:t xml:space="preserve">, unless the </w:t>
      </w:r>
      <w:proofErr w:type="spellStart"/>
      <w:r w:rsidRPr="0005278D">
        <w:rPr>
          <w:rFonts w:cstheme="minorHAnsi"/>
          <w:color w:val="000000" w:themeColor="text1"/>
          <w:sz w:val="24"/>
          <w:szCs w:val="24"/>
        </w:rPr>
        <w:t>SaMBA</w:t>
      </w:r>
      <w:proofErr w:type="spellEnd"/>
      <w:r w:rsidRPr="0005278D">
        <w:rPr>
          <w:rFonts w:cstheme="minorHAnsi"/>
          <w:color w:val="000000" w:themeColor="text1"/>
          <w:sz w:val="24"/>
          <w:szCs w:val="24"/>
        </w:rPr>
        <w:t xml:space="preserve"> provides evidence showing otherwise. This means </w:t>
      </w:r>
      <w:r>
        <w:rPr>
          <w:rFonts w:cstheme="minorHAnsi"/>
          <w:color w:val="000000" w:themeColor="text1"/>
          <w:sz w:val="24"/>
          <w:szCs w:val="24"/>
        </w:rPr>
        <w:t xml:space="preserve">that where a department: </w:t>
      </w:r>
    </w:p>
    <w:p w:rsidR="00CE5B54" w:rsidRPr="00222A78" w:rsidRDefault="00CE5B54" w:rsidP="00CE5B54">
      <w:pPr>
        <w:pStyle w:val="ListParagraph"/>
        <w:numPr>
          <w:ilvl w:val="0"/>
          <w:numId w:val="32"/>
        </w:numPr>
        <w:rPr>
          <w:rFonts w:cstheme="minorHAnsi"/>
          <w:color w:val="000000" w:themeColor="text1"/>
          <w:sz w:val="24"/>
          <w:szCs w:val="24"/>
        </w:rPr>
      </w:pPr>
      <w:r w:rsidRPr="003842FD">
        <w:rPr>
          <w:rFonts w:cstheme="minorHAnsi"/>
          <w:color w:val="000000" w:themeColor="text1"/>
          <w:sz w:val="24"/>
          <w:szCs w:val="24"/>
        </w:rPr>
        <w:t xml:space="preserve">does not apply </w:t>
      </w:r>
      <w:r>
        <w:rPr>
          <w:rFonts w:cstheme="minorHAnsi"/>
          <w:color w:val="000000" w:themeColor="text1"/>
          <w:sz w:val="24"/>
          <w:szCs w:val="24"/>
        </w:rPr>
        <w:t xml:space="preserve">an </w:t>
      </w:r>
      <w:r w:rsidRPr="003842FD">
        <w:rPr>
          <w:rFonts w:cstheme="minorHAnsi"/>
          <w:color w:val="000000" w:themeColor="text1"/>
          <w:sz w:val="24"/>
          <w:szCs w:val="24"/>
        </w:rPr>
        <w:t>exemption</w:t>
      </w:r>
      <w:r>
        <w:rPr>
          <w:rFonts w:cstheme="minorHAnsi"/>
          <w:color w:val="000000" w:themeColor="text1"/>
          <w:sz w:val="24"/>
          <w:szCs w:val="24"/>
        </w:rPr>
        <w:t xml:space="preserve"> or mitigation;</w:t>
      </w:r>
      <w:r>
        <w:rPr>
          <w:noProof/>
          <w:lang w:eastAsia="en-GB"/>
        </w:rPr>
        <w:t xml:space="preserve"> </w:t>
      </w:r>
      <w:r>
        <w:rPr>
          <w:noProof/>
          <w:lang w:eastAsia="en-GB"/>
        </w:rPr>
        <mc:AlternateContent>
          <mc:Choice Requires="wps">
            <w:drawing>
              <wp:anchor distT="0" distB="0" distL="114300" distR="114300" simplePos="0" relativeHeight="251713536" behindDoc="0" locked="0" layoutInCell="1" allowOverlap="1" wp14:anchorId="1B427E4D" wp14:editId="60F40BB0">
                <wp:simplePos x="0" y="0"/>
                <wp:positionH relativeFrom="column">
                  <wp:posOffset>-845185</wp:posOffset>
                </wp:positionH>
                <wp:positionV relativeFrom="paragraph">
                  <wp:posOffset>144145</wp:posOffset>
                </wp:positionV>
                <wp:extent cx="683895" cy="44831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83895" cy="448310"/>
                        </a:xfrm>
                        <a:prstGeom prst="rect">
                          <a:avLst/>
                        </a:prstGeom>
                        <a:noFill/>
                        <a:ln w="6350">
                          <a:noFill/>
                        </a:ln>
                        <a:effectLst/>
                      </wps:spPr>
                      <wps:txbx>
                        <w:txbxContent>
                          <w:p w:rsidR="00C90A59" w:rsidRPr="00F3504F" w:rsidRDefault="00C90A59" w:rsidP="00CE5B54">
                            <w:pPr>
                              <w:pBdr>
                                <w:top w:val="single" w:sz="4" w:space="1" w:color="FABF8F" w:themeColor="accent6" w:themeTint="99"/>
                                <w:bottom w:val="single" w:sz="4" w:space="1" w:color="FABF8F" w:themeColor="accent6" w:themeTint="99"/>
                              </w:pBdr>
                              <w:spacing w:after="0"/>
                              <w:jc w:val="center"/>
                              <w:rPr>
                                <w:rFonts w:cstheme="minorHAnsi"/>
                                <w:i/>
                                <w:color w:val="E36C0A" w:themeColor="accent6" w:themeShade="BF"/>
                                <w:sz w:val="16"/>
                                <w:szCs w:val="16"/>
                              </w:rPr>
                            </w:pPr>
                            <w:r w:rsidRPr="00F3504F">
                              <w:rPr>
                                <w:rFonts w:cstheme="minorHAnsi"/>
                                <w:b/>
                                <w:i/>
                                <w:color w:val="E36C0A" w:themeColor="accent6" w:themeShade="BF"/>
                                <w:sz w:val="16"/>
                                <w:szCs w:val="16"/>
                              </w:rPr>
                              <w:t>Potential red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6" type="#_x0000_t202" style="position:absolute;left:0;text-align:left;margin-left:-66.55pt;margin-top:11.35pt;width:53.85pt;height:35.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uVMwIAAGYEAAAOAAAAZHJzL2Uyb0RvYy54bWysVEtv2zAMvg/YfxB0X5xnlxpxiqxFhgFB&#10;WyApelZkKTYgiZqkxM5+/Sg5L3Q7DbvIFEnx9X307KHVihyE8zWYgg56fUqE4VDWZlfQt83yy5QS&#10;H5gpmQIjCnoUnj7MP3+aNTYXQ6hAlcIRDGJ83tiCViHYPMs8r4RmvgdWGDRKcJoFvLpdVjrWYHSt&#10;smG/f5c14ErrgAvvUfvUGek8xZdS8PAipReBqIJibSGdLp3beGbzGct3jtmq5qcy2D9UoVltMOkl&#10;1BMLjOxd/UcoXXMHHmTocdAZSFlzkXrAbgb9D92sK2ZF6gWH4+1lTP7/heXPh1dH6rKgI0oM0wjR&#10;RrSBfIOWjOJ0GutzdFpbdAstqhHls96jMjbdSqfjF9shaMc5Hy+zjcE4Ku+mo+n9hBKOpvF4Ohqk&#10;2WfXx9b58F2AJlEoqEPo0kTZYeUDFoKuZ5eYy8CyVirBpwxpMMFo0k8PLhZ8oUz0FYkIpzCxoa7w&#10;KIV226b2u3qiagvlEZt10JHFW76ssaQV8+GVOWQH9oeMDy94SAWYGk4SJRW4X3/TR38EDa2UNMi2&#10;gvqfe+YEJeqHQTjvB+NxpGe6jCdfh3hxt5btrcXs9SMgoQe4W5YnMfoHdRalA/2Oi7GIWdHEDMfc&#10;BQ1n8TF0O4CLxcVikZyQkJaFlVlbHkPHwcWBb9p35uwJlYBwPsOZlyz/AE7n28Gz2AeQdULuOlWE&#10;MV6QzAnQ0+LFbbm9J6/r72H+GwAA//8DAFBLAwQUAAYACAAAACEAF14z6+IAAAAKAQAADwAAAGRy&#10;cy9kb3ducmV2LnhtbEyPy07DMBBF90j8gzVI7FLnQaENmVRVpAoJ0UVLN91NYjeJ8CPEbhv4eswK&#10;lqN7dO+ZYjVpxS5ydL01CMksBiZNY0VvWoTD+yZaAHOejCBljUT4kg5W5e1NQbmwV7OTl71vWSgx&#10;LieEzvsh59w1ndTkZnaQJmQnO2ry4RxbLka6hnKteBrHj1xTb8JCR4OsOtl87M8a4bXabGlXp3rx&#10;raqXt9N6+Dwc54j3d9P6GZiXk/+D4Vc/qEMZnGp7NsIxhRAlWZYEFiFNn4AFIkrnD8BqhGWWAS8L&#10;/v+F8gcAAP//AwBQSwECLQAUAAYACAAAACEAtoM4kv4AAADhAQAAEwAAAAAAAAAAAAAAAAAAAAAA&#10;W0NvbnRlbnRfVHlwZXNdLnhtbFBLAQItABQABgAIAAAAIQA4/SH/1gAAAJQBAAALAAAAAAAAAAAA&#10;AAAAAC8BAABfcmVscy8ucmVsc1BLAQItABQABgAIAAAAIQB+dLuVMwIAAGYEAAAOAAAAAAAAAAAA&#10;AAAAAC4CAABkcnMvZTJvRG9jLnhtbFBLAQItABQABgAIAAAAIQAXXjPr4gAAAAoBAAAPAAAAAAAA&#10;AAAAAAAAAI0EAABkcnMvZG93bnJldi54bWxQSwUGAAAAAAQABADzAAAAnAUAAAAA&#10;" filled="f" stroked="f" strokeweight=".5pt">
                <v:textbox>
                  <w:txbxContent>
                    <w:p w:rsidR="00C90A59" w:rsidRPr="00F3504F" w:rsidRDefault="00C90A59" w:rsidP="00CE5B54">
                      <w:pPr>
                        <w:pBdr>
                          <w:top w:val="single" w:sz="4" w:space="1" w:color="FABF8F" w:themeColor="accent6" w:themeTint="99"/>
                          <w:bottom w:val="single" w:sz="4" w:space="1" w:color="FABF8F" w:themeColor="accent6" w:themeTint="99"/>
                        </w:pBdr>
                        <w:spacing w:after="0"/>
                        <w:jc w:val="center"/>
                        <w:rPr>
                          <w:rFonts w:cstheme="minorHAnsi"/>
                          <w:i/>
                          <w:color w:val="E36C0A" w:themeColor="accent6" w:themeShade="BF"/>
                          <w:sz w:val="16"/>
                          <w:szCs w:val="16"/>
                        </w:rPr>
                      </w:pPr>
                      <w:r w:rsidRPr="00F3504F">
                        <w:rPr>
                          <w:rFonts w:cstheme="minorHAnsi"/>
                          <w:b/>
                          <w:i/>
                          <w:color w:val="E36C0A" w:themeColor="accent6" w:themeShade="BF"/>
                          <w:sz w:val="16"/>
                          <w:szCs w:val="16"/>
                        </w:rPr>
                        <w:t>Potential red point</w:t>
                      </w:r>
                    </w:p>
                  </w:txbxContent>
                </v:textbox>
                <w10:wrap type="square"/>
              </v:shape>
            </w:pict>
          </mc:Fallback>
        </mc:AlternateContent>
      </w:r>
      <w:r>
        <w:rPr>
          <w:noProof/>
          <w:lang w:eastAsia="en-GB"/>
        </w:rPr>
        <w:t>and</w:t>
      </w:r>
    </w:p>
    <w:p w:rsidR="00CE5B54" w:rsidRPr="003842FD" w:rsidRDefault="00CE5B54" w:rsidP="00CE5B54">
      <w:pPr>
        <w:pStyle w:val="ListParagraph"/>
        <w:numPr>
          <w:ilvl w:val="0"/>
          <w:numId w:val="32"/>
        </w:numPr>
        <w:rPr>
          <w:rFonts w:cstheme="minorHAnsi"/>
          <w:color w:val="000000" w:themeColor="text1"/>
          <w:sz w:val="24"/>
          <w:szCs w:val="24"/>
        </w:rPr>
      </w:pPr>
      <w:r w:rsidRPr="003842FD">
        <w:rPr>
          <w:rFonts w:cstheme="minorHAnsi"/>
          <w:color w:val="000000" w:themeColor="text1"/>
          <w:sz w:val="24"/>
          <w:szCs w:val="24"/>
        </w:rPr>
        <w:t xml:space="preserve">does not provide any evidence </w:t>
      </w:r>
      <w:r>
        <w:rPr>
          <w:rFonts w:cstheme="minorHAnsi"/>
          <w:color w:val="000000" w:themeColor="text1"/>
          <w:sz w:val="24"/>
          <w:szCs w:val="24"/>
        </w:rPr>
        <w:t xml:space="preserve">in the IA </w:t>
      </w:r>
      <w:r w:rsidRPr="003842FD">
        <w:rPr>
          <w:rFonts w:cstheme="minorHAnsi"/>
          <w:color w:val="000000" w:themeColor="text1"/>
          <w:sz w:val="24"/>
          <w:szCs w:val="24"/>
        </w:rPr>
        <w:t xml:space="preserve">on </w:t>
      </w:r>
      <w:r>
        <w:rPr>
          <w:rFonts w:cstheme="minorHAnsi"/>
          <w:color w:val="000000" w:themeColor="text1"/>
          <w:sz w:val="24"/>
          <w:szCs w:val="24"/>
        </w:rPr>
        <w:t>whether</w:t>
      </w:r>
      <w:r w:rsidRPr="003842FD">
        <w:rPr>
          <w:rFonts w:cstheme="minorHAnsi"/>
          <w:color w:val="000000" w:themeColor="text1"/>
          <w:sz w:val="24"/>
          <w:szCs w:val="24"/>
        </w:rPr>
        <w:t xml:space="preserve"> costs</w:t>
      </w:r>
      <w:r>
        <w:rPr>
          <w:rFonts w:cstheme="minorHAnsi"/>
          <w:color w:val="000000" w:themeColor="text1"/>
          <w:sz w:val="24"/>
          <w:szCs w:val="24"/>
        </w:rPr>
        <w:t xml:space="preserve"> are disproportionate; and</w:t>
      </w:r>
    </w:p>
    <w:p w:rsidR="00CE5B54" w:rsidRPr="003842FD" w:rsidRDefault="00CE5B54" w:rsidP="00CE5B54">
      <w:pPr>
        <w:pStyle w:val="ListParagraph"/>
        <w:numPr>
          <w:ilvl w:val="0"/>
          <w:numId w:val="32"/>
        </w:numPr>
        <w:rPr>
          <w:rFonts w:cstheme="minorHAnsi"/>
          <w:color w:val="000000" w:themeColor="text1"/>
          <w:sz w:val="24"/>
          <w:szCs w:val="24"/>
        </w:rPr>
      </w:pPr>
      <w:proofErr w:type="gramStart"/>
      <w:r w:rsidRPr="003842FD">
        <w:rPr>
          <w:rFonts w:cstheme="minorHAnsi"/>
          <w:color w:val="000000" w:themeColor="text1"/>
          <w:sz w:val="24"/>
          <w:szCs w:val="24"/>
        </w:rPr>
        <w:t>does</w:t>
      </w:r>
      <w:proofErr w:type="gramEnd"/>
      <w:r w:rsidRPr="003842FD">
        <w:rPr>
          <w:rFonts w:cstheme="minorHAnsi"/>
          <w:color w:val="000000" w:themeColor="text1"/>
          <w:sz w:val="24"/>
          <w:szCs w:val="24"/>
        </w:rPr>
        <w:t xml:space="preserve"> not </w:t>
      </w:r>
      <w:r>
        <w:rPr>
          <w:rFonts w:cstheme="minorHAnsi"/>
          <w:color w:val="000000" w:themeColor="text1"/>
          <w:sz w:val="24"/>
          <w:szCs w:val="24"/>
        </w:rPr>
        <w:t>demonstrate</w:t>
      </w:r>
      <w:r w:rsidRPr="003842FD">
        <w:rPr>
          <w:rFonts w:cstheme="minorHAnsi"/>
          <w:color w:val="000000" w:themeColor="text1"/>
          <w:sz w:val="24"/>
          <w:szCs w:val="24"/>
        </w:rPr>
        <w:t xml:space="preserve"> </w:t>
      </w:r>
      <w:r>
        <w:rPr>
          <w:rFonts w:cstheme="minorHAnsi"/>
          <w:color w:val="000000" w:themeColor="text1"/>
          <w:sz w:val="24"/>
          <w:szCs w:val="24"/>
        </w:rPr>
        <w:t xml:space="preserve">clearly </w:t>
      </w:r>
      <w:r w:rsidRPr="003842FD">
        <w:rPr>
          <w:rFonts w:cstheme="minorHAnsi"/>
          <w:color w:val="000000" w:themeColor="text1"/>
          <w:sz w:val="24"/>
          <w:szCs w:val="24"/>
        </w:rPr>
        <w:t xml:space="preserve">that exemption or mitigation would not be </w:t>
      </w:r>
      <w:r>
        <w:rPr>
          <w:rFonts w:cstheme="minorHAnsi"/>
          <w:color w:val="000000" w:themeColor="text1"/>
          <w:sz w:val="24"/>
          <w:szCs w:val="24"/>
        </w:rPr>
        <w:t>appropriate, the IA will not be considered fit for purpose by the RPC.</w:t>
      </w:r>
    </w:p>
    <w:p w:rsidR="00CE5B54" w:rsidRDefault="00CE5B54" w:rsidP="00CE5B54">
      <w:pPr>
        <w:spacing w:after="0"/>
        <w:rPr>
          <w:rFonts w:cstheme="minorHAnsi"/>
          <w:color w:val="000000" w:themeColor="text1"/>
          <w:sz w:val="24"/>
          <w:szCs w:val="24"/>
          <w:u w:val="single"/>
        </w:rPr>
      </w:pPr>
    </w:p>
    <w:p w:rsidR="00CE5B54" w:rsidRDefault="00CE5B54" w:rsidP="00CE5B54">
      <w:pPr>
        <w:spacing w:after="0"/>
        <w:rPr>
          <w:rFonts w:cstheme="minorHAnsi"/>
          <w:color w:val="000000" w:themeColor="text1"/>
          <w:sz w:val="24"/>
          <w:szCs w:val="24"/>
          <w:u w:val="single"/>
        </w:rPr>
      </w:pPr>
      <w:r w:rsidRPr="0005278D">
        <w:rPr>
          <w:rFonts w:cstheme="minorHAnsi"/>
          <w:color w:val="000000" w:themeColor="text1"/>
          <w:sz w:val="24"/>
          <w:szCs w:val="24"/>
          <w:u w:val="single"/>
        </w:rPr>
        <w:t xml:space="preserve">What is </w:t>
      </w:r>
      <w:r>
        <w:rPr>
          <w:rFonts w:cstheme="minorHAnsi"/>
          <w:color w:val="000000" w:themeColor="text1"/>
          <w:sz w:val="24"/>
          <w:szCs w:val="24"/>
          <w:u w:val="single"/>
        </w:rPr>
        <w:t xml:space="preserve">meant by </w:t>
      </w:r>
      <w:r w:rsidRPr="00314DA6">
        <w:rPr>
          <w:rFonts w:cstheme="minorHAnsi"/>
          <w:i/>
          <w:color w:val="000000" w:themeColor="text1"/>
          <w:sz w:val="24"/>
          <w:szCs w:val="24"/>
          <w:u w:val="single"/>
        </w:rPr>
        <w:t>“a large part of the intended benefits”</w:t>
      </w:r>
      <w:r w:rsidRPr="0005278D">
        <w:rPr>
          <w:rFonts w:cstheme="minorHAnsi"/>
          <w:color w:val="000000" w:themeColor="text1"/>
          <w:sz w:val="24"/>
          <w:szCs w:val="24"/>
          <w:u w:val="single"/>
        </w:rPr>
        <w:t>?</w:t>
      </w:r>
    </w:p>
    <w:p w:rsidR="00CE5B54" w:rsidRDefault="00CE5B54" w:rsidP="00CE5B54">
      <w:pPr>
        <w:spacing w:after="120"/>
        <w:rPr>
          <w:rFonts w:cstheme="minorHAnsi"/>
          <w:color w:val="000000" w:themeColor="text1"/>
          <w:sz w:val="24"/>
          <w:szCs w:val="24"/>
        </w:rPr>
      </w:pPr>
    </w:p>
    <w:p w:rsidR="00CE5B54" w:rsidRPr="0005278D" w:rsidRDefault="00CE5B54" w:rsidP="00CE5B54">
      <w:pPr>
        <w:spacing w:after="120"/>
        <w:rPr>
          <w:rFonts w:cstheme="minorHAnsi"/>
          <w:color w:val="000000" w:themeColor="text1"/>
          <w:sz w:val="24"/>
          <w:szCs w:val="24"/>
        </w:rPr>
      </w:pPr>
      <w:r w:rsidRPr="0005278D">
        <w:rPr>
          <w:rFonts w:cstheme="minorHAnsi"/>
          <w:color w:val="000000" w:themeColor="text1"/>
          <w:sz w:val="24"/>
          <w:szCs w:val="24"/>
        </w:rPr>
        <w:t xml:space="preserve">There </w:t>
      </w:r>
      <w:r>
        <w:rPr>
          <w:rFonts w:cstheme="minorHAnsi"/>
          <w:color w:val="000000" w:themeColor="text1"/>
          <w:sz w:val="24"/>
          <w:szCs w:val="24"/>
        </w:rPr>
        <w:t>is</w:t>
      </w:r>
      <w:r w:rsidRPr="0005278D">
        <w:rPr>
          <w:rFonts w:cstheme="minorHAnsi"/>
          <w:color w:val="000000" w:themeColor="text1"/>
          <w:sz w:val="24"/>
          <w:szCs w:val="24"/>
        </w:rPr>
        <w:t xml:space="preserve"> no p</w:t>
      </w:r>
      <w:r>
        <w:rPr>
          <w:rFonts w:cstheme="minorHAnsi"/>
          <w:color w:val="000000" w:themeColor="text1"/>
          <w:sz w:val="24"/>
          <w:szCs w:val="24"/>
        </w:rPr>
        <w:t>articular</w:t>
      </w:r>
      <w:r w:rsidRPr="0005278D">
        <w:rPr>
          <w:rFonts w:cstheme="minorHAnsi"/>
          <w:color w:val="000000" w:themeColor="text1"/>
          <w:sz w:val="24"/>
          <w:szCs w:val="24"/>
        </w:rPr>
        <w:t xml:space="preserve"> threshold for the </w:t>
      </w:r>
      <w:r>
        <w:rPr>
          <w:rFonts w:cstheme="minorHAnsi"/>
          <w:color w:val="000000" w:themeColor="text1"/>
          <w:sz w:val="24"/>
          <w:szCs w:val="24"/>
        </w:rPr>
        <w:t>proportion</w:t>
      </w:r>
      <w:r w:rsidRPr="0005278D">
        <w:rPr>
          <w:rFonts w:cstheme="minorHAnsi"/>
          <w:color w:val="000000" w:themeColor="text1"/>
          <w:sz w:val="24"/>
          <w:szCs w:val="24"/>
        </w:rPr>
        <w:t xml:space="preserve"> of benefits that </w:t>
      </w:r>
      <w:r>
        <w:rPr>
          <w:rFonts w:cstheme="minorHAnsi"/>
          <w:color w:val="000000" w:themeColor="text1"/>
          <w:sz w:val="24"/>
          <w:szCs w:val="24"/>
        </w:rPr>
        <w:t>would be lost which, if exceeded, would justify not applying an exemption</w:t>
      </w:r>
      <w:r w:rsidRPr="0005278D">
        <w:rPr>
          <w:rFonts w:cstheme="minorHAnsi"/>
          <w:color w:val="000000" w:themeColor="text1"/>
          <w:sz w:val="24"/>
          <w:szCs w:val="24"/>
        </w:rPr>
        <w:t xml:space="preserve">.  </w:t>
      </w:r>
      <w:r>
        <w:rPr>
          <w:rFonts w:cstheme="minorHAnsi"/>
          <w:color w:val="000000" w:themeColor="text1"/>
          <w:sz w:val="24"/>
          <w:szCs w:val="24"/>
        </w:rPr>
        <w:t>Ultimately, a decision on what does or does not constitute a “large or sufficient part of intended benefits” is a policy choice.</w:t>
      </w:r>
      <w:r w:rsidRPr="0005278D">
        <w:rPr>
          <w:rFonts w:cstheme="minorHAnsi"/>
          <w:color w:val="000000" w:themeColor="text1"/>
          <w:sz w:val="24"/>
          <w:szCs w:val="24"/>
        </w:rPr>
        <w:t xml:space="preserve"> </w:t>
      </w:r>
    </w:p>
    <w:p w:rsidR="00CE5B54" w:rsidRPr="00E80B0C" w:rsidRDefault="00CE5B54" w:rsidP="00CE5B54">
      <w:pPr>
        <w:spacing w:after="0"/>
        <w:rPr>
          <w:rFonts w:cstheme="minorHAnsi"/>
          <w:b/>
          <w:sz w:val="24"/>
          <w:szCs w:val="24"/>
        </w:rPr>
      </w:pPr>
      <w:r w:rsidRPr="008A498B">
        <w:rPr>
          <w:rFonts w:cstheme="minorHAnsi"/>
          <w:b/>
          <w:sz w:val="24"/>
          <w:szCs w:val="24"/>
        </w:rPr>
        <w:t>The</w:t>
      </w:r>
      <w:r w:rsidRPr="00E80B0C">
        <w:rPr>
          <w:rFonts w:cstheme="minorHAnsi"/>
          <w:b/>
          <w:sz w:val="24"/>
          <w:szCs w:val="24"/>
        </w:rPr>
        <w:t xml:space="preserve"> RPC </w:t>
      </w:r>
      <w:r>
        <w:rPr>
          <w:rFonts w:cstheme="minorHAnsi"/>
          <w:b/>
          <w:sz w:val="24"/>
          <w:szCs w:val="24"/>
        </w:rPr>
        <w:t xml:space="preserve">expects to see sound analysis backing up any decision not to exempt small and micro businesses. This could be achieved by </w:t>
      </w:r>
      <w:r w:rsidRPr="00E80B0C">
        <w:rPr>
          <w:rFonts w:cstheme="minorHAnsi"/>
          <w:b/>
          <w:sz w:val="24"/>
          <w:szCs w:val="24"/>
        </w:rPr>
        <w:t>departments providing evidence on the:</w:t>
      </w:r>
    </w:p>
    <w:p w:rsidR="00CE5B54" w:rsidRPr="0005278D" w:rsidRDefault="00CE5B54" w:rsidP="00CE5B54">
      <w:pPr>
        <w:spacing w:after="0"/>
        <w:rPr>
          <w:rFonts w:cstheme="minorHAnsi"/>
          <w:sz w:val="24"/>
          <w:szCs w:val="24"/>
        </w:rPr>
      </w:pPr>
    </w:p>
    <w:p w:rsidR="00CE5B54" w:rsidRPr="00E80B0C" w:rsidRDefault="00CE5B54" w:rsidP="00CE5B54">
      <w:pPr>
        <w:pStyle w:val="ListParagraph"/>
        <w:numPr>
          <w:ilvl w:val="0"/>
          <w:numId w:val="2"/>
        </w:numPr>
        <w:autoSpaceDE w:val="0"/>
        <w:autoSpaceDN w:val="0"/>
        <w:adjustRightInd w:val="0"/>
        <w:spacing w:after="0"/>
        <w:rPr>
          <w:rFonts w:cstheme="minorHAnsi"/>
          <w:b/>
          <w:iCs/>
          <w:color w:val="000000"/>
          <w:sz w:val="24"/>
          <w:szCs w:val="24"/>
        </w:rPr>
      </w:pPr>
      <w:r>
        <w:rPr>
          <w:rFonts w:cstheme="minorHAnsi"/>
          <w:b/>
          <w:iCs/>
          <w:color w:val="000000"/>
          <w:sz w:val="24"/>
          <w:szCs w:val="24"/>
        </w:rPr>
        <w:t>‘</w:t>
      </w:r>
      <w:proofErr w:type="gramStart"/>
      <w:r>
        <w:rPr>
          <w:rFonts w:cstheme="minorHAnsi"/>
          <w:b/>
          <w:iCs/>
          <w:color w:val="000000"/>
          <w:sz w:val="24"/>
          <w:szCs w:val="24"/>
        </w:rPr>
        <w:t>policy</w:t>
      </w:r>
      <w:proofErr w:type="gramEnd"/>
      <w:r>
        <w:rPr>
          <w:rFonts w:cstheme="minorHAnsi"/>
          <w:b/>
          <w:iCs/>
          <w:color w:val="000000"/>
          <w:sz w:val="24"/>
          <w:szCs w:val="24"/>
        </w:rPr>
        <w:t xml:space="preserve"> </w:t>
      </w:r>
      <w:r w:rsidRPr="00E80B0C">
        <w:rPr>
          <w:rFonts w:cstheme="minorHAnsi"/>
          <w:b/>
          <w:iCs/>
          <w:color w:val="000000"/>
          <w:sz w:val="24"/>
          <w:szCs w:val="24"/>
        </w:rPr>
        <w:t>cost’ of exempting small and micro-business. Departments should provide an analysis of how much of the policy objective would be compromised by applying full exemption to small businesses; and</w:t>
      </w:r>
    </w:p>
    <w:p w:rsidR="00CE5B54" w:rsidRPr="00E80B0C" w:rsidRDefault="00CE5B54" w:rsidP="00CE5B54">
      <w:pPr>
        <w:pStyle w:val="ListParagraph"/>
        <w:autoSpaceDE w:val="0"/>
        <w:autoSpaceDN w:val="0"/>
        <w:adjustRightInd w:val="0"/>
        <w:spacing w:after="0"/>
        <w:rPr>
          <w:rFonts w:cstheme="minorHAnsi"/>
          <w:b/>
          <w:iCs/>
          <w:color w:val="000000"/>
          <w:sz w:val="24"/>
          <w:szCs w:val="24"/>
        </w:rPr>
      </w:pPr>
    </w:p>
    <w:p w:rsidR="00CE5B54" w:rsidRPr="00E80B0C" w:rsidRDefault="00CE5B54" w:rsidP="00CE5B54">
      <w:pPr>
        <w:pStyle w:val="ListParagraph"/>
        <w:numPr>
          <w:ilvl w:val="0"/>
          <w:numId w:val="2"/>
        </w:numPr>
        <w:autoSpaceDE w:val="0"/>
        <w:autoSpaceDN w:val="0"/>
        <w:adjustRightInd w:val="0"/>
        <w:ind w:left="714" w:hanging="357"/>
        <w:rPr>
          <w:rFonts w:cstheme="minorHAnsi"/>
          <w:b/>
          <w:iCs/>
          <w:color w:val="000000"/>
          <w:sz w:val="24"/>
          <w:szCs w:val="24"/>
        </w:rPr>
      </w:pPr>
      <w:proofErr w:type="gramStart"/>
      <w:r w:rsidRPr="00E80B0C">
        <w:rPr>
          <w:rFonts w:cstheme="minorHAnsi"/>
          <w:b/>
          <w:iCs/>
          <w:color w:val="000000"/>
          <w:sz w:val="24"/>
          <w:szCs w:val="24"/>
        </w:rPr>
        <w:lastRenderedPageBreak/>
        <w:t>impacts</w:t>
      </w:r>
      <w:proofErr w:type="gramEnd"/>
      <w:r w:rsidRPr="00E80B0C">
        <w:rPr>
          <w:rFonts w:cstheme="minorHAnsi"/>
          <w:b/>
          <w:iCs/>
          <w:color w:val="000000"/>
          <w:sz w:val="24"/>
          <w:szCs w:val="24"/>
        </w:rPr>
        <w:t xml:space="preserve"> of not exempting small and micro-business. Departments should provide an indication of how much of the overall costs to business they expect to fall on small businesses. </w:t>
      </w:r>
    </w:p>
    <w:p w:rsidR="00CE5B54" w:rsidRDefault="00CE5B54" w:rsidP="00CE5B54">
      <w:pPr>
        <w:autoSpaceDE w:val="0"/>
        <w:autoSpaceDN w:val="0"/>
        <w:adjustRightInd w:val="0"/>
        <w:spacing w:after="0"/>
        <w:rPr>
          <w:rFonts w:cstheme="minorHAnsi"/>
          <w:iCs/>
          <w:color w:val="000000"/>
          <w:sz w:val="24"/>
          <w:szCs w:val="24"/>
          <w:u w:val="single"/>
        </w:rPr>
      </w:pPr>
      <w:r w:rsidRPr="0005278D">
        <w:rPr>
          <w:rFonts w:cstheme="minorHAnsi"/>
          <w:iCs/>
          <w:color w:val="000000"/>
          <w:sz w:val="24"/>
          <w:szCs w:val="24"/>
          <w:u w:val="single"/>
        </w:rPr>
        <w:t>Required evidence at different stages</w:t>
      </w:r>
    </w:p>
    <w:p w:rsidR="00CE5B54" w:rsidRPr="0005278D" w:rsidRDefault="00CE5B54" w:rsidP="00CE5B54">
      <w:pPr>
        <w:autoSpaceDE w:val="0"/>
        <w:autoSpaceDN w:val="0"/>
        <w:adjustRightInd w:val="0"/>
        <w:spacing w:after="0"/>
        <w:rPr>
          <w:rFonts w:cstheme="minorHAnsi"/>
          <w:iCs/>
          <w:color w:val="000000"/>
          <w:sz w:val="24"/>
          <w:szCs w:val="24"/>
          <w:u w:val="single"/>
        </w:rPr>
      </w:pPr>
    </w:p>
    <w:p w:rsidR="00CE5B54" w:rsidRPr="0005278D" w:rsidRDefault="00CE5B54" w:rsidP="00CE5B54">
      <w:pPr>
        <w:spacing w:after="120"/>
        <w:rPr>
          <w:rFonts w:cstheme="minorHAnsi"/>
          <w:sz w:val="24"/>
          <w:szCs w:val="24"/>
        </w:rPr>
      </w:pPr>
      <w:r w:rsidRPr="0005278D">
        <w:rPr>
          <w:rFonts w:cstheme="minorHAnsi"/>
          <w:sz w:val="24"/>
          <w:szCs w:val="24"/>
        </w:rPr>
        <w:t xml:space="preserve">The RPC acknowledges that the micro level data required for the analysis outlined above, especially on policy costs to small businesses associated with specific measures, might be difficult to </w:t>
      </w:r>
      <w:r>
        <w:rPr>
          <w:rFonts w:cstheme="minorHAnsi"/>
          <w:sz w:val="24"/>
          <w:szCs w:val="24"/>
        </w:rPr>
        <w:t>obtain</w:t>
      </w:r>
      <w:r w:rsidRPr="0005278D">
        <w:rPr>
          <w:rFonts w:cstheme="minorHAnsi"/>
          <w:sz w:val="24"/>
          <w:szCs w:val="24"/>
        </w:rPr>
        <w:t xml:space="preserve"> or not exist</w:t>
      </w:r>
      <w:r>
        <w:rPr>
          <w:rFonts w:cstheme="minorHAnsi"/>
          <w:sz w:val="24"/>
          <w:szCs w:val="24"/>
        </w:rPr>
        <w:t xml:space="preserve"> at all. Any </w:t>
      </w:r>
      <w:r w:rsidRPr="0005278D">
        <w:rPr>
          <w:rFonts w:cstheme="minorHAnsi"/>
          <w:sz w:val="24"/>
          <w:szCs w:val="24"/>
        </w:rPr>
        <w:t>figures provided might not</w:t>
      </w:r>
      <w:r>
        <w:rPr>
          <w:rFonts w:cstheme="minorHAnsi"/>
          <w:sz w:val="24"/>
          <w:szCs w:val="24"/>
        </w:rPr>
        <w:t>, therefore,</w:t>
      </w:r>
      <w:r w:rsidRPr="0005278D">
        <w:rPr>
          <w:rFonts w:cstheme="minorHAnsi"/>
          <w:sz w:val="24"/>
          <w:szCs w:val="24"/>
        </w:rPr>
        <w:t xml:space="preserve"> be </w:t>
      </w:r>
      <w:r>
        <w:rPr>
          <w:rFonts w:cstheme="minorHAnsi"/>
          <w:sz w:val="24"/>
          <w:szCs w:val="24"/>
        </w:rPr>
        <w:t xml:space="preserve">particularly </w:t>
      </w:r>
      <w:r w:rsidRPr="0005278D">
        <w:rPr>
          <w:rFonts w:cstheme="minorHAnsi"/>
          <w:sz w:val="24"/>
          <w:szCs w:val="24"/>
        </w:rPr>
        <w:t xml:space="preserve">robust. </w:t>
      </w:r>
    </w:p>
    <w:p w:rsidR="00CE5B54" w:rsidRPr="0005278D" w:rsidRDefault="00CE5B54" w:rsidP="00CE5B54">
      <w:pPr>
        <w:spacing w:after="120"/>
        <w:rPr>
          <w:rFonts w:cstheme="minorHAnsi"/>
          <w:sz w:val="24"/>
          <w:szCs w:val="24"/>
        </w:rPr>
      </w:pPr>
      <w:r w:rsidRPr="0040157A">
        <w:rPr>
          <w:noProof/>
          <w:lang w:eastAsia="en-GB"/>
        </w:rPr>
        <mc:AlternateContent>
          <mc:Choice Requires="wps">
            <w:drawing>
              <wp:anchor distT="0" distB="0" distL="114300" distR="114300" simplePos="0" relativeHeight="251715584" behindDoc="0" locked="0" layoutInCell="1" allowOverlap="1" wp14:anchorId="0D71563A" wp14:editId="5005A924">
                <wp:simplePos x="0" y="0"/>
                <wp:positionH relativeFrom="column">
                  <wp:posOffset>5748020</wp:posOffset>
                </wp:positionH>
                <wp:positionV relativeFrom="paragraph">
                  <wp:posOffset>88900</wp:posOffset>
                </wp:positionV>
                <wp:extent cx="643255" cy="44831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643255" cy="448310"/>
                        </a:xfrm>
                        <a:prstGeom prst="rect">
                          <a:avLst/>
                        </a:prstGeom>
                        <a:noFill/>
                        <a:ln w="6350">
                          <a:noFill/>
                        </a:ln>
                        <a:effectLst/>
                      </wps:spPr>
                      <wps:txbx>
                        <w:txbxContent>
                          <w:p w:rsidR="00C90A59" w:rsidRPr="00ED65B4" w:rsidRDefault="00C90A59" w:rsidP="00CE5B54">
                            <w:pPr>
                              <w:pBdr>
                                <w:top w:val="single" w:sz="4" w:space="1" w:color="F79646" w:themeColor="accent6"/>
                                <w:bottom w:val="single" w:sz="4" w:space="1" w:color="F79646" w:themeColor="accent6"/>
                              </w:pBdr>
                              <w:spacing w:after="0"/>
                              <w:jc w:val="center"/>
                              <w:rPr>
                                <w:rFonts w:cstheme="minorHAnsi"/>
                                <w:i/>
                                <w:color w:val="E36C0A" w:themeColor="accent6" w:themeShade="BF"/>
                                <w:sz w:val="16"/>
                                <w:szCs w:val="16"/>
                              </w:rPr>
                            </w:pPr>
                            <w:r w:rsidRPr="00ED65B4">
                              <w:rPr>
                                <w:rFonts w:cstheme="minorHAnsi"/>
                                <w:b/>
                                <w:i/>
                                <w:color w:val="E36C0A" w:themeColor="accent6" w:themeShade="BF"/>
                                <w:sz w:val="16"/>
                                <w:szCs w:val="16"/>
                              </w:rPr>
                              <w:t>Potential red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7" type="#_x0000_t202" style="position:absolute;margin-left:452.6pt;margin-top:7pt;width:50.65pt;height:35.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UTNQIAAGgEAAAOAAAAZHJzL2Uyb0RvYy54bWysVNuO2jAQfa/Uf7D8XsJ1L4iworuiqoR2&#10;V4Jqn43jkEiJx7UNCf36HjvAom2fqr4445nxXM6ZyeyhrSt2UNaVpFM+6PU5U1pSVupdyn9sll/u&#10;OHNe6ExUpFXKj8rxh/nnT7PGTNWQCqoyZRmCaDdtTMoL7800SZwsVC1cj4zSMOZka+Fxtbsks6JB&#10;9LpKhv3+TdKQzYwlqZyD9qkz8nmMn+dK+pc8d8qzKuWozcfTxnMbzmQ+E9OdFaYo5akM8Q9V1KLU&#10;SHoJ9SS8YHtb/hGqLqUlR7nvSaoTyvNSqtgDuhn0P3SzLoRRsReA48wFJvf/wsrnw6tlZQbubjnT&#10;ogZHG9V69pVaBhXwaYybwm1t4Ohb6OF71jsoQ9ttbuvwRUMMdiB9vKAbokkob8aj4WTCmYRpPL4b&#10;DSL6yftjY53/pqhmQUi5BXkRU3FYOY9C4Hp2Cbk0LcuqigRWmjVIMJr044OLBS8qHXxVHIVTmNBQ&#10;V3iQfLttOwAuXW0pO6JZS924OCOXJUpaCedfhcV8oD/MvH/BkVeE1HSSOCvI/vqbPviDNlg5azBv&#10;KXc/98IqzqrvGoTeD8bjMKDxMp7cDnGx15bttUXv60fCSA+wXUZGMfj76izmluo3rMYiZIVJaInc&#10;Kfdn8dF3W4DVkmqxiE4YSSP8Sq+NDKEDcAHwTfsmrDmx4kHnM50nU0w/kNP5dvQs9p7yMjIXgO5Q&#10;BY3hgnGOhJ5WL+zL9T16vf8g5r8BAAD//wMAUEsDBBQABgAIAAAAIQDAcOdT4AAAAAoBAAAPAAAA&#10;ZHJzL2Rvd25yZXYueG1sTI9BS8NAFITvgv9heYI3u2loSozZlBIoguihtRdvL9ltEpp9G7PbNvrr&#10;fT3Z4zDDzDf5arK9OJvRd44UzGcRCEO10x01Cvafm6cUhA9IGntHRsGP8bAq7u9yzLS70Nacd6ER&#10;XEI+QwVtCEMmpa9bY9HP3GCIvYMbLQaWYyP1iBcut72Mo2gpLXbECy0OpmxNfdydrIK3cvOB2yq2&#10;6W9fvr4f1sP3/itR6vFhWr+ACGYK/2G44jM6FMxUuRNpL3oFz1ESc5SNBX+6BnguAVEpSBdLkEUu&#10;by8UfwAAAP//AwBQSwECLQAUAAYACAAAACEAtoM4kv4AAADhAQAAEwAAAAAAAAAAAAAAAAAAAAAA&#10;W0NvbnRlbnRfVHlwZXNdLnhtbFBLAQItABQABgAIAAAAIQA4/SH/1gAAAJQBAAALAAAAAAAAAAAA&#10;AAAAAC8BAABfcmVscy8ucmVsc1BLAQItABQABgAIAAAAIQDAqfUTNQIAAGgEAAAOAAAAAAAAAAAA&#10;AAAAAC4CAABkcnMvZTJvRG9jLnhtbFBLAQItABQABgAIAAAAIQDAcOdT4AAAAAoBAAAPAAAAAAAA&#10;AAAAAAAAAI8EAABkcnMvZG93bnJldi54bWxQSwUGAAAAAAQABADzAAAAnAUAAAAA&#10;" filled="f" stroked="f" strokeweight=".5pt">
                <v:textbox>
                  <w:txbxContent>
                    <w:p w:rsidR="00C90A59" w:rsidRPr="00ED65B4" w:rsidRDefault="00C90A59" w:rsidP="00CE5B54">
                      <w:pPr>
                        <w:pBdr>
                          <w:top w:val="single" w:sz="4" w:space="1" w:color="F79646" w:themeColor="accent6"/>
                          <w:bottom w:val="single" w:sz="4" w:space="1" w:color="F79646" w:themeColor="accent6"/>
                        </w:pBdr>
                        <w:spacing w:after="0"/>
                        <w:jc w:val="center"/>
                        <w:rPr>
                          <w:rFonts w:cstheme="minorHAnsi"/>
                          <w:i/>
                          <w:color w:val="E36C0A" w:themeColor="accent6" w:themeShade="BF"/>
                          <w:sz w:val="16"/>
                          <w:szCs w:val="16"/>
                        </w:rPr>
                      </w:pPr>
                      <w:r w:rsidRPr="00ED65B4">
                        <w:rPr>
                          <w:rFonts w:cstheme="minorHAnsi"/>
                          <w:b/>
                          <w:i/>
                          <w:color w:val="E36C0A" w:themeColor="accent6" w:themeShade="BF"/>
                          <w:sz w:val="16"/>
                          <w:szCs w:val="16"/>
                        </w:rPr>
                        <w:t>Potential red point</w:t>
                      </w:r>
                    </w:p>
                  </w:txbxContent>
                </v:textbox>
                <w10:wrap type="square"/>
              </v:shape>
            </w:pict>
          </mc:Fallback>
        </mc:AlternateContent>
      </w:r>
      <w:r w:rsidRPr="0005278D">
        <w:rPr>
          <w:rFonts w:cstheme="minorHAnsi"/>
          <w:sz w:val="24"/>
          <w:szCs w:val="24"/>
        </w:rPr>
        <w:t>However, departments should</w:t>
      </w:r>
      <w:r>
        <w:rPr>
          <w:rFonts w:cstheme="minorHAnsi"/>
          <w:sz w:val="24"/>
          <w:szCs w:val="24"/>
        </w:rPr>
        <w:t>,</w:t>
      </w:r>
      <w:r w:rsidRPr="0005278D">
        <w:rPr>
          <w:rFonts w:cstheme="minorHAnsi"/>
          <w:sz w:val="24"/>
          <w:szCs w:val="24"/>
        </w:rPr>
        <w:t xml:space="preserve"> at consultation stage</w:t>
      </w:r>
      <w:r>
        <w:rPr>
          <w:rFonts w:cstheme="minorHAnsi"/>
          <w:sz w:val="24"/>
          <w:szCs w:val="24"/>
        </w:rPr>
        <w:t>,</w:t>
      </w:r>
      <w:r w:rsidRPr="0005278D">
        <w:rPr>
          <w:rFonts w:cstheme="minorHAnsi"/>
          <w:sz w:val="24"/>
          <w:szCs w:val="24"/>
        </w:rPr>
        <w:t xml:space="preserve"> </w:t>
      </w:r>
      <w:r>
        <w:rPr>
          <w:rFonts w:cstheme="minorHAnsi"/>
          <w:sz w:val="24"/>
          <w:szCs w:val="24"/>
        </w:rPr>
        <w:t>where possible, provide information on the areas highlighted in table 2 below. If a department does not have all the information necessary, it should</w:t>
      </w:r>
      <w:r w:rsidRPr="0005278D">
        <w:rPr>
          <w:rFonts w:cstheme="minorHAnsi"/>
          <w:sz w:val="24"/>
          <w:szCs w:val="24"/>
        </w:rPr>
        <w:t xml:space="preserve"> explain </w:t>
      </w:r>
      <w:r>
        <w:rPr>
          <w:rFonts w:cstheme="minorHAnsi"/>
          <w:sz w:val="24"/>
          <w:szCs w:val="24"/>
        </w:rPr>
        <w:t xml:space="preserve">clearly </w:t>
      </w:r>
      <w:r w:rsidRPr="0005278D">
        <w:rPr>
          <w:rFonts w:cstheme="minorHAnsi"/>
          <w:sz w:val="24"/>
          <w:szCs w:val="24"/>
        </w:rPr>
        <w:t xml:space="preserve">how </w:t>
      </w:r>
      <w:r>
        <w:rPr>
          <w:rFonts w:cstheme="minorHAnsi"/>
          <w:sz w:val="24"/>
          <w:szCs w:val="24"/>
        </w:rPr>
        <w:t>it</w:t>
      </w:r>
      <w:r w:rsidRPr="0005278D">
        <w:rPr>
          <w:rFonts w:cstheme="minorHAnsi"/>
          <w:sz w:val="24"/>
          <w:szCs w:val="24"/>
        </w:rPr>
        <w:t xml:space="preserve"> will aim to</w:t>
      </w:r>
      <w:r>
        <w:rPr>
          <w:rFonts w:cstheme="minorHAnsi"/>
          <w:sz w:val="24"/>
          <w:szCs w:val="24"/>
        </w:rPr>
        <w:t xml:space="preserve"> ob</w:t>
      </w:r>
      <w:r w:rsidRPr="0005278D">
        <w:rPr>
          <w:rFonts w:cstheme="minorHAnsi"/>
          <w:sz w:val="24"/>
          <w:szCs w:val="24"/>
        </w:rPr>
        <w:t xml:space="preserve">tain </w:t>
      </w:r>
      <w:r>
        <w:rPr>
          <w:rFonts w:cstheme="minorHAnsi"/>
          <w:sz w:val="24"/>
          <w:szCs w:val="24"/>
        </w:rPr>
        <w:t xml:space="preserve">the </w:t>
      </w:r>
      <w:r w:rsidRPr="0005278D">
        <w:rPr>
          <w:rFonts w:cstheme="minorHAnsi"/>
          <w:sz w:val="24"/>
          <w:szCs w:val="24"/>
        </w:rPr>
        <w:t xml:space="preserve">necessary information and use the consultation period to test </w:t>
      </w:r>
      <w:r>
        <w:rPr>
          <w:rFonts w:cstheme="minorHAnsi"/>
          <w:sz w:val="24"/>
          <w:szCs w:val="24"/>
        </w:rPr>
        <w:t>its</w:t>
      </w:r>
      <w:r w:rsidRPr="0005278D">
        <w:rPr>
          <w:rFonts w:cstheme="minorHAnsi"/>
          <w:sz w:val="24"/>
          <w:szCs w:val="24"/>
        </w:rPr>
        <w:t xml:space="preserve"> assumptions and hypotheses with stakeholders. The final stage impact assessments should provide more detailed and robust data</w:t>
      </w:r>
      <w:r>
        <w:rPr>
          <w:rFonts w:cstheme="minorHAnsi"/>
          <w:sz w:val="24"/>
          <w:szCs w:val="24"/>
        </w:rPr>
        <w:t>, where possible</w:t>
      </w:r>
      <w:r w:rsidRPr="0005278D">
        <w:rPr>
          <w:rFonts w:cstheme="minorHAnsi"/>
          <w:sz w:val="24"/>
          <w:szCs w:val="24"/>
        </w:rPr>
        <w:t xml:space="preserve">. If such data has not been </w:t>
      </w:r>
      <w:r>
        <w:rPr>
          <w:rFonts w:cstheme="minorHAnsi"/>
          <w:sz w:val="24"/>
          <w:szCs w:val="24"/>
        </w:rPr>
        <w:t>ob</w:t>
      </w:r>
      <w:r w:rsidRPr="0005278D">
        <w:rPr>
          <w:rFonts w:cstheme="minorHAnsi"/>
          <w:sz w:val="24"/>
          <w:szCs w:val="24"/>
        </w:rPr>
        <w:t xml:space="preserve">tained, </w:t>
      </w:r>
      <w:r>
        <w:rPr>
          <w:rFonts w:cstheme="minorHAnsi"/>
          <w:sz w:val="24"/>
          <w:szCs w:val="24"/>
        </w:rPr>
        <w:t xml:space="preserve">the </w:t>
      </w:r>
      <w:r w:rsidRPr="0005278D">
        <w:rPr>
          <w:rFonts w:cstheme="minorHAnsi"/>
          <w:sz w:val="24"/>
          <w:szCs w:val="24"/>
        </w:rPr>
        <w:t xml:space="preserve">department </w:t>
      </w:r>
      <w:r>
        <w:rPr>
          <w:rFonts w:cstheme="minorHAnsi"/>
          <w:sz w:val="24"/>
          <w:szCs w:val="24"/>
        </w:rPr>
        <w:t>has</w:t>
      </w:r>
      <w:r w:rsidRPr="0005278D">
        <w:rPr>
          <w:rFonts w:cstheme="minorHAnsi"/>
          <w:sz w:val="24"/>
          <w:szCs w:val="24"/>
        </w:rPr>
        <w:t xml:space="preserve"> to explain how </w:t>
      </w:r>
      <w:r>
        <w:rPr>
          <w:rFonts w:cstheme="minorHAnsi"/>
          <w:sz w:val="24"/>
          <w:szCs w:val="24"/>
        </w:rPr>
        <w:t>it</w:t>
      </w:r>
      <w:r w:rsidRPr="0005278D">
        <w:rPr>
          <w:rFonts w:cstheme="minorHAnsi"/>
          <w:sz w:val="24"/>
          <w:szCs w:val="24"/>
        </w:rPr>
        <w:t xml:space="preserve"> actively tried to gather the relevant information and why it was not possible or proportiona</w:t>
      </w:r>
      <w:r>
        <w:rPr>
          <w:rFonts w:cstheme="minorHAnsi"/>
          <w:sz w:val="24"/>
          <w:szCs w:val="24"/>
        </w:rPr>
        <w:t>te</w:t>
      </w:r>
      <w:r w:rsidRPr="0005278D">
        <w:rPr>
          <w:rFonts w:cstheme="minorHAnsi"/>
          <w:sz w:val="24"/>
          <w:szCs w:val="24"/>
        </w:rPr>
        <w:t xml:space="preserve"> to </w:t>
      </w:r>
      <w:r>
        <w:rPr>
          <w:rFonts w:cstheme="minorHAnsi"/>
          <w:sz w:val="24"/>
          <w:szCs w:val="24"/>
        </w:rPr>
        <w:t>obtain the information</w:t>
      </w:r>
      <w:r w:rsidRPr="0005278D">
        <w:rPr>
          <w:rFonts w:cstheme="minorHAnsi"/>
          <w:sz w:val="24"/>
          <w:szCs w:val="24"/>
        </w:rPr>
        <w:t>.</w:t>
      </w:r>
    </w:p>
    <w:p w:rsidR="00CE5B54" w:rsidRPr="00D32B05" w:rsidRDefault="00CE5B54" w:rsidP="00CE5B54">
      <w:pPr>
        <w:autoSpaceDE w:val="0"/>
        <w:autoSpaceDN w:val="0"/>
        <w:adjustRightInd w:val="0"/>
        <w:spacing w:after="120" w:line="240" w:lineRule="auto"/>
        <w:rPr>
          <w:rFonts w:cstheme="minorHAnsi"/>
          <w:b/>
          <w:iCs/>
          <w:color w:val="000000"/>
          <w:sz w:val="24"/>
          <w:szCs w:val="24"/>
        </w:rPr>
      </w:pPr>
      <w:r w:rsidRPr="00D32B05">
        <w:rPr>
          <w:rFonts w:cstheme="minorHAnsi"/>
          <w:b/>
          <w:iCs/>
          <w:color w:val="000000"/>
          <w:sz w:val="24"/>
          <w:szCs w:val="24"/>
        </w:rPr>
        <w:t xml:space="preserve">Table </w:t>
      </w:r>
      <w:r w:rsidR="004409D4">
        <w:rPr>
          <w:rFonts w:cstheme="minorHAnsi"/>
          <w:b/>
          <w:iCs/>
          <w:color w:val="000000"/>
          <w:sz w:val="24"/>
          <w:szCs w:val="24"/>
        </w:rPr>
        <w:t>4</w:t>
      </w:r>
      <w:r w:rsidRPr="00D32B05">
        <w:rPr>
          <w:rFonts w:cstheme="minorHAnsi"/>
          <w:b/>
          <w:iCs/>
          <w:color w:val="000000"/>
          <w:sz w:val="24"/>
          <w:szCs w:val="24"/>
        </w:rPr>
        <w:t xml:space="preserve">: The necessary evidence base for </w:t>
      </w:r>
      <w:proofErr w:type="spellStart"/>
      <w:r w:rsidRPr="00D32B05">
        <w:rPr>
          <w:rFonts w:cstheme="minorHAnsi"/>
          <w:b/>
          <w:iCs/>
          <w:color w:val="000000"/>
          <w:sz w:val="24"/>
          <w:szCs w:val="24"/>
        </w:rPr>
        <w:t>SaMBAs</w:t>
      </w:r>
      <w:proofErr w:type="spellEnd"/>
    </w:p>
    <w:tbl>
      <w:tblPr>
        <w:tblStyle w:val="TableGrid"/>
        <w:tblW w:w="0" w:type="auto"/>
        <w:jc w:val="center"/>
        <w:tblLayout w:type="fixed"/>
        <w:tblLook w:val="04A0" w:firstRow="1" w:lastRow="0" w:firstColumn="1" w:lastColumn="0" w:noHBand="0" w:noVBand="1"/>
      </w:tblPr>
      <w:tblGrid>
        <w:gridCol w:w="1985"/>
        <w:gridCol w:w="7031"/>
      </w:tblGrid>
      <w:tr w:rsidR="00CE5B54" w:rsidRPr="0005278D" w:rsidTr="006412DA">
        <w:trPr>
          <w:jc w:val="center"/>
        </w:trPr>
        <w:tc>
          <w:tcPr>
            <w:tcW w:w="1985" w:type="dxa"/>
            <w:tcBorders>
              <w:top w:val="single" w:sz="12" w:space="0" w:color="auto"/>
              <w:left w:val="single" w:sz="12" w:space="0" w:color="auto"/>
              <w:bottom w:val="single" w:sz="4" w:space="0" w:color="auto"/>
              <w:right w:val="single" w:sz="12" w:space="0" w:color="auto"/>
            </w:tcBorders>
            <w:shd w:val="clear" w:color="auto" w:fill="E36C0A" w:themeFill="accent6" w:themeFillShade="BF"/>
            <w:vAlign w:val="center"/>
          </w:tcPr>
          <w:p w:rsidR="00CE5B54" w:rsidRPr="0005278D" w:rsidRDefault="00CE5B54" w:rsidP="006412DA">
            <w:pPr>
              <w:autoSpaceDE w:val="0"/>
              <w:autoSpaceDN w:val="0"/>
              <w:adjustRightInd w:val="0"/>
              <w:jc w:val="center"/>
              <w:rPr>
                <w:rFonts w:cstheme="minorHAnsi"/>
                <w:iCs/>
                <w:color w:val="000000"/>
                <w:sz w:val="24"/>
                <w:szCs w:val="24"/>
              </w:rPr>
            </w:pPr>
            <w:r w:rsidRPr="0005278D">
              <w:rPr>
                <w:rFonts w:cstheme="minorHAnsi"/>
                <w:b/>
                <w:iCs/>
                <w:color w:val="000000"/>
                <w:sz w:val="24"/>
                <w:szCs w:val="24"/>
              </w:rPr>
              <w:t>Consultation</w:t>
            </w:r>
            <w:r w:rsidRPr="0005278D">
              <w:rPr>
                <w:rFonts w:cstheme="minorHAnsi"/>
                <w:iCs/>
                <w:color w:val="000000"/>
                <w:sz w:val="24"/>
                <w:szCs w:val="24"/>
              </w:rPr>
              <w:t xml:space="preserve"> </w:t>
            </w:r>
            <w:r w:rsidRPr="0005278D">
              <w:rPr>
                <w:rFonts w:cstheme="minorHAnsi"/>
                <w:b/>
                <w:iCs/>
                <w:color w:val="000000"/>
                <w:sz w:val="24"/>
                <w:szCs w:val="24"/>
              </w:rPr>
              <w:t>stage</w:t>
            </w:r>
          </w:p>
        </w:tc>
        <w:tc>
          <w:tcPr>
            <w:tcW w:w="7031" w:type="dxa"/>
            <w:tcBorders>
              <w:top w:val="single" w:sz="12" w:space="0" w:color="auto"/>
              <w:left w:val="single" w:sz="12" w:space="0" w:color="auto"/>
              <w:right w:val="single" w:sz="12" w:space="0" w:color="auto"/>
            </w:tcBorders>
            <w:shd w:val="clear" w:color="auto" w:fill="FDE9D9" w:themeFill="accent6" w:themeFillTint="33"/>
            <w:vAlign w:val="center"/>
          </w:tcPr>
          <w:p w:rsidR="00CE5B54" w:rsidRDefault="00CE5B54" w:rsidP="006412DA">
            <w:pPr>
              <w:autoSpaceDE w:val="0"/>
              <w:autoSpaceDN w:val="0"/>
              <w:adjustRightInd w:val="0"/>
              <w:spacing w:before="120" w:line="276" w:lineRule="auto"/>
              <w:rPr>
                <w:rFonts w:cstheme="minorHAnsi"/>
                <w:iCs/>
                <w:color w:val="000000"/>
                <w:sz w:val="24"/>
                <w:szCs w:val="24"/>
              </w:rPr>
            </w:pPr>
            <w:r w:rsidRPr="0005278D">
              <w:rPr>
                <w:rFonts w:cstheme="minorHAnsi"/>
                <w:iCs/>
                <w:color w:val="000000"/>
                <w:sz w:val="24"/>
                <w:szCs w:val="24"/>
              </w:rPr>
              <w:t xml:space="preserve">The </w:t>
            </w:r>
            <w:proofErr w:type="spellStart"/>
            <w:r w:rsidRPr="0005278D">
              <w:rPr>
                <w:rFonts w:cstheme="minorHAnsi"/>
                <w:iCs/>
                <w:color w:val="000000"/>
                <w:sz w:val="24"/>
                <w:szCs w:val="24"/>
              </w:rPr>
              <w:t>SaMBA</w:t>
            </w:r>
            <w:proofErr w:type="spellEnd"/>
            <w:r w:rsidRPr="0005278D">
              <w:rPr>
                <w:rFonts w:cstheme="minorHAnsi"/>
                <w:iCs/>
                <w:color w:val="000000"/>
                <w:sz w:val="24"/>
                <w:szCs w:val="24"/>
              </w:rPr>
              <w:t xml:space="preserve"> should include </w:t>
            </w:r>
            <w:r w:rsidRPr="00E74957">
              <w:rPr>
                <w:rFonts w:cstheme="minorHAnsi"/>
                <w:b/>
                <w:iCs/>
                <w:color w:val="000000"/>
                <w:sz w:val="24"/>
                <w:szCs w:val="24"/>
              </w:rPr>
              <w:t xml:space="preserve">provisional </w:t>
            </w:r>
            <w:r w:rsidRPr="002D333A">
              <w:rPr>
                <w:rFonts w:cstheme="minorHAnsi"/>
                <w:b/>
                <w:iCs/>
                <w:color w:val="000000"/>
                <w:sz w:val="24"/>
                <w:szCs w:val="24"/>
              </w:rPr>
              <w:t>indication</w:t>
            </w:r>
            <w:r>
              <w:rPr>
                <w:rFonts w:cstheme="minorHAnsi"/>
                <w:b/>
                <w:iCs/>
                <w:color w:val="000000"/>
                <w:sz w:val="24"/>
                <w:szCs w:val="24"/>
              </w:rPr>
              <w:t xml:space="preserve"> of</w:t>
            </w:r>
            <w:r w:rsidRPr="0005278D">
              <w:rPr>
                <w:rFonts w:cstheme="minorHAnsi"/>
                <w:iCs/>
                <w:color w:val="000000"/>
                <w:sz w:val="24"/>
                <w:szCs w:val="24"/>
              </w:rPr>
              <w:t>:</w:t>
            </w:r>
          </w:p>
          <w:p w:rsidR="00CE5B54" w:rsidRPr="002D333A" w:rsidRDefault="00CE5B54" w:rsidP="006412DA">
            <w:pPr>
              <w:autoSpaceDE w:val="0"/>
              <w:autoSpaceDN w:val="0"/>
              <w:adjustRightInd w:val="0"/>
              <w:spacing w:before="120" w:line="276" w:lineRule="auto"/>
              <w:rPr>
                <w:rFonts w:cstheme="minorHAnsi"/>
                <w:iCs/>
                <w:color w:val="000000"/>
                <w:sz w:val="6"/>
                <w:szCs w:val="6"/>
              </w:rPr>
            </w:pPr>
          </w:p>
          <w:p w:rsidR="00CE5B54" w:rsidRPr="00C1711B" w:rsidRDefault="00CE5B54" w:rsidP="00CE5B54">
            <w:pPr>
              <w:pStyle w:val="ListParagraph"/>
              <w:numPr>
                <w:ilvl w:val="0"/>
                <w:numId w:val="28"/>
              </w:numPr>
              <w:tabs>
                <w:tab w:val="left" w:pos="1021"/>
              </w:tabs>
              <w:autoSpaceDE w:val="0"/>
              <w:autoSpaceDN w:val="0"/>
              <w:adjustRightInd w:val="0"/>
              <w:spacing w:after="120" w:line="276" w:lineRule="auto"/>
              <w:ind w:left="714" w:hanging="357"/>
              <w:rPr>
                <w:rFonts w:cstheme="minorHAnsi"/>
                <w:iCs/>
                <w:color w:val="000000"/>
                <w:sz w:val="24"/>
                <w:szCs w:val="24"/>
              </w:rPr>
            </w:pPr>
            <w:r w:rsidRPr="00C1711B">
              <w:rPr>
                <w:rFonts w:cstheme="minorHAnsi"/>
                <w:iCs/>
                <w:color w:val="000000"/>
                <w:sz w:val="24"/>
                <w:szCs w:val="24"/>
                <w:u w:val="single"/>
              </w:rPr>
              <w:t>how much</w:t>
            </w:r>
            <w:r w:rsidRPr="00C1711B">
              <w:rPr>
                <w:rFonts w:cstheme="minorHAnsi"/>
                <w:iCs/>
                <w:color w:val="000000"/>
                <w:sz w:val="24"/>
                <w:szCs w:val="24"/>
              </w:rPr>
              <w:t xml:space="preserve"> of the policy objective is sacrificed by applying a full exemption; and</w:t>
            </w:r>
          </w:p>
          <w:p w:rsidR="00CE5B54" w:rsidRPr="0005278D" w:rsidRDefault="00CE5B54" w:rsidP="00CE5B54">
            <w:pPr>
              <w:pStyle w:val="ListParagraph"/>
              <w:numPr>
                <w:ilvl w:val="0"/>
                <w:numId w:val="28"/>
              </w:numPr>
              <w:tabs>
                <w:tab w:val="left" w:pos="1021"/>
              </w:tabs>
              <w:autoSpaceDE w:val="0"/>
              <w:autoSpaceDN w:val="0"/>
              <w:adjustRightInd w:val="0"/>
              <w:spacing w:after="120" w:line="276" w:lineRule="auto"/>
              <w:ind w:left="714" w:hanging="357"/>
              <w:rPr>
                <w:rFonts w:cstheme="minorHAnsi"/>
                <w:iCs/>
                <w:color w:val="000000"/>
                <w:sz w:val="24"/>
                <w:szCs w:val="24"/>
              </w:rPr>
            </w:pPr>
            <w:proofErr w:type="gramStart"/>
            <w:r w:rsidRPr="001161D4">
              <w:rPr>
                <w:rFonts w:cstheme="minorHAnsi"/>
                <w:iCs/>
                <w:color w:val="000000"/>
                <w:sz w:val="24"/>
                <w:szCs w:val="24"/>
                <w:u w:val="single"/>
              </w:rPr>
              <w:t>how</w:t>
            </w:r>
            <w:proofErr w:type="gramEnd"/>
            <w:r w:rsidRPr="001161D4">
              <w:rPr>
                <w:rFonts w:cstheme="minorHAnsi"/>
                <w:iCs/>
                <w:color w:val="000000"/>
                <w:sz w:val="24"/>
                <w:szCs w:val="24"/>
                <w:u w:val="single"/>
              </w:rPr>
              <w:t xml:space="preserve"> much</w:t>
            </w:r>
            <w:r w:rsidRPr="0005278D">
              <w:rPr>
                <w:rFonts w:cstheme="minorHAnsi"/>
                <w:iCs/>
                <w:color w:val="000000"/>
                <w:sz w:val="24"/>
                <w:szCs w:val="24"/>
              </w:rPr>
              <w:t xml:space="preserve"> of the overall cost to business is expected to fall on small businesses</w:t>
            </w:r>
            <w:r>
              <w:rPr>
                <w:rFonts w:cstheme="minorHAnsi"/>
                <w:iCs/>
                <w:color w:val="000000"/>
                <w:sz w:val="24"/>
                <w:szCs w:val="24"/>
              </w:rPr>
              <w:t xml:space="preserve"> (with no exemption)</w:t>
            </w:r>
            <w:r w:rsidRPr="0005278D">
              <w:rPr>
                <w:rFonts w:cstheme="minorHAnsi"/>
                <w:iCs/>
                <w:color w:val="000000"/>
                <w:sz w:val="24"/>
                <w:szCs w:val="24"/>
              </w:rPr>
              <w:t>.</w:t>
            </w:r>
          </w:p>
          <w:p w:rsidR="00CE5B54" w:rsidRDefault="00CE5B54" w:rsidP="006412DA">
            <w:pPr>
              <w:autoSpaceDE w:val="0"/>
              <w:autoSpaceDN w:val="0"/>
              <w:adjustRightInd w:val="0"/>
              <w:spacing w:after="120" w:line="276" w:lineRule="auto"/>
              <w:rPr>
                <w:rFonts w:cstheme="minorHAnsi"/>
                <w:iCs/>
                <w:color w:val="000000"/>
                <w:sz w:val="24"/>
                <w:szCs w:val="24"/>
              </w:rPr>
            </w:pPr>
            <w:r>
              <w:rPr>
                <w:rFonts w:cstheme="minorHAnsi"/>
                <w:iCs/>
                <w:color w:val="000000"/>
                <w:sz w:val="24"/>
                <w:szCs w:val="24"/>
              </w:rPr>
              <w:t>Departments should identify how many small businesses are expected to be affected by the proposal and how much of a role small businesses play in the regulated sector.</w:t>
            </w:r>
          </w:p>
          <w:p w:rsidR="00CE5B54" w:rsidRPr="0005278D" w:rsidRDefault="00CE5B54" w:rsidP="006412DA">
            <w:pPr>
              <w:autoSpaceDE w:val="0"/>
              <w:autoSpaceDN w:val="0"/>
              <w:adjustRightInd w:val="0"/>
              <w:spacing w:after="120" w:line="276" w:lineRule="auto"/>
              <w:rPr>
                <w:rFonts w:cstheme="minorHAnsi"/>
                <w:iCs/>
                <w:color w:val="000000"/>
                <w:sz w:val="24"/>
                <w:szCs w:val="24"/>
              </w:rPr>
            </w:pPr>
            <w:r w:rsidRPr="0005278D">
              <w:rPr>
                <w:rFonts w:cstheme="minorHAnsi"/>
                <w:iCs/>
                <w:color w:val="000000"/>
                <w:sz w:val="24"/>
                <w:szCs w:val="24"/>
              </w:rPr>
              <w:t>Since data availability might be more limited at this stage, departments m</w:t>
            </w:r>
            <w:r>
              <w:rPr>
                <w:rFonts w:cstheme="minorHAnsi"/>
                <w:iCs/>
                <w:color w:val="000000"/>
                <w:sz w:val="24"/>
                <w:szCs w:val="24"/>
              </w:rPr>
              <w:t>ay</w:t>
            </w:r>
            <w:r w:rsidRPr="0005278D">
              <w:rPr>
                <w:rFonts w:cstheme="minorHAnsi"/>
                <w:iCs/>
                <w:color w:val="000000"/>
                <w:sz w:val="24"/>
                <w:szCs w:val="24"/>
              </w:rPr>
              <w:t xml:space="preserve"> not be able to provide numerical estimates. </w:t>
            </w:r>
            <w:r w:rsidRPr="002D333A">
              <w:rPr>
                <w:rFonts w:cstheme="minorHAnsi"/>
                <w:b/>
                <w:iCs/>
                <w:color w:val="000000"/>
                <w:sz w:val="24"/>
                <w:szCs w:val="24"/>
              </w:rPr>
              <w:t xml:space="preserve">If data </w:t>
            </w:r>
            <w:r>
              <w:rPr>
                <w:rFonts w:cstheme="minorHAnsi"/>
                <w:b/>
                <w:iCs/>
                <w:color w:val="000000"/>
                <w:sz w:val="24"/>
                <w:szCs w:val="24"/>
              </w:rPr>
              <w:t>are</w:t>
            </w:r>
            <w:r w:rsidRPr="002D333A">
              <w:rPr>
                <w:rFonts w:cstheme="minorHAnsi"/>
                <w:b/>
                <w:iCs/>
                <w:color w:val="000000"/>
                <w:sz w:val="24"/>
                <w:szCs w:val="24"/>
              </w:rPr>
              <w:t xml:space="preserve"> limited at this stage</w:t>
            </w:r>
            <w:r>
              <w:rPr>
                <w:rFonts w:cstheme="minorHAnsi"/>
                <w:b/>
                <w:iCs/>
                <w:color w:val="000000"/>
                <w:sz w:val="24"/>
                <w:szCs w:val="24"/>
              </w:rPr>
              <w:t xml:space="preserve">, the </w:t>
            </w:r>
            <w:proofErr w:type="spellStart"/>
            <w:r>
              <w:rPr>
                <w:rFonts w:cstheme="minorHAnsi"/>
                <w:b/>
                <w:iCs/>
                <w:color w:val="000000"/>
                <w:sz w:val="24"/>
                <w:szCs w:val="24"/>
              </w:rPr>
              <w:t>SaMBA</w:t>
            </w:r>
            <w:proofErr w:type="spellEnd"/>
            <w:r>
              <w:rPr>
                <w:rFonts w:cstheme="minorHAnsi"/>
                <w:b/>
                <w:iCs/>
                <w:color w:val="000000"/>
                <w:sz w:val="24"/>
                <w:szCs w:val="24"/>
              </w:rPr>
              <w:t xml:space="preserve"> should include </w:t>
            </w:r>
            <w:r w:rsidRPr="002D333A">
              <w:rPr>
                <w:rFonts w:cstheme="minorHAnsi"/>
                <w:b/>
                <w:iCs/>
                <w:color w:val="000000"/>
                <w:sz w:val="24"/>
                <w:szCs w:val="24"/>
              </w:rPr>
              <w:t xml:space="preserve">assumptions and hypotheses </w:t>
            </w:r>
            <w:r>
              <w:rPr>
                <w:rFonts w:cstheme="minorHAnsi"/>
                <w:b/>
                <w:iCs/>
                <w:color w:val="000000"/>
                <w:sz w:val="24"/>
                <w:szCs w:val="24"/>
              </w:rPr>
              <w:t>that will</w:t>
            </w:r>
            <w:r w:rsidRPr="002D333A">
              <w:rPr>
                <w:rFonts w:cstheme="minorHAnsi"/>
                <w:b/>
                <w:iCs/>
                <w:color w:val="000000"/>
                <w:sz w:val="24"/>
                <w:szCs w:val="24"/>
              </w:rPr>
              <w:t xml:space="preserve"> be tested during consultation</w:t>
            </w:r>
            <w:r>
              <w:rPr>
                <w:rFonts w:cstheme="minorHAnsi"/>
                <w:b/>
                <w:iCs/>
                <w:color w:val="000000"/>
                <w:sz w:val="24"/>
                <w:szCs w:val="24"/>
              </w:rPr>
              <w:t>, or at least set out how information will be obtained during consultation.</w:t>
            </w:r>
          </w:p>
        </w:tc>
      </w:tr>
      <w:tr w:rsidR="00CE5B54" w:rsidRPr="0005278D" w:rsidTr="006412DA">
        <w:trPr>
          <w:jc w:val="center"/>
        </w:trPr>
        <w:tc>
          <w:tcPr>
            <w:tcW w:w="1985" w:type="dxa"/>
            <w:tcBorders>
              <w:top w:val="single" w:sz="4" w:space="0" w:color="auto"/>
              <w:left w:val="single" w:sz="12" w:space="0" w:color="auto"/>
              <w:bottom w:val="single" w:sz="12" w:space="0" w:color="auto"/>
              <w:right w:val="single" w:sz="12" w:space="0" w:color="auto"/>
            </w:tcBorders>
            <w:shd w:val="clear" w:color="auto" w:fill="E36C0A" w:themeFill="accent6" w:themeFillShade="BF"/>
            <w:vAlign w:val="center"/>
          </w:tcPr>
          <w:p w:rsidR="00CE5B54" w:rsidRPr="0005278D" w:rsidRDefault="00CE5B54" w:rsidP="006412DA">
            <w:pPr>
              <w:autoSpaceDE w:val="0"/>
              <w:autoSpaceDN w:val="0"/>
              <w:adjustRightInd w:val="0"/>
              <w:jc w:val="center"/>
              <w:rPr>
                <w:rFonts w:cstheme="minorHAnsi"/>
                <w:iCs/>
                <w:color w:val="000000"/>
                <w:sz w:val="24"/>
                <w:szCs w:val="24"/>
              </w:rPr>
            </w:pPr>
            <w:r w:rsidRPr="0005278D">
              <w:rPr>
                <w:rFonts w:cstheme="minorHAnsi"/>
                <w:b/>
                <w:iCs/>
                <w:color w:val="000000"/>
                <w:sz w:val="24"/>
                <w:szCs w:val="24"/>
              </w:rPr>
              <w:t>Final</w:t>
            </w:r>
            <w:r w:rsidRPr="0005278D">
              <w:rPr>
                <w:rFonts w:cstheme="minorHAnsi"/>
                <w:iCs/>
                <w:color w:val="000000"/>
                <w:sz w:val="24"/>
                <w:szCs w:val="24"/>
              </w:rPr>
              <w:t xml:space="preserve"> </w:t>
            </w:r>
            <w:r w:rsidRPr="0005278D">
              <w:rPr>
                <w:rFonts w:cstheme="minorHAnsi"/>
                <w:b/>
                <w:iCs/>
                <w:color w:val="000000"/>
                <w:sz w:val="24"/>
                <w:szCs w:val="24"/>
              </w:rPr>
              <w:t>stage</w:t>
            </w:r>
          </w:p>
        </w:tc>
        <w:tc>
          <w:tcPr>
            <w:tcW w:w="7031" w:type="dxa"/>
            <w:tcBorders>
              <w:left w:val="single" w:sz="12" w:space="0" w:color="auto"/>
              <w:bottom w:val="single" w:sz="12" w:space="0" w:color="auto"/>
              <w:right w:val="single" w:sz="12" w:space="0" w:color="auto"/>
            </w:tcBorders>
            <w:shd w:val="clear" w:color="auto" w:fill="FDE9D9" w:themeFill="accent6" w:themeFillTint="33"/>
            <w:vAlign w:val="center"/>
          </w:tcPr>
          <w:p w:rsidR="00CE5B54" w:rsidRDefault="00CE5B54" w:rsidP="006412DA">
            <w:pPr>
              <w:autoSpaceDE w:val="0"/>
              <w:autoSpaceDN w:val="0"/>
              <w:adjustRightInd w:val="0"/>
              <w:spacing w:before="120" w:line="276" w:lineRule="auto"/>
              <w:rPr>
                <w:rFonts w:cstheme="minorHAnsi"/>
                <w:iCs/>
                <w:color w:val="000000"/>
                <w:sz w:val="24"/>
                <w:szCs w:val="24"/>
              </w:rPr>
            </w:pPr>
            <w:r w:rsidRPr="0005278D">
              <w:rPr>
                <w:rFonts w:cstheme="minorHAnsi"/>
                <w:iCs/>
                <w:color w:val="000000"/>
                <w:sz w:val="24"/>
                <w:szCs w:val="24"/>
              </w:rPr>
              <w:t xml:space="preserve">The </w:t>
            </w:r>
            <w:proofErr w:type="spellStart"/>
            <w:r w:rsidRPr="0005278D">
              <w:rPr>
                <w:rFonts w:cstheme="minorHAnsi"/>
                <w:iCs/>
                <w:color w:val="000000"/>
                <w:sz w:val="24"/>
                <w:szCs w:val="24"/>
              </w:rPr>
              <w:t>SaMBA</w:t>
            </w:r>
            <w:proofErr w:type="spellEnd"/>
            <w:r w:rsidRPr="0005278D">
              <w:rPr>
                <w:rFonts w:cstheme="minorHAnsi"/>
                <w:iCs/>
                <w:color w:val="000000"/>
                <w:sz w:val="24"/>
                <w:szCs w:val="24"/>
              </w:rPr>
              <w:t xml:space="preserve"> should include </w:t>
            </w:r>
            <w:r>
              <w:rPr>
                <w:rFonts w:cstheme="minorHAnsi"/>
                <w:b/>
                <w:iCs/>
                <w:color w:val="000000"/>
                <w:sz w:val="24"/>
                <w:szCs w:val="24"/>
              </w:rPr>
              <w:t>broader</w:t>
            </w:r>
            <w:r w:rsidRPr="00E74957">
              <w:rPr>
                <w:rFonts w:cstheme="minorHAnsi"/>
                <w:b/>
                <w:iCs/>
                <w:color w:val="000000"/>
                <w:sz w:val="24"/>
                <w:szCs w:val="24"/>
              </w:rPr>
              <w:t xml:space="preserve"> </w:t>
            </w:r>
            <w:r w:rsidRPr="002D333A">
              <w:rPr>
                <w:rFonts w:cstheme="minorHAnsi"/>
                <w:b/>
                <w:iCs/>
                <w:color w:val="000000"/>
                <w:sz w:val="24"/>
                <w:szCs w:val="24"/>
              </w:rPr>
              <w:t xml:space="preserve">analysis </w:t>
            </w:r>
            <w:r>
              <w:rPr>
                <w:rFonts w:cstheme="minorHAnsi"/>
                <w:b/>
                <w:iCs/>
                <w:color w:val="000000"/>
                <w:sz w:val="24"/>
                <w:szCs w:val="24"/>
              </w:rPr>
              <w:t>describing the likely</w:t>
            </w:r>
            <w:r w:rsidRPr="0005278D">
              <w:rPr>
                <w:rFonts w:cstheme="minorHAnsi"/>
                <w:iCs/>
                <w:color w:val="000000"/>
                <w:sz w:val="24"/>
                <w:szCs w:val="24"/>
              </w:rPr>
              <w:t>:</w:t>
            </w:r>
          </w:p>
          <w:p w:rsidR="00CE5B54" w:rsidRPr="002D333A" w:rsidRDefault="00CE5B54" w:rsidP="006412DA">
            <w:pPr>
              <w:autoSpaceDE w:val="0"/>
              <w:autoSpaceDN w:val="0"/>
              <w:adjustRightInd w:val="0"/>
              <w:spacing w:before="120" w:line="276" w:lineRule="auto"/>
              <w:rPr>
                <w:rFonts w:cstheme="minorHAnsi"/>
                <w:iCs/>
                <w:color w:val="000000"/>
                <w:sz w:val="6"/>
                <w:szCs w:val="6"/>
              </w:rPr>
            </w:pPr>
          </w:p>
          <w:p w:rsidR="00CE5B54" w:rsidRDefault="00CE5B54" w:rsidP="00CE5B54">
            <w:pPr>
              <w:pStyle w:val="ListParagraph"/>
              <w:numPr>
                <w:ilvl w:val="0"/>
                <w:numId w:val="29"/>
              </w:numPr>
              <w:tabs>
                <w:tab w:val="left" w:pos="1021"/>
              </w:tabs>
              <w:autoSpaceDE w:val="0"/>
              <w:autoSpaceDN w:val="0"/>
              <w:adjustRightInd w:val="0"/>
              <w:spacing w:line="276" w:lineRule="auto"/>
              <w:rPr>
                <w:rFonts w:cstheme="minorHAnsi"/>
                <w:iCs/>
                <w:color w:val="000000"/>
                <w:sz w:val="24"/>
                <w:szCs w:val="24"/>
              </w:rPr>
            </w:pPr>
            <w:r>
              <w:rPr>
                <w:rFonts w:cstheme="minorHAnsi"/>
                <w:iCs/>
                <w:color w:val="000000"/>
                <w:sz w:val="24"/>
                <w:szCs w:val="24"/>
                <w:u w:val="single"/>
              </w:rPr>
              <w:t>proportion</w:t>
            </w:r>
            <w:r w:rsidRPr="0005278D">
              <w:rPr>
                <w:rFonts w:cstheme="minorHAnsi"/>
                <w:iCs/>
                <w:color w:val="000000"/>
                <w:sz w:val="24"/>
                <w:szCs w:val="24"/>
              </w:rPr>
              <w:t xml:space="preserve"> of the policy objective sacrificed by applying a full exemption; and</w:t>
            </w:r>
          </w:p>
          <w:p w:rsidR="00CE5B54" w:rsidRPr="0005278D" w:rsidRDefault="00CE5B54" w:rsidP="00CE5B54">
            <w:pPr>
              <w:pStyle w:val="ListParagraph"/>
              <w:numPr>
                <w:ilvl w:val="0"/>
                <w:numId w:val="29"/>
              </w:numPr>
              <w:tabs>
                <w:tab w:val="left" w:pos="1021"/>
              </w:tabs>
              <w:autoSpaceDE w:val="0"/>
              <w:autoSpaceDN w:val="0"/>
              <w:adjustRightInd w:val="0"/>
              <w:spacing w:after="120" w:line="276" w:lineRule="auto"/>
              <w:rPr>
                <w:rFonts w:cstheme="minorHAnsi"/>
                <w:iCs/>
                <w:color w:val="000000"/>
                <w:sz w:val="24"/>
                <w:szCs w:val="24"/>
              </w:rPr>
            </w:pPr>
            <w:proofErr w:type="gramStart"/>
            <w:r>
              <w:rPr>
                <w:rFonts w:cstheme="minorHAnsi"/>
                <w:iCs/>
                <w:color w:val="000000"/>
                <w:sz w:val="24"/>
                <w:szCs w:val="24"/>
                <w:u w:val="single"/>
              </w:rPr>
              <w:t>proportion</w:t>
            </w:r>
            <w:proofErr w:type="gramEnd"/>
            <w:r w:rsidRPr="0005278D">
              <w:rPr>
                <w:rFonts w:cstheme="minorHAnsi"/>
                <w:iCs/>
                <w:color w:val="000000"/>
                <w:sz w:val="24"/>
                <w:szCs w:val="24"/>
              </w:rPr>
              <w:t xml:space="preserve"> of the overall cost to business expected to fall on small businesses.</w:t>
            </w:r>
          </w:p>
          <w:p w:rsidR="00CE5B54" w:rsidRPr="002D333A" w:rsidRDefault="00CE5B54" w:rsidP="006412DA">
            <w:pPr>
              <w:tabs>
                <w:tab w:val="left" w:pos="1021"/>
              </w:tabs>
              <w:autoSpaceDE w:val="0"/>
              <w:autoSpaceDN w:val="0"/>
              <w:adjustRightInd w:val="0"/>
              <w:ind w:left="360"/>
              <w:rPr>
                <w:rFonts w:cstheme="minorHAnsi"/>
                <w:iCs/>
                <w:color w:val="000000"/>
                <w:sz w:val="8"/>
                <w:szCs w:val="8"/>
              </w:rPr>
            </w:pPr>
          </w:p>
          <w:p w:rsidR="00CE5B54" w:rsidRDefault="00CE5B54" w:rsidP="006412DA">
            <w:pPr>
              <w:autoSpaceDE w:val="0"/>
              <w:autoSpaceDN w:val="0"/>
              <w:adjustRightInd w:val="0"/>
              <w:spacing w:after="120" w:line="276" w:lineRule="auto"/>
              <w:rPr>
                <w:rFonts w:cstheme="minorHAnsi"/>
                <w:iCs/>
                <w:color w:val="000000"/>
                <w:sz w:val="24"/>
                <w:szCs w:val="24"/>
              </w:rPr>
            </w:pPr>
            <w:r>
              <w:rPr>
                <w:rFonts w:cstheme="minorHAnsi"/>
                <w:iCs/>
                <w:color w:val="000000"/>
                <w:sz w:val="24"/>
                <w:szCs w:val="24"/>
              </w:rPr>
              <w:lastRenderedPageBreak/>
              <w:t>Departments should identify approximately how many small businesses are expected to be affected by the proposal and how much of a role small businesses play in the regulated sector.</w:t>
            </w:r>
          </w:p>
          <w:p w:rsidR="00CE5B54" w:rsidRPr="0005278D" w:rsidRDefault="00CE5B54" w:rsidP="006412DA">
            <w:pPr>
              <w:autoSpaceDE w:val="0"/>
              <w:autoSpaceDN w:val="0"/>
              <w:adjustRightInd w:val="0"/>
              <w:spacing w:after="120" w:line="276" w:lineRule="auto"/>
              <w:rPr>
                <w:rFonts w:cstheme="minorHAnsi"/>
                <w:iCs/>
                <w:color w:val="000000"/>
                <w:sz w:val="24"/>
                <w:szCs w:val="24"/>
              </w:rPr>
            </w:pPr>
            <w:r w:rsidRPr="001D0769">
              <w:rPr>
                <w:rFonts w:cstheme="minorHAnsi"/>
                <w:b/>
                <w:iCs/>
                <w:color w:val="000000" w:themeColor="text1"/>
                <w:sz w:val="24"/>
                <w:szCs w:val="24"/>
              </w:rPr>
              <w:t xml:space="preserve">The </w:t>
            </w:r>
            <w:proofErr w:type="spellStart"/>
            <w:r w:rsidRPr="001D0769">
              <w:rPr>
                <w:rFonts w:cstheme="minorHAnsi"/>
                <w:b/>
                <w:iCs/>
                <w:color w:val="000000" w:themeColor="text1"/>
                <w:sz w:val="24"/>
                <w:szCs w:val="24"/>
              </w:rPr>
              <w:t>SaMBA</w:t>
            </w:r>
            <w:proofErr w:type="spellEnd"/>
            <w:r w:rsidRPr="001D0769">
              <w:rPr>
                <w:rFonts w:cstheme="minorHAnsi"/>
                <w:b/>
                <w:iCs/>
                <w:color w:val="000000" w:themeColor="text1"/>
                <w:sz w:val="24"/>
                <w:szCs w:val="24"/>
              </w:rPr>
              <w:t xml:space="preserve"> should include quantitative estimates, if feasible</w:t>
            </w:r>
            <w:r w:rsidRPr="0000487B">
              <w:rPr>
                <w:rFonts w:cstheme="minorHAnsi"/>
                <w:b/>
                <w:iCs/>
                <w:sz w:val="24"/>
                <w:szCs w:val="24"/>
              </w:rPr>
              <w:t>. I</w:t>
            </w:r>
            <w:r w:rsidRPr="002D333A">
              <w:rPr>
                <w:rFonts w:cstheme="minorHAnsi"/>
                <w:b/>
                <w:iCs/>
                <w:color w:val="000000"/>
                <w:sz w:val="24"/>
                <w:szCs w:val="24"/>
              </w:rPr>
              <w:t xml:space="preserve">f no estimates are provided, departments </w:t>
            </w:r>
            <w:r>
              <w:rPr>
                <w:rFonts w:cstheme="minorHAnsi"/>
                <w:b/>
                <w:iCs/>
                <w:color w:val="000000"/>
                <w:sz w:val="24"/>
                <w:szCs w:val="24"/>
              </w:rPr>
              <w:t>will need</w:t>
            </w:r>
            <w:r w:rsidRPr="002D333A">
              <w:rPr>
                <w:rFonts w:cstheme="minorHAnsi"/>
                <w:b/>
                <w:iCs/>
                <w:color w:val="000000"/>
                <w:sz w:val="24"/>
                <w:szCs w:val="24"/>
              </w:rPr>
              <w:t xml:space="preserve"> to explain how they attempted to obtain the necessary information</w:t>
            </w:r>
            <w:r w:rsidRPr="0005278D">
              <w:rPr>
                <w:rFonts w:cstheme="minorHAnsi"/>
                <w:iCs/>
                <w:color w:val="000000"/>
                <w:sz w:val="24"/>
                <w:szCs w:val="24"/>
              </w:rPr>
              <w:t>, especially during consultation, and why these attempts had been unsuccessful</w:t>
            </w:r>
            <w:r>
              <w:rPr>
                <w:rFonts w:cstheme="minorHAnsi"/>
                <w:iCs/>
                <w:color w:val="000000"/>
                <w:sz w:val="24"/>
                <w:szCs w:val="24"/>
              </w:rPr>
              <w:t>.</w:t>
            </w:r>
          </w:p>
        </w:tc>
      </w:tr>
    </w:tbl>
    <w:p w:rsidR="00CE5B54" w:rsidRDefault="00CE5B54" w:rsidP="00CE5B54">
      <w:pPr>
        <w:rPr>
          <w:rFonts w:cstheme="minorHAnsi"/>
          <w:sz w:val="24"/>
          <w:szCs w:val="24"/>
        </w:rPr>
      </w:pPr>
    </w:p>
    <w:p w:rsidR="00CE5B54" w:rsidRPr="001161D4" w:rsidRDefault="00CE5B54" w:rsidP="00CE5B54">
      <w:pPr>
        <w:spacing w:before="360" w:after="360"/>
        <w:rPr>
          <w:rFonts w:cstheme="minorHAnsi"/>
          <w:b/>
          <w:i/>
          <w:sz w:val="28"/>
          <w:szCs w:val="28"/>
        </w:rPr>
      </w:pPr>
      <w:r w:rsidRPr="001161D4">
        <w:rPr>
          <w:rFonts w:cstheme="minorHAnsi"/>
          <w:b/>
          <w:i/>
          <w:sz w:val="28"/>
          <w:szCs w:val="28"/>
        </w:rPr>
        <w:t xml:space="preserve">Examples of good </w:t>
      </w:r>
      <w:proofErr w:type="spellStart"/>
      <w:r w:rsidRPr="001161D4">
        <w:rPr>
          <w:rFonts w:cstheme="minorHAnsi"/>
          <w:b/>
          <w:i/>
          <w:sz w:val="28"/>
          <w:szCs w:val="28"/>
        </w:rPr>
        <w:t>SaMBAs</w:t>
      </w:r>
      <w:proofErr w:type="spellEnd"/>
    </w:p>
    <w:tbl>
      <w:tblPr>
        <w:tblStyle w:val="TableGrid"/>
        <w:tblW w:w="0" w:type="auto"/>
        <w:tbl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insideH w:val="none" w:sz="0" w:space="0" w:color="auto"/>
          <w:insideV w:val="none" w:sz="0" w:space="0" w:color="auto"/>
        </w:tblBorders>
        <w:tblLook w:val="04A0" w:firstRow="1" w:lastRow="0" w:firstColumn="1" w:lastColumn="0" w:noHBand="0" w:noVBand="1"/>
      </w:tblPr>
      <w:tblGrid>
        <w:gridCol w:w="9242"/>
      </w:tblGrid>
      <w:tr w:rsidR="00CE5B54" w:rsidRPr="0005278D" w:rsidTr="006412DA">
        <w:tc>
          <w:tcPr>
            <w:tcW w:w="9242" w:type="dxa"/>
            <w:shd w:val="clear" w:color="auto" w:fill="FDE9D9" w:themeFill="accent6" w:themeFillTint="33"/>
          </w:tcPr>
          <w:p w:rsidR="00CE5B54" w:rsidRPr="00070D0F" w:rsidRDefault="00CE5B54" w:rsidP="006412DA">
            <w:pPr>
              <w:spacing w:after="200" w:line="276" w:lineRule="auto"/>
              <w:rPr>
                <w:rFonts w:cstheme="minorHAnsi"/>
                <w:b/>
                <w:bCs/>
                <w:sz w:val="24"/>
                <w:szCs w:val="24"/>
                <w:lang w:eastAsia="en-GB"/>
              </w:rPr>
            </w:pPr>
            <w:r w:rsidRPr="00070D0F">
              <w:rPr>
                <w:rFonts w:cstheme="minorHAnsi"/>
                <w:b/>
                <w:bCs/>
                <w:sz w:val="24"/>
                <w:szCs w:val="24"/>
                <w:lang w:eastAsia="en-GB"/>
              </w:rPr>
              <w:t>Legislation to require energy suppliers to provide key, p</w:t>
            </w:r>
            <w:r>
              <w:rPr>
                <w:rFonts w:cstheme="minorHAnsi"/>
                <w:b/>
                <w:bCs/>
                <w:sz w:val="24"/>
                <w:szCs w:val="24"/>
                <w:lang w:eastAsia="en-GB"/>
              </w:rPr>
              <w:t>ersonal information on consumer</w:t>
            </w:r>
            <w:r w:rsidRPr="00070D0F">
              <w:rPr>
                <w:rFonts w:cstheme="minorHAnsi"/>
                <w:b/>
                <w:bCs/>
                <w:sz w:val="24"/>
                <w:szCs w:val="24"/>
                <w:lang w:eastAsia="en-GB"/>
              </w:rPr>
              <w:t xml:space="preserve"> bills in a machine readable format</w:t>
            </w:r>
            <w:r>
              <w:rPr>
                <w:rFonts w:cstheme="minorHAnsi"/>
                <w:b/>
                <w:bCs/>
                <w:sz w:val="24"/>
                <w:szCs w:val="24"/>
                <w:lang w:eastAsia="en-GB"/>
              </w:rPr>
              <w:t xml:space="preserve"> (</w:t>
            </w:r>
            <w:r w:rsidRPr="00070D0F">
              <w:rPr>
                <w:rFonts w:cstheme="minorHAnsi"/>
                <w:b/>
                <w:sz w:val="24"/>
                <w:szCs w:val="24"/>
                <w:lang w:val="en"/>
              </w:rPr>
              <w:t>RPC13-DECC-1962</w:t>
            </w:r>
            <w:r>
              <w:rPr>
                <w:rFonts w:cstheme="minorHAnsi"/>
                <w:b/>
                <w:sz w:val="24"/>
                <w:szCs w:val="24"/>
                <w:lang w:val="en"/>
              </w:rPr>
              <w:t>)</w:t>
            </w:r>
            <w:r>
              <w:rPr>
                <w:rFonts w:cstheme="minorHAnsi"/>
                <w:b/>
                <w:bCs/>
                <w:sz w:val="24"/>
                <w:szCs w:val="24"/>
                <w:lang w:eastAsia="en-GB"/>
              </w:rPr>
              <w:t xml:space="preserve">: </w:t>
            </w:r>
            <w:r w:rsidRPr="0005278D">
              <w:rPr>
                <w:rFonts w:cstheme="minorHAnsi"/>
                <w:bCs/>
                <w:sz w:val="24"/>
                <w:szCs w:val="24"/>
                <w:lang w:val="en-US"/>
              </w:rPr>
              <w:t xml:space="preserve">The objective of the proposal is to require energy providers to place a 2cm x 2cm machine readable image, such as a bar code or Quick Response (QR) code, on all domestic retail consumers’ paper energy bills. When scanned by a generic reader, this image will provide access to 12 key pieces of consumption data in a manner that is easy to understand. </w:t>
            </w:r>
          </w:p>
          <w:p w:rsidR="00CE5B54" w:rsidRDefault="00CE5B54" w:rsidP="006412DA">
            <w:pPr>
              <w:spacing w:after="120" w:line="276" w:lineRule="auto"/>
              <w:rPr>
                <w:rFonts w:cstheme="minorHAnsi"/>
                <w:bCs/>
                <w:sz w:val="24"/>
                <w:szCs w:val="24"/>
                <w:lang w:val="en-US"/>
              </w:rPr>
            </w:pPr>
            <w:r>
              <w:rPr>
                <w:rFonts w:cstheme="minorHAnsi"/>
                <w:bCs/>
                <w:sz w:val="24"/>
                <w:szCs w:val="24"/>
                <w:lang w:val="en-US"/>
              </w:rPr>
              <w:t xml:space="preserve">The Department’s original final stage IA was red-rated by the RPC on the basis that the </w:t>
            </w:r>
            <w:proofErr w:type="spellStart"/>
            <w:r>
              <w:rPr>
                <w:rFonts w:cstheme="minorHAnsi"/>
                <w:bCs/>
                <w:sz w:val="24"/>
                <w:szCs w:val="24"/>
                <w:lang w:val="en-US"/>
              </w:rPr>
              <w:t>SaMBA</w:t>
            </w:r>
            <w:proofErr w:type="spellEnd"/>
            <w:r>
              <w:rPr>
                <w:rFonts w:cstheme="minorHAnsi"/>
                <w:bCs/>
                <w:sz w:val="24"/>
                <w:szCs w:val="24"/>
                <w:lang w:val="en-US"/>
              </w:rPr>
              <w:t xml:space="preserve"> was not fit for purpose. The Department had not provided sufficient evidence that the objectives of the proposal could not be achieved with an exemption for small and micro businesses, given the very small market share of these businesses.</w:t>
            </w:r>
          </w:p>
          <w:p w:rsidR="00CE5B54" w:rsidRPr="0005278D" w:rsidRDefault="00CE5B54" w:rsidP="006412DA">
            <w:pPr>
              <w:spacing w:after="120" w:line="276" w:lineRule="auto"/>
              <w:rPr>
                <w:rFonts w:cstheme="minorHAnsi"/>
                <w:bCs/>
                <w:sz w:val="24"/>
                <w:szCs w:val="24"/>
                <w:lang w:val="en-US"/>
              </w:rPr>
            </w:pPr>
            <w:r>
              <w:rPr>
                <w:rFonts w:cstheme="minorHAnsi"/>
                <w:bCs/>
                <w:sz w:val="24"/>
                <w:szCs w:val="24"/>
                <w:lang w:val="en-US"/>
              </w:rPr>
              <w:t>On re-submission, t</w:t>
            </w:r>
            <w:r w:rsidRPr="0005278D">
              <w:rPr>
                <w:rFonts w:cstheme="minorHAnsi"/>
                <w:bCs/>
                <w:sz w:val="24"/>
                <w:szCs w:val="24"/>
                <w:lang w:val="en-US"/>
              </w:rPr>
              <w:t xml:space="preserve">he </w:t>
            </w:r>
            <w:proofErr w:type="spellStart"/>
            <w:r w:rsidRPr="0005278D">
              <w:rPr>
                <w:rFonts w:cstheme="minorHAnsi"/>
                <w:bCs/>
                <w:sz w:val="24"/>
                <w:szCs w:val="24"/>
                <w:lang w:val="en-US"/>
              </w:rPr>
              <w:t>SaMBA</w:t>
            </w:r>
            <w:proofErr w:type="spellEnd"/>
            <w:r w:rsidRPr="0005278D">
              <w:rPr>
                <w:rFonts w:cstheme="minorHAnsi"/>
                <w:bCs/>
                <w:sz w:val="24"/>
                <w:szCs w:val="24"/>
                <w:lang w:val="en-US"/>
              </w:rPr>
              <w:t xml:space="preserve"> provided good quantitative analysis, indicating that 10 energy suppliers are believed to be small or micro businesses, and the total market share of these 10 suppliers is estimated to be around 0.2%. Small and micro businesses are, however, expected to bear 3.2% of the costs associated with this policy – around £120,000 in total. Given that small and micro businesses hold a market share of only approximately 0.2%, but the costs imposed on them are considerably higher at 3.2%, the impact on small businesses can be seen as disproportionate. </w:t>
            </w:r>
          </w:p>
          <w:p w:rsidR="00CE5B54" w:rsidRPr="005017DD" w:rsidRDefault="00CE5B54" w:rsidP="006412DA">
            <w:pPr>
              <w:spacing w:after="360" w:line="276" w:lineRule="auto"/>
              <w:rPr>
                <w:rFonts w:cstheme="minorHAnsi"/>
                <w:bCs/>
                <w:sz w:val="24"/>
                <w:szCs w:val="24"/>
              </w:rPr>
            </w:pPr>
            <w:r>
              <w:rPr>
                <w:rFonts w:cstheme="minorHAnsi"/>
                <w:bCs/>
                <w:sz w:val="24"/>
                <w:szCs w:val="24"/>
                <w:lang w:val="en-US"/>
              </w:rPr>
              <w:t xml:space="preserve">Given </w:t>
            </w:r>
            <w:r w:rsidRPr="0005278D">
              <w:rPr>
                <w:rFonts w:cstheme="minorHAnsi"/>
                <w:bCs/>
                <w:sz w:val="24"/>
                <w:szCs w:val="24"/>
                <w:lang w:val="en-US"/>
              </w:rPr>
              <w:t xml:space="preserve">the </w:t>
            </w:r>
            <w:r>
              <w:rPr>
                <w:rFonts w:cstheme="minorHAnsi"/>
                <w:bCs/>
                <w:sz w:val="24"/>
                <w:szCs w:val="24"/>
                <w:lang w:val="en-US"/>
              </w:rPr>
              <w:t xml:space="preserve">very </w:t>
            </w:r>
            <w:r w:rsidRPr="0005278D">
              <w:rPr>
                <w:rFonts w:cstheme="minorHAnsi"/>
                <w:bCs/>
                <w:sz w:val="24"/>
                <w:szCs w:val="24"/>
                <w:lang w:val="en-US"/>
              </w:rPr>
              <w:t>small market share of small and micro businesses</w:t>
            </w:r>
            <w:r>
              <w:rPr>
                <w:rFonts w:cstheme="minorHAnsi"/>
                <w:bCs/>
                <w:sz w:val="24"/>
                <w:szCs w:val="24"/>
                <w:lang w:val="en-US"/>
              </w:rPr>
              <w:t>,</w:t>
            </w:r>
            <w:r w:rsidRPr="0005278D">
              <w:rPr>
                <w:rFonts w:cstheme="minorHAnsi"/>
                <w:bCs/>
                <w:sz w:val="24"/>
                <w:szCs w:val="24"/>
                <w:lang w:val="en-US"/>
              </w:rPr>
              <w:t xml:space="preserve"> a full exemption was applied because the vast majority of the policy benefits could still be achieved.</w:t>
            </w:r>
            <w:r>
              <w:rPr>
                <w:rFonts w:cstheme="minorHAnsi"/>
                <w:bCs/>
                <w:sz w:val="24"/>
                <w:szCs w:val="24"/>
                <w:lang w:val="en-US"/>
              </w:rPr>
              <w:t xml:space="preserve"> (</w:t>
            </w:r>
            <w:hyperlink r:id="rId64" w:history="1">
              <w:r w:rsidRPr="00355F7E">
                <w:rPr>
                  <w:rStyle w:val="Hyperlink"/>
                </w:rPr>
                <w:t>IA</w:t>
              </w:r>
            </w:hyperlink>
            <w:r>
              <w:rPr>
                <w:rFonts w:cstheme="minorHAnsi"/>
                <w:bCs/>
                <w:sz w:val="24"/>
                <w:szCs w:val="24"/>
                <w:lang w:val="en-US"/>
              </w:rPr>
              <w:t>)         (</w:t>
            </w:r>
            <w:hyperlink r:id="rId65" w:history="1">
              <w:r w:rsidRPr="00355F7E">
                <w:rPr>
                  <w:rStyle w:val="Hyperlink"/>
                </w:rPr>
                <w:t>Opinion</w:t>
              </w:r>
            </w:hyperlink>
            <w:r>
              <w:rPr>
                <w:rFonts w:cstheme="minorHAnsi"/>
                <w:bCs/>
                <w:sz w:val="24"/>
                <w:szCs w:val="24"/>
                <w:lang w:val="en-US"/>
              </w:rPr>
              <w:t>)</w:t>
            </w:r>
          </w:p>
        </w:tc>
      </w:tr>
    </w:tbl>
    <w:p w:rsidR="00454D41" w:rsidRDefault="00454D41" w:rsidP="00CE5B54">
      <w:pPr>
        <w:spacing w:after="120"/>
        <w:rPr>
          <w:rFonts w:cstheme="minorHAnsi"/>
          <w:b/>
          <w:color w:val="E36C0A" w:themeColor="accent6" w:themeShade="BF"/>
          <w:sz w:val="24"/>
          <w:szCs w:val="24"/>
        </w:rPr>
      </w:pPr>
    </w:p>
    <w:p w:rsidR="00454D41" w:rsidRDefault="00454D41" w:rsidP="00CE5B54">
      <w:pPr>
        <w:spacing w:after="120"/>
        <w:rPr>
          <w:rFonts w:cstheme="minorHAnsi"/>
          <w:b/>
          <w:color w:val="E36C0A" w:themeColor="accent6" w:themeShade="BF"/>
          <w:sz w:val="24"/>
          <w:szCs w:val="24"/>
        </w:rPr>
      </w:pPr>
    </w:p>
    <w:p w:rsidR="00454D41" w:rsidRDefault="00454D41" w:rsidP="00CE5B54">
      <w:pPr>
        <w:spacing w:after="120"/>
        <w:rPr>
          <w:rFonts w:cstheme="minorHAnsi"/>
          <w:b/>
          <w:color w:val="E36C0A" w:themeColor="accent6" w:themeShade="BF"/>
          <w:sz w:val="24"/>
          <w:szCs w:val="24"/>
        </w:rPr>
      </w:pPr>
    </w:p>
    <w:p w:rsidR="00A23053" w:rsidRPr="0005278D" w:rsidRDefault="00A23053" w:rsidP="00CE5B54">
      <w:pPr>
        <w:spacing w:after="120"/>
        <w:rPr>
          <w:rFonts w:cstheme="minorHAnsi"/>
          <w:b/>
          <w:color w:val="E36C0A" w:themeColor="accent6" w:themeShade="BF"/>
          <w:sz w:val="24"/>
          <w:szCs w:val="24"/>
        </w:rPr>
      </w:pPr>
    </w:p>
    <w:p w:rsidR="00CE5B54" w:rsidRPr="00070D0F" w:rsidRDefault="00CE5B54" w:rsidP="00CE5B54">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rPr>
          <w:rFonts w:cstheme="minorHAnsi"/>
          <w:b/>
          <w:bCs/>
          <w:sz w:val="24"/>
          <w:szCs w:val="24"/>
        </w:rPr>
      </w:pPr>
      <w:r w:rsidRPr="00070D0F">
        <w:rPr>
          <w:rFonts w:cstheme="minorHAnsi"/>
          <w:b/>
          <w:bCs/>
          <w:sz w:val="24"/>
          <w:szCs w:val="24"/>
        </w:rPr>
        <w:lastRenderedPageBreak/>
        <w:t>Continuity of essential supplies to insolvent businesses</w:t>
      </w:r>
      <w:r>
        <w:rPr>
          <w:rFonts w:cstheme="minorHAnsi"/>
          <w:b/>
          <w:bCs/>
          <w:sz w:val="24"/>
          <w:szCs w:val="24"/>
        </w:rPr>
        <w:t xml:space="preserve"> (</w:t>
      </w:r>
      <w:r w:rsidR="00F90578">
        <w:rPr>
          <w:rFonts w:cstheme="minorHAnsi"/>
          <w:b/>
          <w:bCs/>
          <w:sz w:val="24"/>
          <w:szCs w:val="24"/>
        </w:rPr>
        <w:t>RPC13-BIS-3264</w:t>
      </w:r>
      <w:r>
        <w:rPr>
          <w:rFonts w:cstheme="minorHAnsi"/>
          <w:b/>
          <w:bCs/>
          <w:sz w:val="24"/>
          <w:szCs w:val="24"/>
        </w:rPr>
        <w:t xml:space="preserve">): </w:t>
      </w:r>
      <w:r w:rsidRPr="0005278D">
        <w:rPr>
          <w:rFonts w:cstheme="minorHAnsi"/>
          <w:bCs/>
          <w:sz w:val="24"/>
          <w:szCs w:val="24"/>
          <w:lang w:val="en-US"/>
        </w:rPr>
        <w:t xml:space="preserve">When a business enters insolvency, suppliers may invoke a termination clause in their contract and withdraw their supply. Where those supplies are essential to the continuation of the business, this can have an adverse impact on the likelihood of a successful rescue of the business and on the amount returned to creditors. These essential suppliers may also threaten to withhold supplies or services unless a 'ransom' payment is made. This causes a transfer from the body of creditors of the insolvent business to the essential supplier, </w:t>
      </w:r>
      <w:r>
        <w:rPr>
          <w:rFonts w:cstheme="minorHAnsi"/>
          <w:bCs/>
          <w:sz w:val="24"/>
          <w:szCs w:val="24"/>
          <w:lang w:val="en-US"/>
        </w:rPr>
        <w:t>reducing</w:t>
      </w:r>
      <w:r w:rsidRPr="0005278D">
        <w:rPr>
          <w:rFonts w:cstheme="minorHAnsi"/>
          <w:bCs/>
          <w:sz w:val="24"/>
          <w:szCs w:val="24"/>
          <w:lang w:val="en-US"/>
        </w:rPr>
        <w:t xml:space="preserve"> the likelihood of a business rescue and reducing returns to the wider body of creditors.</w:t>
      </w:r>
    </w:p>
    <w:p w:rsidR="00CE5B54" w:rsidRPr="0005278D" w:rsidRDefault="00CE5B54" w:rsidP="00CE5B54">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before="120" w:after="120"/>
        <w:rPr>
          <w:rFonts w:cstheme="minorHAnsi"/>
          <w:sz w:val="24"/>
          <w:szCs w:val="24"/>
        </w:rPr>
      </w:pPr>
      <w:r w:rsidRPr="0005278D">
        <w:rPr>
          <w:rFonts w:cstheme="minorHAnsi"/>
          <w:bCs/>
          <w:sz w:val="24"/>
          <w:szCs w:val="24"/>
        </w:rPr>
        <w:t xml:space="preserve">The IA provides detailed quantitative analysis on the number of small and micro businesses </w:t>
      </w:r>
      <w:proofErr w:type="gramStart"/>
      <w:r w:rsidRPr="0005278D">
        <w:rPr>
          <w:rFonts w:cstheme="minorHAnsi"/>
          <w:bCs/>
          <w:sz w:val="24"/>
          <w:szCs w:val="24"/>
        </w:rPr>
        <w:t>affected,</w:t>
      </w:r>
      <w:proofErr w:type="gramEnd"/>
      <w:r w:rsidRPr="0005278D">
        <w:rPr>
          <w:rFonts w:cstheme="minorHAnsi"/>
          <w:bCs/>
          <w:sz w:val="24"/>
          <w:szCs w:val="24"/>
        </w:rPr>
        <w:t xml:space="preserve"> the reduction in benefits from exempting small and micro businesses, and the costs to small and micro businesses of the proposal. </w:t>
      </w:r>
      <w:r w:rsidRPr="0005278D">
        <w:rPr>
          <w:rFonts w:cstheme="minorHAnsi"/>
          <w:sz w:val="24"/>
          <w:szCs w:val="24"/>
        </w:rPr>
        <w:t>It explains that small and micro businesses can be expected to benefit from the policy at both a macro and micro level, through the following impacts:</w:t>
      </w:r>
    </w:p>
    <w:p w:rsidR="00CE5B54" w:rsidRDefault="00CE5B54" w:rsidP="00CE5B54">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before="120" w:after="120"/>
        <w:ind w:left="284" w:hanging="284"/>
        <w:rPr>
          <w:rFonts w:cstheme="minorHAnsi"/>
          <w:sz w:val="24"/>
          <w:szCs w:val="24"/>
        </w:rPr>
      </w:pPr>
      <w:r>
        <w:rPr>
          <w:rFonts w:cstheme="minorHAnsi"/>
          <w:sz w:val="24"/>
          <w:szCs w:val="24"/>
        </w:rPr>
        <w:t xml:space="preserve">▪ </w:t>
      </w:r>
      <w:r>
        <w:rPr>
          <w:rFonts w:cstheme="minorHAnsi"/>
          <w:sz w:val="24"/>
          <w:szCs w:val="24"/>
        </w:rPr>
        <w:tab/>
      </w:r>
      <w:r w:rsidRPr="005017DD">
        <w:rPr>
          <w:rFonts w:cstheme="minorHAnsi"/>
          <w:sz w:val="24"/>
          <w:szCs w:val="24"/>
        </w:rPr>
        <w:t>Improved returns to unsecured creditors generally (</w:t>
      </w:r>
      <w:r>
        <w:rPr>
          <w:rFonts w:cstheme="minorHAnsi"/>
          <w:sz w:val="24"/>
          <w:szCs w:val="24"/>
        </w:rPr>
        <w:t xml:space="preserve">nearly </w:t>
      </w:r>
      <w:r w:rsidRPr="005017DD">
        <w:rPr>
          <w:rFonts w:cstheme="minorHAnsi"/>
          <w:sz w:val="24"/>
          <w:szCs w:val="24"/>
        </w:rPr>
        <w:t>9</w:t>
      </w:r>
      <w:r>
        <w:rPr>
          <w:rFonts w:cstheme="minorHAnsi"/>
          <w:sz w:val="24"/>
          <w:szCs w:val="24"/>
        </w:rPr>
        <w:t>0</w:t>
      </w:r>
      <w:r w:rsidRPr="005017DD">
        <w:rPr>
          <w:rFonts w:cstheme="minorHAnsi"/>
          <w:sz w:val="24"/>
          <w:szCs w:val="24"/>
        </w:rPr>
        <w:t xml:space="preserve">% of which are small or micro businesses) of £46.69m.  This benefit </w:t>
      </w:r>
      <w:r>
        <w:rPr>
          <w:rFonts w:cstheme="minorHAnsi"/>
          <w:sz w:val="24"/>
          <w:szCs w:val="24"/>
        </w:rPr>
        <w:t>w</w:t>
      </w:r>
      <w:r w:rsidRPr="005017DD">
        <w:rPr>
          <w:rFonts w:cstheme="minorHAnsi"/>
          <w:sz w:val="24"/>
          <w:szCs w:val="24"/>
        </w:rPr>
        <w:t>ould be</w:t>
      </w:r>
      <w:r>
        <w:rPr>
          <w:rFonts w:cstheme="minorHAnsi"/>
          <w:sz w:val="24"/>
          <w:szCs w:val="24"/>
        </w:rPr>
        <w:t xml:space="preserve"> significantly</w:t>
      </w:r>
      <w:r w:rsidRPr="005017DD">
        <w:rPr>
          <w:rFonts w:cstheme="minorHAnsi"/>
          <w:sz w:val="24"/>
          <w:szCs w:val="24"/>
        </w:rPr>
        <w:t xml:space="preserve"> reduced in the event that small and micro business suppliers were excluded from the scope of the policy</w:t>
      </w:r>
      <w:r>
        <w:rPr>
          <w:rFonts w:cstheme="minorHAnsi"/>
          <w:sz w:val="24"/>
          <w:szCs w:val="24"/>
        </w:rPr>
        <w:t>, with any benefits to excluded suppliers occurring as a transfer from other businesses (up to 99% of which are likely to be small or micro businesses)</w:t>
      </w:r>
      <w:r w:rsidRPr="005017DD">
        <w:rPr>
          <w:rFonts w:cstheme="minorHAnsi"/>
          <w:sz w:val="24"/>
          <w:szCs w:val="24"/>
        </w:rPr>
        <w:t>.</w:t>
      </w:r>
    </w:p>
    <w:p w:rsidR="00CE5B54" w:rsidRPr="005017DD" w:rsidRDefault="00CE5B54" w:rsidP="00CE5B54">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before="120" w:after="120"/>
        <w:ind w:left="284" w:hanging="284"/>
        <w:rPr>
          <w:rFonts w:cstheme="minorHAnsi"/>
          <w:sz w:val="24"/>
          <w:szCs w:val="24"/>
        </w:rPr>
      </w:pPr>
      <w:r>
        <w:rPr>
          <w:rFonts w:cstheme="minorHAnsi"/>
          <w:sz w:val="24"/>
          <w:szCs w:val="24"/>
        </w:rPr>
        <w:t>▪</w:t>
      </w:r>
      <w:r>
        <w:rPr>
          <w:rFonts w:cstheme="minorHAnsi"/>
          <w:sz w:val="24"/>
          <w:szCs w:val="24"/>
        </w:rPr>
        <w:tab/>
      </w:r>
      <w:r w:rsidRPr="005017DD">
        <w:rPr>
          <w:rFonts w:cstheme="minorHAnsi"/>
          <w:sz w:val="24"/>
          <w:szCs w:val="24"/>
        </w:rPr>
        <w:t xml:space="preserve">Enhanced prospect of business rescue </w:t>
      </w:r>
      <w:r>
        <w:rPr>
          <w:rFonts w:cstheme="minorHAnsi"/>
          <w:sz w:val="24"/>
          <w:szCs w:val="24"/>
        </w:rPr>
        <w:t>for</w:t>
      </w:r>
      <w:r w:rsidRPr="005017DD">
        <w:rPr>
          <w:rFonts w:cstheme="minorHAnsi"/>
          <w:sz w:val="24"/>
          <w:szCs w:val="24"/>
        </w:rPr>
        <w:t xml:space="preserve"> small and micro businesses </w:t>
      </w:r>
      <w:r>
        <w:rPr>
          <w:rFonts w:cstheme="minorHAnsi"/>
          <w:sz w:val="24"/>
          <w:szCs w:val="24"/>
        </w:rPr>
        <w:t>that are dependent on supplies and that are enabled to continue</w:t>
      </w:r>
      <w:r w:rsidRPr="005017DD">
        <w:rPr>
          <w:rFonts w:cstheme="minorHAnsi"/>
          <w:sz w:val="24"/>
          <w:szCs w:val="24"/>
        </w:rPr>
        <w:t xml:space="preserve"> trading.</w:t>
      </w:r>
    </w:p>
    <w:p w:rsidR="00CE5B54" w:rsidRPr="005017DD" w:rsidRDefault="00CE5B54" w:rsidP="00CE5B54">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before="120" w:after="120"/>
        <w:ind w:left="284" w:hanging="284"/>
        <w:rPr>
          <w:rFonts w:cstheme="minorHAnsi"/>
          <w:bCs/>
          <w:sz w:val="24"/>
          <w:szCs w:val="24"/>
        </w:rPr>
      </w:pPr>
      <w:r>
        <w:rPr>
          <w:rFonts w:cstheme="minorHAnsi"/>
          <w:sz w:val="24"/>
          <w:szCs w:val="24"/>
        </w:rPr>
        <w:t xml:space="preserve">▪ </w:t>
      </w:r>
      <w:r>
        <w:rPr>
          <w:rFonts w:cstheme="minorHAnsi"/>
          <w:bCs/>
          <w:sz w:val="24"/>
          <w:szCs w:val="24"/>
        </w:rPr>
        <w:t xml:space="preserve"> </w:t>
      </w:r>
      <w:r>
        <w:rPr>
          <w:rFonts w:cstheme="minorHAnsi"/>
          <w:bCs/>
          <w:sz w:val="24"/>
          <w:szCs w:val="24"/>
        </w:rPr>
        <w:tab/>
        <w:t>T</w:t>
      </w:r>
      <w:r w:rsidRPr="005017DD">
        <w:rPr>
          <w:rFonts w:cstheme="minorHAnsi"/>
          <w:bCs/>
          <w:sz w:val="24"/>
          <w:szCs w:val="24"/>
        </w:rPr>
        <w:t>he Department concludes that exempting small and micro businesses would significantly undermine the rationale for the policy and its benefits</w:t>
      </w:r>
      <w:r>
        <w:rPr>
          <w:rFonts w:cstheme="minorHAnsi"/>
          <w:bCs/>
          <w:sz w:val="24"/>
          <w:szCs w:val="24"/>
        </w:rPr>
        <w:t xml:space="preserve"> – and particularly the benefits to small and micro businesses</w:t>
      </w:r>
      <w:r w:rsidRPr="005017DD">
        <w:rPr>
          <w:rFonts w:cstheme="minorHAnsi"/>
          <w:bCs/>
          <w:sz w:val="24"/>
          <w:szCs w:val="24"/>
        </w:rPr>
        <w:t xml:space="preserve">. The </w:t>
      </w:r>
      <w:proofErr w:type="spellStart"/>
      <w:r w:rsidRPr="005017DD">
        <w:rPr>
          <w:rFonts w:cstheme="minorHAnsi"/>
          <w:bCs/>
          <w:sz w:val="24"/>
          <w:szCs w:val="24"/>
        </w:rPr>
        <w:t>SaMBA</w:t>
      </w:r>
      <w:proofErr w:type="spellEnd"/>
      <w:r w:rsidRPr="005017DD">
        <w:rPr>
          <w:rFonts w:cstheme="minorHAnsi"/>
          <w:bCs/>
          <w:sz w:val="24"/>
          <w:szCs w:val="24"/>
        </w:rPr>
        <w:t xml:space="preserve"> explains that specific guidance and information will be made available and tailored to the needs of small and micro businesses in order to mitigate potentially disproportionate familiarisation </w:t>
      </w:r>
      <w:r>
        <w:rPr>
          <w:rFonts w:cstheme="minorHAnsi"/>
          <w:bCs/>
          <w:sz w:val="24"/>
          <w:szCs w:val="24"/>
        </w:rPr>
        <w:t>costs</w:t>
      </w:r>
      <w:r w:rsidRPr="005017DD">
        <w:rPr>
          <w:rFonts w:cstheme="minorHAnsi"/>
          <w:bCs/>
          <w:sz w:val="24"/>
          <w:szCs w:val="24"/>
        </w:rPr>
        <w:t xml:space="preserve">. The Department also explains that it will engage with representative bodies of suppliers affected. </w:t>
      </w:r>
    </w:p>
    <w:p w:rsidR="00CE5B54" w:rsidRPr="0005278D" w:rsidRDefault="00CE5B54" w:rsidP="00CE5B54">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360"/>
        <w:rPr>
          <w:rFonts w:cstheme="minorHAnsi"/>
          <w:bCs/>
          <w:sz w:val="24"/>
          <w:szCs w:val="24"/>
        </w:rPr>
      </w:pPr>
      <w:r w:rsidRPr="0005278D">
        <w:rPr>
          <w:rFonts w:cstheme="minorHAnsi"/>
          <w:bCs/>
          <w:sz w:val="24"/>
          <w:szCs w:val="24"/>
        </w:rPr>
        <w:t>The impact on small and micro businesses will be monitored and reported on as part of the post implementation review (PIR).</w:t>
      </w:r>
      <w:r>
        <w:rPr>
          <w:rFonts w:cstheme="minorHAnsi"/>
          <w:bCs/>
          <w:sz w:val="24"/>
          <w:szCs w:val="24"/>
        </w:rPr>
        <w:t xml:space="preserve"> </w:t>
      </w:r>
      <w:r w:rsidRPr="00BC0049">
        <w:rPr>
          <w:rFonts w:cstheme="minorHAnsi"/>
          <w:bCs/>
          <w:sz w:val="24"/>
          <w:szCs w:val="24"/>
        </w:rPr>
        <w:t>(</w:t>
      </w:r>
      <w:hyperlink r:id="rId66" w:history="1">
        <w:r w:rsidRPr="00BC0049">
          <w:rPr>
            <w:rFonts w:cstheme="minorHAnsi"/>
            <w:bCs/>
            <w:color w:val="0000FF" w:themeColor="hyperlink"/>
            <w:sz w:val="24"/>
            <w:szCs w:val="24"/>
            <w:u w:val="single"/>
          </w:rPr>
          <w:t>IA</w:t>
        </w:r>
      </w:hyperlink>
      <w:r w:rsidRPr="00BC0049">
        <w:rPr>
          <w:rFonts w:cstheme="minorHAnsi"/>
          <w:bCs/>
          <w:sz w:val="24"/>
          <w:szCs w:val="24"/>
        </w:rPr>
        <w:t>)</w:t>
      </w:r>
      <w:r>
        <w:rPr>
          <w:rFonts w:cstheme="minorHAnsi"/>
          <w:bCs/>
          <w:sz w:val="24"/>
          <w:szCs w:val="24"/>
        </w:rPr>
        <w:t xml:space="preserve"> </w:t>
      </w:r>
      <w:hyperlink r:id="rId67" w:history="1">
        <w:r w:rsidR="00F90578" w:rsidRPr="00F90578">
          <w:rPr>
            <w:rStyle w:val="Hyperlink"/>
            <w:rFonts w:cstheme="minorHAnsi"/>
            <w:bCs/>
            <w:sz w:val="24"/>
            <w:szCs w:val="24"/>
          </w:rPr>
          <w:t>(Opinion)</w:t>
        </w:r>
      </w:hyperlink>
    </w:p>
    <w:p w:rsidR="00CE5B54" w:rsidRDefault="00CE5B54" w:rsidP="00CE5B54">
      <w:pPr>
        <w:rPr>
          <w:rFonts w:cstheme="minorHAnsi"/>
          <w:b/>
          <w:bCs/>
          <w:sz w:val="24"/>
          <w:szCs w:val="24"/>
          <w:lang w:eastAsia="en-GB"/>
        </w:rPr>
      </w:pPr>
    </w:p>
    <w:p w:rsidR="00A23053" w:rsidRDefault="00A23053" w:rsidP="00CE5B54">
      <w:pPr>
        <w:rPr>
          <w:rFonts w:cstheme="minorHAnsi"/>
          <w:b/>
          <w:bCs/>
          <w:sz w:val="24"/>
          <w:szCs w:val="24"/>
          <w:lang w:eastAsia="en-GB"/>
        </w:rPr>
      </w:pPr>
    </w:p>
    <w:p w:rsidR="00A23053" w:rsidRDefault="00A23053" w:rsidP="00CE5B54">
      <w:pPr>
        <w:rPr>
          <w:rFonts w:cstheme="minorHAnsi"/>
          <w:b/>
          <w:bCs/>
          <w:sz w:val="24"/>
          <w:szCs w:val="24"/>
          <w:lang w:eastAsia="en-GB"/>
        </w:rPr>
      </w:pPr>
    </w:p>
    <w:p w:rsidR="00A23053" w:rsidRDefault="00A23053" w:rsidP="00CE5B54">
      <w:pPr>
        <w:rPr>
          <w:rFonts w:cstheme="minorHAnsi"/>
          <w:b/>
          <w:bCs/>
          <w:sz w:val="24"/>
          <w:szCs w:val="24"/>
          <w:lang w:eastAsia="en-GB"/>
        </w:rPr>
      </w:pPr>
    </w:p>
    <w:p w:rsidR="00A23053" w:rsidRDefault="00A23053" w:rsidP="00CE5B54">
      <w:pPr>
        <w:rPr>
          <w:rFonts w:cstheme="minorHAnsi"/>
          <w:b/>
          <w:bCs/>
          <w:sz w:val="24"/>
          <w:szCs w:val="24"/>
          <w:lang w:eastAsia="en-GB"/>
        </w:rPr>
      </w:pPr>
    </w:p>
    <w:p w:rsidR="00CE5B54" w:rsidRPr="00070D0F" w:rsidRDefault="00CE5B54" w:rsidP="00CE5B54">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rPr>
          <w:rFonts w:cstheme="minorHAnsi"/>
          <w:b/>
          <w:bCs/>
          <w:sz w:val="24"/>
          <w:szCs w:val="24"/>
          <w:lang w:eastAsia="en-GB"/>
        </w:rPr>
      </w:pPr>
      <w:r w:rsidRPr="00070D0F">
        <w:rPr>
          <w:rFonts w:cstheme="minorHAnsi"/>
          <w:b/>
          <w:bCs/>
          <w:sz w:val="24"/>
          <w:szCs w:val="24"/>
          <w:lang w:eastAsia="en-GB"/>
        </w:rPr>
        <w:lastRenderedPageBreak/>
        <w:t>Review and changes to the Riot (Damages) Act 1886</w:t>
      </w:r>
      <w:r>
        <w:rPr>
          <w:rFonts w:cstheme="minorHAnsi"/>
          <w:b/>
          <w:bCs/>
          <w:sz w:val="24"/>
          <w:szCs w:val="24"/>
          <w:lang w:eastAsia="en-GB"/>
        </w:rPr>
        <w:t xml:space="preserve"> (Green, Final) (</w:t>
      </w:r>
      <w:r w:rsidRPr="00070D0F">
        <w:rPr>
          <w:rFonts w:cstheme="minorHAnsi"/>
          <w:b/>
          <w:bCs/>
          <w:sz w:val="24"/>
          <w:szCs w:val="24"/>
          <w:lang w:eastAsia="en-GB"/>
        </w:rPr>
        <w:t>RPC14-HO-2008</w:t>
      </w:r>
      <w:r>
        <w:rPr>
          <w:rFonts w:cstheme="minorHAnsi"/>
          <w:b/>
          <w:bCs/>
          <w:sz w:val="24"/>
          <w:szCs w:val="24"/>
          <w:lang w:eastAsia="en-GB"/>
        </w:rPr>
        <w:t>(2))</w:t>
      </w:r>
      <w:r w:rsidRPr="00070D0F">
        <w:rPr>
          <w:rFonts w:cstheme="minorHAnsi"/>
          <w:b/>
          <w:bCs/>
          <w:sz w:val="24"/>
          <w:szCs w:val="24"/>
          <w:lang w:eastAsia="en-GB"/>
        </w:rPr>
        <w:t>:</w:t>
      </w:r>
      <w:r>
        <w:rPr>
          <w:rFonts w:cstheme="minorHAnsi"/>
          <w:b/>
          <w:bCs/>
          <w:sz w:val="24"/>
          <w:szCs w:val="24"/>
          <w:lang w:eastAsia="en-GB"/>
        </w:rPr>
        <w:t xml:space="preserve"> </w:t>
      </w:r>
      <w:r w:rsidRPr="0005278D">
        <w:rPr>
          <w:rFonts w:cstheme="minorHAnsi"/>
          <w:bCs/>
          <w:sz w:val="24"/>
          <w:szCs w:val="24"/>
          <w:lang w:eastAsia="en-GB"/>
        </w:rPr>
        <w:t>The proposal is to modernise the law relating to public liability for compensation to individuals and businesses as a result of riots. It introduces a public liability cap per claim, alongside modernising elements of the process (to cover motor vehicles, introduce ex</w:t>
      </w:r>
      <w:r>
        <w:rPr>
          <w:rFonts w:cstheme="minorHAnsi"/>
          <w:bCs/>
          <w:sz w:val="24"/>
          <w:szCs w:val="24"/>
          <w:lang w:eastAsia="en-GB"/>
        </w:rPr>
        <w:t>cess payments, and provide for “</w:t>
      </w:r>
      <w:r w:rsidRPr="0005278D">
        <w:rPr>
          <w:rFonts w:cstheme="minorHAnsi"/>
          <w:bCs/>
          <w:sz w:val="24"/>
          <w:szCs w:val="24"/>
          <w:lang w:eastAsia="en-GB"/>
        </w:rPr>
        <w:t>new-for-old’ replacements).</w:t>
      </w:r>
    </w:p>
    <w:p w:rsidR="00CE5B54" w:rsidRDefault="00CE5B54" w:rsidP="00CE5B54">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120"/>
        <w:rPr>
          <w:rFonts w:cstheme="minorHAnsi"/>
          <w:bCs/>
          <w:sz w:val="24"/>
          <w:szCs w:val="24"/>
          <w:lang w:eastAsia="en-GB"/>
        </w:rPr>
      </w:pPr>
      <w:r w:rsidRPr="0005278D">
        <w:rPr>
          <w:rFonts w:cstheme="minorHAnsi"/>
          <w:bCs/>
          <w:sz w:val="24"/>
          <w:szCs w:val="24"/>
          <w:lang w:eastAsia="en-GB"/>
        </w:rPr>
        <w:t xml:space="preserve">The policy is designed so that the cap will only affect larger claims which, in general, will come from larger businesses.  </w:t>
      </w:r>
      <w:r>
        <w:rPr>
          <w:rFonts w:cstheme="minorHAnsi"/>
          <w:bCs/>
          <w:sz w:val="24"/>
          <w:szCs w:val="24"/>
          <w:lang w:eastAsia="en-GB"/>
        </w:rPr>
        <w:t>T</w:t>
      </w:r>
      <w:r w:rsidRPr="0005278D">
        <w:rPr>
          <w:rFonts w:cstheme="minorHAnsi"/>
          <w:bCs/>
          <w:sz w:val="24"/>
          <w:szCs w:val="24"/>
          <w:lang w:eastAsia="en-GB"/>
        </w:rPr>
        <w:t xml:space="preserve">he majority of smaller businesses will </w:t>
      </w:r>
      <w:r>
        <w:rPr>
          <w:rFonts w:cstheme="minorHAnsi"/>
          <w:bCs/>
          <w:sz w:val="24"/>
          <w:szCs w:val="24"/>
          <w:lang w:eastAsia="en-GB"/>
        </w:rPr>
        <w:t>experience</w:t>
      </w:r>
      <w:r w:rsidRPr="0005278D">
        <w:rPr>
          <w:rFonts w:cstheme="minorHAnsi"/>
          <w:bCs/>
          <w:sz w:val="24"/>
          <w:szCs w:val="24"/>
          <w:lang w:eastAsia="en-GB"/>
        </w:rPr>
        <w:t xml:space="preserve"> a net benefit from the changes </w:t>
      </w:r>
      <w:r>
        <w:rPr>
          <w:rFonts w:cstheme="minorHAnsi"/>
          <w:bCs/>
          <w:sz w:val="24"/>
          <w:szCs w:val="24"/>
          <w:lang w:eastAsia="en-GB"/>
        </w:rPr>
        <w:t>as they will now be able to claim compensation for damage to motor vehicles etc. The</w:t>
      </w:r>
      <w:r w:rsidRPr="0005278D">
        <w:rPr>
          <w:rFonts w:cstheme="minorHAnsi"/>
          <w:bCs/>
          <w:sz w:val="24"/>
          <w:szCs w:val="24"/>
          <w:lang w:eastAsia="en-GB"/>
        </w:rPr>
        <w:t xml:space="preserve"> analysis provides a quantitative assessment of the number of businesses that will be affected that are likely to be small or micro businesses. </w:t>
      </w:r>
      <w:r>
        <w:rPr>
          <w:rFonts w:cstheme="minorHAnsi"/>
          <w:bCs/>
          <w:sz w:val="24"/>
          <w:szCs w:val="24"/>
          <w:lang w:eastAsia="en-GB"/>
        </w:rPr>
        <w:t xml:space="preserve">The assessment provides </w:t>
      </w:r>
      <w:r w:rsidRPr="0005278D">
        <w:rPr>
          <w:rFonts w:cstheme="minorHAnsi"/>
          <w:bCs/>
          <w:sz w:val="24"/>
          <w:szCs w:val="24"/>
          <w:lang w:eastAsia="en-GB"/>
        </w:rPr>
        <w:t>estimate</w:t>
      </w:r>
      <w:r>
        <w:rPr>
          <w:rFonts w:cstheme="minorHAnsi"/>
          <w:bCs/>
          <w:sz w:val="24"/>
          <w:szCs w:val="24"/>
          <w:lang w:eastAsia="en-GB"/>
        </w:rPr>
        <w:t>s of</w:t>
      </w:r>
      <w:r w:rsidRPr="0005278D">
        <w:rPr>
          <w:rFonts w:cstheme="minorHAnsi"/>
          <w:bCs/>
          <w:sz w:val="24"/>
          <w:szCs w:val="24"/>
          <w:lang w:eastAsia="en-GB"/>
        </w:rPr>
        <w:t xml:space="preserve"> the overall proportion of the costs and benefits falling on small businesses.  The department presents two policy options and </w:t>
      </w:r>
      <w:r>
        <w:rPr>
          <w:rFonts w:cstheme="minorHAnsi"/>
          <w:bCs/>
          <w:sz w:val="24"/>
          <w:szCs w:val="24"/>
          <w:lang w:eastAsia="en-GB"/>
        </w:rPr>
        <w:t>estimates</w:t>
      </w:r>
      <w:r w:rsidRPr="0005278D">
        <w:rPr>
          <w:rFonts w:cstheme="minorHAnsi"/>
          <w:bCs/>
          <w:sz w:val="24"/>
          <w:szCs w:val="24"/>
          <w:lang w:eastAsia="en-GB"/>
        </w:rPr>
        <w:t xml:space="preserve"> that small business</w:t>
      </w:r>
      <w:r>
        <w:rPr>
          <w:rFonts w:cstheme="minorHAnsi"/>
          <w:bCs/>
          <w:sz w:val="24"/>
          <w:szCs w:val="24"/>
          <w:lang w:eastAsia="en-GB"/>
        </w:rPr>
        <w:t>es</w:t>
      </w:r>
      <w:r w:rsidRPr="0005278D">
        <w:rPr>
          <w:rFonts w:cstheme="minorHAnsi"/>
          <w:bCs/>
          <w:sz w:val="24"/>
          <w:szCs w:val="24"/>
          <w:lang w:eastAsia="en-GB"/>
        </w:rPr>
        <w:t xml:space="preserve"> will only face a very small portion </w:t>
      </w:r>
      <w:r>
        <w:rPr>
          <w:rFonts w:cstheme="minorHAnsi"/>
          <w:bCs/>
          <w:sz w:val="24"/>
          <w:szCs w:val="24"/>
          <w:lang w:eastAsia="en-GB"/>
        </w:rPr>
        <w:t xml:space="preserve">(2%) </w:t>
      </w:r>
      <w:r w:rsidRPr="0005278D">
        <w:rPr>
          <w:rFonts w:cstheme="minorHAnsi"/>
          <w:bCs/>
          <w:sz w:val="24"/>
          <w:szCs w:val="24"/>
          <w:lang w:eastAsia="en-GB"/>
        </w:rPr>
        <w:t xml:space="preserve">of the </w:t>
      </w:r>
      <w:r>
        <w:rPr>
          <w:rFonts w:cstheme="minorHAnsi"/>
          <w:bCs/>
          <w:sz w:val="24"/>
          <w:szCs w:val="24"/>
          <w:lang w:eastAsia="en-GB"/>
        </w:rPr>
        <w:t xml:space="preserve">overall </w:t>
      </w:r>
      <w:r w:rsidRPr="0005278D">
        <w:rPr>
          <w:rFonts w:cstheme="minorHAnsi"/>
          <w:bCs/>
          <w:sz w:val="24"/>
          <w:szCs w:val="24"/>
          <w:lang w:eastAsia="en-GB"/>
        </w:rPr>
        <w:t>cost</w:t>
      </w:r>
      <w:r>
        <w:rPr>
          <w:rFonts w:cstheme="minorHAnsi"/>
          <w:bCs/>
          <w:sz w:val="24"/>
          <w:szCs w:val="24"/>
          <w:lang w:eastAsia="en-GB"/>
        </w:rPr>
        <w:t>s falling on</w:t>
      </w:r>
      <w:r w:rsidRPr="0005278D">
        <w:rPr>
          <w:rFonts w:cstheme="minorHAnsi"/>
          <w:bCs/>
          <w:sz w:val="24"/>
          <w:szCs w:val="24"/>
          <w:lang w:eastAsia="en-GB"/>
        </w:rPr>
        <w:t xml:space="preserve"> </w:t>
      </w:r>
      <w:r>
        <w:rPr>
          <w:rFonts w:cstheme="minorHAnsi"/>
          <w:bCs/>
          <w:sz w:val="24"/>
          <w:szCs w:val="24"/>
          <w:lang w:eastAsia="en-GB"/>
        </w:rPr>
        <w:t xml:space="preserve">all </w:t>
      </w:r>
      <w:r w:rsidRPr="0005278D">
        <w:rPr>
          <w:rFonts w:cstheme="minorHAnsi"/>
          <w:bCs/>
          <w:sz w:val="24"/>
          <w:szCs w:val="24"/>
          <w:lang w:eastAsia="en-GB"/>
        </w:rPr>
        <w:t>business</w:t>
      </w:r>
      <w:r>
        <w:rPr>
          <w:rFonts w:cstheme="minorHAnsi"/>
          <w:bCs/>
          <w:sz w:val="24"/>
          <w:szCs w:val="24"/>
          <w:lang w:eastAsia="en-GB"/>
        </w:rPr>
        <w:t>es under the first option</w:t>
      </w:r>
      <w:r w:rsidRPr="0005278D">
        <w:rPr>
          <w:rFonts w:cstheme="minorHAnsi"/>
          <w:bCs/>
          <w:sz w:val="24"/>
          <w:szCs w:val="24"/>
          <w:lang w:eastAsia="en-GB"/>
        </w:rPr>
        <w:t xml:space="preserve">, </w:t>
      </w:r>
      <w:r>
        <w:rPr>
          <w:rFonts w:cstheme="minorHAnsi"/>
          <w:bCs/>
          <w:sz w:val="24"/>
          <w:szCs w:val="24"/>
          <w:lang w:eastAsia="en-GB"/>
        </w:rPr>
        <w:t>and may</w:t>
      </w:r>
      <w:r w:rsidRPr="0005278D">
        <w:rPr>
          <w:rFonts w:cstheme="minorHAnsi"/>
          <w:bCs/>
          <w:sz w:val="24"/>
          <w:szCs w:val="24"/>
          <w:lang w:eastAsia="en-GB"/>
        </w:rPr>
        <w:t xml:space="preserve"> even be beneficiaries of the policy</w:t>
      </w:r>
      <w:r>
        <w:rPr>
          <w:rFonts w:cstheme="minorHAnsi"/>
          <w:bCs/>
          <w:sz w:val="24"/>
          <w:szCs w:val="24"/>
          <w:lang w:eastAsia="en-GB"/>
        </w:rPr>
        <w:t xml:space="preserve"> under the second option</w:t>
      </w:r>
      <w:r w:rsidRPr="0005278D">
        <w:rPr>
          <w:rFonts w:cstheme="minorHAnsi"/>
          <w:bCs/>
          <w:sz w:val="24"/>
          <w:szCs w:val="24"/>
          <w:lang w:eastAsia="en-GB"/>
        </w:rPr>
        <w:t xml:space="preserve">. </w:t>
      </w:r>
      <w:r>
        <w:rPr>
          <w:rFonts w:cstheme="minorHAnsi"/>
          <w:bCs/>
          <w:sz w:val="24"/>
          <w:szCs w:val="24"/>
          <w:lang w:eastAsia="en-GB"/>
        </w:rPr>
        <w:t xml:space="preserve">This demonstrates that the overall burden on small and micro businesses is unlikely to be disproportionate.  </w:t>
      </w:r>
    </w:p>
    <w:p w:rsidR="00CE5B54" w:rsidRPr="00067B71" w:rsidRDefault="00CE5B54" w:rsidP="00CE5B54">
      <w:pPr>
        <w:pStyle w:val="Default"/>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120" w:line="276" w:lineRule="auto"/>
        <w:rPr>
          <w:rFonts w:asciiTheme="minorHAnsi" w:hAnsiTheme="minorHAnsi" w:cstheme="minorHAnsi"/>
        </w:rPr>
      </w:pPr>
      <w:r w:rsidRPr="00067B71">
        <w:rPr>
          <w:rFonts w:asciiTheme="minorHAnsi" w:hAnsiTheme="minorHAnsi" w:cstheme="minorHAnsi"/>
          <w:bCs/>
        </w:rPr>
        <w:t>The department also explains that the proposal would not be affordable if small and micro businesses were completely exempt from the costly elements of the proposal as this would result in the net impact of the policy decreasing from £19.7m to -£49.4m in NPV terms. This is because</w:t>
      </w:r>
      <w:r>
        <w:rPr>
          <w:rFonts w:asciiTheme="minorHAnsi" w:hAnsiTheme="minorHAnsi" w:cstheme="minorHAnsi"/>
          <w:bCs/>
        </w:rPr>
        <w:t>,</w:t>
      </w:r>
      <w:r w:rsidRPr="00067B71">
        <w:rPr>
          <w:rFonts w:asciiTheme="minorHAnsi" w:hAnsiTheme="minorHAnsi" w:cstheme="minorHAnsi"/>
          <w:bCs/>
        </w:rPr>
        <w:t xml:space="preserve"> from the costs faced by business and individuals</w:t>
      </w:r>
      <w:r>
        <w:rPr>
          <w:rFonts w:asciiTheme="minorHAnsi" w:hAnsiTheme="minorHAnsi" w:cstheme="minorHAnsi"/>
          <w:bCs/>
        </w:rPr>
        <w:t>,</w:t>
      </w:r>
      <w:r w:rsidRPr="00067B71">
        <w:rPr>
          <w:rFonts w:asciiTheme="minorHAnsi" w:hAnsiTheme="minorHAnsi" w:cstheme="minorHAnsi"/>
          <w:bCs/>
        </w:rPr>
        <w:t xml:space="preserve"> the public sector makes savings and it is these savings which help to fund the additional support for business in the form of time support and replacement value. If the cap w</w:t>
      </w:r>
      <w:r>
        <w:rPr>
          <w:rFonts w:asciiTheme="minorHAnsi" w:hAnsiTheme="minorHAnsi" w:cstheme="minorHAnsi"/>
          <w:bCs/>
        </w:rPr>
        <w:t>ere</w:t>
      </w:r>
      <w:r w:rsidRPr="00067B71">
        <w:rPr>
          <w:rFonts w:asciiTheme="minorHAnsi" w:hAnsiTheme="minorHAnsi" w:cstheme="minorHAnsi"/>
          <w:bCs/>
        </w:rPr>
        <w:t xml:space="preserve"> to be removed </w:t>
      </w:r>
      <w:r>
        <w:rPr>
          <w:rFonts w:asciiTheme="minorHAnsi" w:hAnsiTheme="minorHAnsi" w:cstheme="minorHAnsi"/>
          <w:bCs/>
        </w:rPr>
        <w:t xml:space="preserve">for small businesses </w:t>
      </w:r>
      <w:r w:rsidRPr="00067B71">
        <w:rPr>
          <w:rFonts w:asciiTheme="minorHAnsi" w:hAnsiTheme="minorHAnsi" w:cstheme="minorHAnsi"/>
          <w:bCs/>
        </w:rPr>
        <w:t xml:space="preserve">then, under option two, the net impact on small businesses would be positive with a present value of £2.98m. However, such a change would increase costs to the public sector resulting in a negative NPV. </w:t>
      </w:r>
      <w:r w:rsidRPr="00067B71">
        <w:rPr>
          <w:rFonts w:asciiTheme="minorHAnsi" w:hAnsiTheme="minorHAnsi" w:cstheme="minorHAnsi"/>
        </w:rPr>
        <w:t xml:space="preserve">The </w:t>
      </w:r>
      <w:proofErr w:type="spellStart"/>
      <w:r w:rsidRPr="00067B71">
        <w:rPr>
          <w:rFonts w:asciiTheme="minorHAnsi" w:hAnsiTheme="minorHAnsi" w:cstheme="minorHAnsi"/>
        </w:rPr>
        <w:t>SaMBA</w:t>
      </w:r>
      <w:proofErr w:type="spellEnd"/>
      <w:r w:rsidRPr="00067B71">
        <w:rPr>
          <w:rFonts w:asciiTheme="minorHAnsi" w:hAnsiTheme="minorHAnsi" w:cstheme="minorHAnsi"/>
        </w:rPr>
        <w:t xml:space="preserve"> explains that this would be unaffordable and would </w:t>
      </w:r>
      <w:r>
        <w:rPr>
          <w:rFonts w:asciiTheme="minorHAnsi" w:hAnsiTheme="minorHAnsi" w:cstheme="minorHAnsi"/>
        </w:rPr>
        <w:t>ignore</w:t>
      </w:r>
      <w:r w:rsidRPr="00067B71">
        <w:rPr>
          <w:rFonts w:asciiTheme="minorHAnsi" w:hAnsiTheme="minorHAnsi" w:cstheme="minorHAnsi"/>
        </w:rPr>
        <w:t xml:space="preserve"> one of the objectives of the policy, which is to consider the impact on the public purse. For these reasons, the department concludes that it is not possible to remove the cap on claims for small businesses</w:t>
      </w:r>
      <w:r>
        <w:rPr>
          <w:rFonts w:asciiTheme="minorHAnsi" w:hAnsiTheme="minorHAnsi" w:cstheme="minorHAnsi"/>
        </w:rPr>
        <w:t xml:space="preserve"> and</w:t>
      </w:r>
      <w:r w:rsidRPr="00067B71">
        <w:rPr>
          <w:rFonts w:asciiTheme="minorHAnsi" w:hAnsiTheme="minorHAnsi" w:cstheme="minorHAnsi"/>
        </w:rPr>
        <w:t xml:space="preserve"> </w:t>
      </w:r>
      <w:r>
        <w:rPr>
          <w:rFonts w:asciiTheme="minorHAnsi" w:hAnsiTheme="minorHAnsi" w:cstheme="minorHAnsi"/>
        </w:rPr>
        <w:t xml:space="preserve">that it </w:t>
      </w:r>
      <w:r w:rsidRPr="00067B71">
        <w:rPr>
          <w:rFonts w:asciiTheme="minorHAnsi" w:hAnsiTheme="minorHAnsi" w:cstheme="minorHAnsi"/>
        </w:rPr>
        <w:t>is required in order to maintain the overall benefits of the policy.</w:t>
      </w:r>
    </w:p>
    <w:p w:rsidR="00CE5B54" w:rsidRPr="0005278D" w:rsidRDefault="00CE5B54" w:rsidP="00CE5B54">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after="120"/>
        <w:rPr>
          <w:rFonts w:cstheme="minorHAnsi"/>
          <w:b/>
          <w:color w:val="E36C0A" w:themeColor="accent6" w:themeShade="BF"/>
          <w:sz w:val="24"/>
          <w:szCs w:val="24"/>
        </w:rPr>
      </w:pPr>
      <w:r w:rsidRPr="0005278D">
        <w:rPr>
          <w:rFonts w:cstheme="minorHAnsi"/>
          <w:sz w:val="24"/>
          <w:szCs w:val="24"/>
        </w:rPr>
        <w:t>By providing this analysis the department show</w:t>
      </w:r>
      <w:r>
        <w:rPr>
          <w:rFonts w:cstheme="minorHAnsi"/>
          <w:sz w:val="24"/>
          <w:szCs w:val="24"/>
        </w:rPr>
        <w:t>ed</w:t>
      </w:r>
      <w:r w:rsidRPr="0005278D">
        <w:rPr>
          <w:rFonts w:cstheme="minorHAnsi"/>
          <w:sz w:val="24"/>
          <w:szCs w:val="24"/>
        </w:rPr>
        <w:t xml:space="preserve"> that small business</w:t>
      </w:r>
      <w:r>
        <w:rPr>
          <w:rFonts w:cstheme="minorHAnsi"/>
          <w:sz w:val="24"/>
          <w:szCs w:val="24"/>
        </w:rPr>
        <w:t>es</w:t>
      </w:r>
      <w:r w:rsidRPr="0005278D">
        <w:rPr>
          <w:rFonts w:cstheme="minorHAnsi"/>
          <w:sz w:val="24"/>
          <w:szCs w:val="24"/>
        </w:rPr>
        <w:t xml:space="preserve"> are not disproportionately affected and that exemption would </w:t>
      </w:r>
      <w:r>
        <w:rPr>
          <w:rFonts w:cstheme="minorHAnsi"/>
          <w:sz w:val="24"/>
          <w:szCs w:val="24"/>
        </w:rPr>
        <w:t xml:space="preserve">significantly </w:t>
      </w:r>
      <w:r w:rsidRPr="0005278D">
        <w:rPr>
          <w:rFonts w:cstheme="minorHAnsi"/>
          <w:sz w:val="24"/>
          <w:szCs w:val="24"/>
        </w:rPr>
        <w:t>undermine the policy benefits. In the RPC's view</w:t>
      </w:r>
      <w:r>
        <w:rPr>
          <w:rFonts w:cstheme="minorHAnsi"/>
          <w:sz w:val="24"/>
          <w:szCs w:val="24"/>
        </w:rPr>
        <w:t>,</w:t>
      </w:r>
      <w:r w:rsidRPr="0005278D">
        <w:rPr>
          <w:rFonts w:cstheme="minorHAnsi"/>
          <w:sz w:val="24"/>
          <w:szCs w:val="24"/>
        </w:rPr>
        <w:t xml:space="preserve"> the evidence presented fully justified the department not applying an exemption or mitigation procedures.</w:t>
      </w:r>
      <w:r>
        <w:rPr>
          <w:rFonts w:cstheme="minorHAnsi"/>
          <w:sz w:val="24"/>
          <w:szCs w:val="24"/>
        </w:rPr>
        <w:t xml:space="preserve"> (</w:t>
      </w:r>
      <w:hyperlink r:id="rId68" w:history="1">
        <w:r w:rsidRPr="00D55333">
          <w:rPr>
            <w:rStyle w:val="Hyperlink"/>
            <w:rFonts w:cstheme="minorHAnsi"/>
            <w:sz w:val="24"/>
            <w:szCs w:val="24"/>
          </w:rPr>
          <w:t>IA</w:t>
        </w:r>
      </w:hyperlink>
      <w:r>
        <w:rPr>
          <w:rFonts w:cstheme="minorHAnsi"/>
          <w:sz w:val="24"/>
          <w:szCs w:val="24"/>
        </w:rPr>
        <w:t>) (</w:t>
      </w:r>
      <w:hyperlink r:id="rId69" w:history="1">
        <w:r w:rsidRPr="00D55333">
          <w:rPr>
            <w:rStyle w:val="Hyperlink"/>
            <w:rFonts w:cstheme="minorHAnsi"/>
            <w:sz w:val="24"/>
            <w:szCs w:val="24"/>
          </w:rPr>
          <w:t>Opinion</w:t>
        </w:r>
      </w:hyperlink>
      <w:r>
        <w:rPr>
          <w:rFonts w:cstheme="minorHAnsi"/>
          <w:sz w:val="24"/>
          <w:szCs w:val="24"/>
        </w:rPr>
        <w:t xml:space="preserve">) </w:t>
      </w:r>
    </w:p>
    <w:p w:rsidR="00CE5B54" w:rsidRDefault="00CE5B54" w:rsidP="00CE5B54">
      <w:pPr>
        <w:tabs>
          <w:tab w:val="left" w:pos="2573"/>
        </w:tabs>
        <w:rPr>
          <w:b/>
          <w:color w:val="E36C0A" w:themeColor="accent6" w:themeShade="BF"/>
          <w:sz w:val="32"/>
          <w:szCs w:val="32"/>
        </w:rPr>
      </w:pPr>
    </w:p>
    <w:p w:rsidR="00A23053" w:rsidRDefault="00A23053" w:rsidP="007D54B5">
      <w:pPr>
        <w:tabs>
          <w:tab w:val="left" w:pos="2573"/>
        </w:tabs>
        <w:rPr>
          <w:b/>
          <w:color w:val="E36C0A" w:themeColor="accent6" w:themeShade="BF"/>
          <w:sz w:val="32"/>
          <w:szCs w:val="32"/>
        </w:rPr>
      </w:pPr>
    </w:p>
    <w:p w:rsidR="00A23053" w:rsidRDefault="00A23053" w:rsidP="007D54B5">
      <w:pPr>
        <w:tabs>
          <w:tab w:val="left" w:pos="2573"/>
        </w:tabs>
        <w:rPr>
          <w:b/>
          <w:color w:val="E36C0A" w:themeColor="accent6" w:themeShade="BF"/>
          <w:sz w:val="32"/>
          <w:szCs w:val="32"/>
        </w:rPr>
      </w:pPr>
    </w:p>
    <w:p w:rsidR="00A23053" w:rsidRDefault="00A23053" w:rsidP="007D54B5">
      <w:pPr>
        <w:tabs>
          <w:tab w:val="left" w:pos="2573"/>
        </w:tabs>
        <w:rPr>
          <w:b/>
          <w:color w:val="E36C0A" w:themeColor="accent6" w:themeShade="BF"/>
          <w:sz w:val="32"/>
          <w:szCs w:val="32"/>
        </w:rPr>
      </w:pPr>
    </w:p>
    <w:p w:rsidR="007D54B5" w:rsidRPr="00B30582" w:rsidRDefault="00B30582" w:rsidP="007D54B5">
      <w:pPr>
        <w:tabs>
          <w:tab w:val="left" w:pos="2573"/>
        </w:tabs>
        <w:rPr>
          <w:b/>
          <w:sz w:val="32"/>
          <w:szCs w:val="32"/>
        </w:rPr>
      </w:pPr>
      <w:r w:rsidRPr="00B30582">
        <w:rPr>
          <w:b/>
          <w:color w:val="E36C0A" w:themeColor="accent6" w:themeShade="BF"/>
          <w:sz w:val="32"/>
          <w:szCs w:val="32"/>
        </w:rPr>
        <w:lastRenderedPageBreak/>
        <w:t xml:space="preserve">Section </w:t>
      </w:r>
      <w:r w:rsidR="00A161A5">
        <w:rPr>
          <w:b/>
          <w:color w:val="E36C0A" w:themeColor="accent6" w:themeShade="BF"/>
          <w:sz w:val="32"/>
          <w:szCs w:val="32"/>
        </w:rPr>
        <w:t>9</w:t>
      </w:r>
      <w:r w:rsidRPr="00B30582">
        <w:rPr>
          <w:b/>
          <w:color w:val="E36C0A" w:themeColor="accent6" w:themeShade="BF"/>
          <w:sz w:val="32"/>
          <w:szCs w:val="32"/>
        </w:rPr>
        <w:t>:</w:t>
      </w:r>
      <w:r w:rsidR="007D54B5" w:rsidRPr="00B30582">
        <w:rPr>
          <w:b/>
          <w:color w:val="E36C0A" w:themeColor="accent6" w:themeShade="BF"/>
          <w:sz w:val="32"/>
          <w:szCs w:val="32"/>
        </w:rPr>
        <w:t xml:space="preserve"> Wider impacts</w:t>
      </w:r>
      <w:r w:rsidR="007D54B5" w:rsidRPr="00B30582">
        <w:rPr>
          <w:b/>
          <w:color w:val="E36C0A" w:themeColor="accent6" w:themeShade="BF"/>
          <w:sz w:val="32"/>
          <w:szCs w:val="32"/>
        </w:rPr>
        <w:tab/>
      </w:r>
    </w:p>
    <w:p w:rsidR="00CE5B54" w:rsidRDefault="00A161A5" w:rsidP="00CE5B54">
      <w:pPr>
        <w:rPr>
          <w:b/>
          <w:color w:val="984806" w:themeColor="accent6" w:themeShade="80"/>
          <w:sz w:val="28"/>
          <w:szCs w:val="28"/>
        </w:rPr>
      </w:pPr>
      <w:r>
        <w:rPr>
          <w:b/>
          <w:color w:val="984806" w:themeColor="accent6" w:themeShade="80"/>
          <w:sz w:val="28"/>
          <w:szCs w:val="28"/>
        </w:rPr>
        <w:t>9</w:t>
      </w:r>
      <w:r w:rsidR="00CE5B54">
        <w:rPr>
          <w:b/>
          <w:color w:val="984806" w:themeColor="accent6" w:themeShade="80"/>
          <w:sz w:val="28"/>
          <w:szCs w:val="28"/>
        </w:rPr>
        <w:t>.1</w:t>
      </w:r>
      <w:r w:rsidR="00CE5B54" w:rsidRPr="00070D0F">
        <w:rPr>
          <w:b/>
          <w:color w:val="984806" w:themeColor="accent6" w:themeShade="80"/>
          <w:sz w:val="28"/>
          <w:szCs w:val="28"/>
        </w:rPr>
        <w:t xml:space="preserve"> </w:t>
      </w:r>
      <w:r w:rsidR="00CE5B54">
        <w:rPr>
          <w:b/>
          <w:color w:val="984806" w:themeColor="accent6" w:themeShade="80"/>
          <w:sz w:val="28"/>
          <w:szCs w:val="28"/>
        </w:rPr>
        <w:t>Assessment of impacts beyond business</w:t>
      </w:r>
    </w:p>
    <w:p w:rsidR="00CE5B54" w:rsidRDefault="00CE5B54" w:rsidP="00CE5B54">
      <w:pPr>
        <w:spacing w:before="200" w:after="360"/>
        <w:rPr>
          <w:sz w:val="24"/>
          <w:szCs w:val="24"/>
        </w:rPr>
      </w:pPr>
      <w:r>
        <w:rPr>
          <w:sz w:val="24"/>
          <w:szCs w:val="24"/>
        </w:rPr>
        <w:t>T</w:t>
      </w:r>
      <w:r w:rsidRPr="00410A37">
        <w:rPr>
          <w:sz w:val="24"/>
          <w:szCs w:val="24"/>
        </w:rPr>
        <w:t>he Green Book</w:t>
      </w:r>
      <w:r>
        <w:rPr>
          <w:sz w:val="24"/>
          <w:szCs w:val="24"/>
        </w:rPr>
        <w:t xml:space="preserve"> places strong emphasis on the assessment of impacts on society as a whole, e.g. including social, consumer and environmental impacts, as well as those on business. These impacts are captured, where they can be monetised, in the NPV. The Green Book </w:t>
      </w:r>
      <w:r w:rsidRPr="00410A37">
        <w:rPr>
          <w:sz w:val="24"/>
          <w:szCs w:val="24"/>
        </w:rPr>
        <w:t>states that “</w:t>
      </w:r>
      <w:r w:rsidRPr="00410A37">
        <w:rPr>
          <w:i/>
          <w:sz w:val="24"/>
          <w:szCs w:val="24"/>
        </w:rPr>
        <w:t>The NPV is the</w:t>
      </w:r>
      <w:r>
        <w:rPr>
          <w:i/>
          <w:sz w:val="24"/>
          <w:szCs w:val="24"/>
        </w:rPr>
        <w:t xml:space="preserve"> </w:t>
      </w:r>
      <w:r w:rsidRPr="00410A37">
        <w:rPr>
          <w:i/>
          <w:sz w:val="24"/>
          <w:szCs w:val="24"/>
        </w:rPr>
        <w:t xml:space="preserve">primary criterion for deciding whether government action can be justified” </w:t>
      </w:r>
      <w:r w:rsidRPr="00410A37">
        <w:rPr>
          <w:sz w:val="24"/>
          <w:szCs w:val="24"/>
        </w:rPr>
        <w:t>(page 26)</w:t>
      </w:r>
      <w:r w:rsidRPr="00410A37">
        <w:rPr>
          <w:i/>
          <w:sz w:val="24"/>
          <w:szCs w:val="24"/>
        </w:rPr>
        <w:t>.</w:t>
      </w:r>
      <w:r w:rsidRPr="00525770">
        <w:rPr>
          <w:sz w:val="24"/>
          <w:szCs w:val="24"/>
        </w:rPr>
        <w:t xml:space="preserve"> </w:t>
      </w:r>
      <w:r>
        <w:rPr>
          <w:sz w:val="24"/>
          <w:szCs w:val="24"/>
        </w:rPr>
        <w:t>T</w:t>
      </w:r>
      <w:r w:rsidRPr="00CE259B">
        <w:rPr>
          <w:sz w:val="24"/>
          <w:szCs w:val="24"/>
        </w:rPr>
        <w:t>he better regulation framework</w:t>
      </w:r>
      <w:r>
        <w:rPr>
          <w:sz w:val="24"/>
          <w:szCs w:val="24"/>
        </w:rPr>
        <w:t>’s focus is on business impacts and, in itself, does not, therefore, provide the same incentive</w:t>
      </w:r>
      <w:r w:rsidRPr="00CE259B">
        <w:rPr>
          <w:sz w:val="24"/>
          <w:szCs w:val="24"/>
        </w:rPr>
        <w:t xml:space="preserve"> for departments to assess the wider effects of regulation on society</w:t>
      </w:r>
      <w:r>
        <w:rPr>
          <w:sz w:val="24"/>
          <w:szCs w:val="24"/>
        </w:rPr>
        <w:t>.</w:t>
      </w:r>
    </w:p>
    <w:p w:rsidR="00CE5B54" w:rsidRDefault="00CE5B54" w:rsidP="00CE5B54">
      <w:pPr>
        <w:spacing w:before="200" w:after="360"/>
        <w:rPr>
          <w:sz w:val="24"/>
          <w:szCs w:val="24"/>
        </w:rPr>
      </w:pPr>
      <w:r w:rsidRPr="00EA0E82">
        <w:rPr>
          <w:sz w:val="24"/>
          <w:szCs w:val="24"/>
        </w:rPr>
        <w:t>The RPC believes that more could be done by departments to quantify the wider effects on society of government proposals.</w:t>
      </w:r>
      <w:r w:rsidRPr="00CE259B">
        <w:rPr>
          <w:sz w:val="24"/>
          <w:szCs w:val="24"/>
        </w:rPr>
        <w:t xml:space="preserve"> </w:t>
      </w:r>
      <w:r>
        <w:rPr>
          <w:sz w:val="24"/>
          <w:szCs w:val="24"/>
        </w:rPr>
        <w:t>D</w:t>
      </w:r>
      <w:r w:rsidRPr="00CE259B">
        <w:rPr>
          <w:sz w:val="24"/>
          <w:szCs w:val="24"/>
        </w:rPr>
        <w:t xml:space="preserve">uring 2014, only one-third of proposals provided a quantified assessment of the effects on society. </w:t>
      </w:r>
      <w:r>
        <w:rPr>
          <w:sz w:val="24"/>
          <w:szCs w:val="24"/>
        </w:rPr>
        <w:t xml:space="preserve">Although this increased to </w:t>
      </w:r>
      <w:r w:rsidRPr="00CE259B">
        <w:rPr>
          <w:sz w:val="24"/>
          <w:szCs w:val="24"/>
        </w:rPr>
        <w:t>around 60</w:t>
      </w:r>
      <w:r>
        <w:rPr>
          <w:sz w:val="24"/>
          <w:szCs w:val="24"/>
        </w:rPr>
        <w:t xml:space="preserve"> per cent during the present parliament,</w:t>
      </w:r>
      <w:r w:rsidRPr="00CE259B">
        <w:rPr>
          <w:sz w:val="24"/>
          <w:szCs w:val="24"/>
        </w:rPr>
        <w:t xml:space="preserve"> </w:t>
      </w:r>
      <w:r>
        <w:rPr>
          <w:sz w:val="24"/>
          <w:szCs w:val="24"/>
        </w:rPr>
        <w:t xml:space="preserve">there is </w:t>
      </w:r>
      <w:r w:rsidRPr="00CE259B">
        <w:rPr>
          <w:sz w:val="24"/>
          <w:szCs w:val="24"/>
        </w:rPr>
        <w:t xml:space="preserve">more </w:t>
      </w:r>
      <w:r>
        <w:rPr>
          <w:sz w:val="24"/>
          <w:szCs w:val="24"/>
        </w:rPr>
        <w:t xml:space="preserve">that </w:t>
      </w:r>
      <w:r w:rsidRPr="00CE259B">
        <w:rPr>
          <w:sz w:val="24"/>
          <w:szCs w:val="24"/>
        </w:rPr>
        <w:t>could be done.</w:t>
      </w:r>
      <w:r>
        <w:rPr>
          <w:sz w:val="24"/>
          <w:szCs w:val="24"/>
        </w:rPr>
        <w:t xml:space="preserve"> O</w:t>
      </w:r>
      <w:r w:rsidRPr="00CE259B">
        <w:rPr>
          <w:sz w:val="24"/>
          <w:szCs w:val="24"/>
        </w:rPr>
        <w:t xml:space="preserve">f the 24 measures that did include quantified wider effects, eight </w:t>
      </w:r>
      <w:r>
        <w:rPr>
          <w:sz w:val="24"/>
          <w:szCs w:val="24"/>
        </w:rPr>
        <w:t>had a negative NPV. On the face of it, this</w:t>
      </w:r>
      <w:r w:rsidRPr="00CE259B">
        <w:rPr>
          <w:sz w:val="24"/>
          <w:szCs w:val="24"/>
        </w:rPr>
        <w:t xml:space="preserve"> would suggest that society as a whole is worse off as a result of the </w:t>
      </w:r>
      <w:r>
        <w:rPr>
          <w:sz w:val="24"/>
          <w:szCs w:val="24"/>
        </w:rPr>
        <w:t>proposal</w:t>
      </w:r>
      <w:r w:rsidRPr="00CE259B">
        <w:rPr>
          <w:sz w:val="24"/>
          <w:szCs w:val="24"/>
        </w:rPr>
        <w:t>.</w:t>
      </w:r>
      <w:r>
        <w:rPr>
          <w:sz w:val="24"/>
          <w:szCs w:val="24"/>
        </w:rPr>
        <w:t xml:space="preserve"> However, it is more likely that some beneficial impacts on society have not been monetised. </w:t>
      </w:r>
    </w:p>
    <w:p w:rsidR="00CE5B54" w:rsidRDefault="00CE5B54" w:rsidP="00CE5B54">
      <w:pPr>
        <w:spacing w:before="200" w:after="360"/>
        <w:rPr>
          <w:sz w:val="24"/>
          <w:szCs w:val="24"/>
        </w:rPr>
      </w:pPr>
      <w:r w:rsidRPr="0086253C">
        <w:rPr>
          <w:sz w:val="24"/>
          <w:szCs w:val="24"/>
        </w:rPr>
        <w:t xml:space="preserve">There </w:t>
      </w:r>
      <w:r>
        <w:rPr>
          <w:sz w:val="24"/>
          <w:szCs w:val="24"/>
        </w:rPr>
        <w:t>will</w:t>
      </w:r>
      <w:r w:rsidRPr="0086253C">
        <w:rPr>
          <w:sz w:val="24"/>
          <w:szCs w:val="24"/>
        </w:rPr>
        <w:t xml:space="preserve"> be some cases where it is </w:t>
      </w:r>
      <w:r>
        <w:rPr>
          <w:sz w:val="24"/>
          <w:szCs w:val="24"/>
        </w:rPr>
        <w:t>particularly</w:t>
      </w:r>
      <w:r w:rsidRPr="0086253C">
        <w:rPr>
          <w:sz w:val="24"/>
          <w:szCs w:val="24"/>
        </w:rPr>
        <w:t xml:space="preserve"> difficult to quantify </w:t>
      </w:r>
      <w:r>
        <w:rPr>
          <w:sz w:val="24"/>
          <w:szCs w:val="24"/>
        </w:rPr>
        <w:t xml:space="preserve">fully </w:t>
      </w:r>
      <w:r w:rsidRPr="0086253C">
        <w:rPr>
          <w:sz w:val="24"/>
          <w:szCs w:val="24"/>
        </w:rPr>
        <w:t xml:space="preserve">the </w:t>
      </w:r>
      <w:r>
        <w:rPr>
          <w:sz w:val="24"/>
          <w:szCs w:val="24"/>
        </w:rPr>
        <w:t>wider</w:t>
      </w:r>
      <w:r w:rsidRPr="0086253C">
        <w:rPr>
          <w:sz w:val="24"/>
          <w:szCs w:val="24"/>
        </w:rPr>
        <w:t xml:space="preserve"> societal impacts of a policy. In these cases, it is reasonable for departments to </w:t>
      </w:r>
      <w:r>
        <w:rPr>
          <w:sz w:val="24"/>
          <w:szCs w:val="24"/>
        </w:rPr>
        <w:t>state that is not possible or proportionate to monetise these impacts. However, departments should explain why this is the case and provide a proportionate qualitative assessment in the IA. F</w:t>
      </w:r>
      <w:r w:rsidRPr="0086253C">
        <w:rPr>
          <w:sz w:val="24"/>
          <w:szCs w:val="24"/>
        </w:rPr>
        <w:t>or more significant measures</w:t>
      </w:r>
      <w:r>
        <w:rPr>
          <w:sz w:val="24"/>
          <w:szCs w:val="24"/>
        </w:rPr>
        <w:t>,</w:t>
      </w:r>
      <w:r w:rsidRPr="0086253C">
        <w:rPr>
          <w:sz w:val="24"/>
          <w:szCs w:val="24"/>
        </w:rPr>
        <w:t xml:space="preserve"> arguments </w:t>
      </w:r>
      <w:r>
        <w:rPr>
          <w:sz w:val="24"/>
          <w:szCs w:val="24"/>
        </w:rPr>
        <w:t>on</w:t>
      </w:r>
      <w:r w:rsidRPr="0086253C">
        <w:rPr>
          <w:sz w:val="24"/>
          <w:szCs w:val="24"/>
        </w:rPr>
        <w:t xml:space="preserve"> proportionality </w:t>
      </w:r>
      <w:r>
        <w:rPr>
          <w:sz w:val="24"/>
          <w:szCs w:val="24"/>
        </w:rPr>
        <w:t>grounds may be</w:t>
      </w:r>
      <w:r w:rsidRPr="0086253C">
        <w:rPr>
          <w:sz w:val="24"/>
          <w:szCs w:val="24"/>
        </w:rPr>
        <w:t xml:space="preserve"> less credible. There are a number of measures that have relatively significant costs to business, but for which the societal benefits have not been assessed robustly. One-third of measures with costs to business of over £10 million did not quantify any other </w:t>
      </w:r>
      <w:r>
        <w:rPr>
          <w:sz w:val="24"/>
          <w:szCs w:val="24"/>
        </w:rPr>
        <w:t>impacts</w:t>
      </w:r>
      <w:r w:rsidRPr="0086253C">
        <w:rPr>
          <w:sz w:val="24"/>
          <w:szCs w:val="24"/>
        </w:rPr>
        <w:t xml:space="preserve"> on society.</w:t>
      </w:r>
    </w:p>
    <w:p w:rsidR="00CE5B54" w:rsidRPr="00C53004" w:rsidRDefault="00CE5B54" w:rsidP="00CE5B54">
      <w:pPr>
        <w:spacing w:before="200" w:after="360"/>
        <w:rPr>
          <w:rFonts w:eastAsia="Times New Roman" w:cstheme="minorHAnsi"/>
          <w:color w:val="000000"/>
          <w:sz w:val="24"/>
          <w:szCs w:val="24"/>
        </w:rPr>
      </w:pPr>
      <w:r>
        <w:rPr>
          <w:sz w:val="24"/>
          <w:szCs w:val="24"/>
        </w:rPr>
        <w:t>W</w:t>
      </w:r>
      <w:r w:rsidRPr="0086253C">
        <w:rPr>
          <w:sz w:val="24"/>
          <w:szCs w:val="24"/>
        </w:rPr>
        <w:t>hile RPC opinions may comment on the wider analysis, the RPC is unable to rate the fitness for purpose of a</w:t>
      </w:r>
      <w:r>
        <w:rPr>
          <w:sz w:val="24"/>
          <w:szCs w:val="24"/>
        </w:rPr>
        <w:t xml:space="preserve"> final stage</w:t>
      </w:r>
      <w:r w:rsidRPr="0086253C">
        <w:rPr>
          <w:sz w:val="24"/>
          <w:szCs w:val="24"/>
        </w:rPr>
        <w:t xml:space="preserve"> impact assessment on the robustness of the assessment of wider impacts.</w:t>
      </w:r>
      <w:r>
        <w:rPr>
          <w:sz w:val="24"/>
          <w:szCs w:val="24"/>
        </w:rPr>
        <w:t xml:space="preserve"> This may also limit departmental incentives to undertake a fuller assessment of wider impacts. </w:t>
      </w:r>
      <w:r>
        <w:rPr>
          <w:rFonts w:eastAsia="Times New Roman" w:cstheme="minorHAnsi"/>
          <w:color w:val="000000"/>
          <w:sz w:val="24"/>
          <w:szCs w:val="24"/>
        </w:rPr>
        <w:t xml:space="preserve">The box </w:t>
      </w:r>
      <w:r w:rsidRPr="00C53004">
        <w:rPr>
          <w:rFonts w:eastAsia="Times New Roman" w:cstheme="minorHAnsi"/>
          <w:color w:val="000000"/>
          <w:sz w:val="24"/>
          <w:szCs w:val="24"/>
        </w:rPr>
        <w:t>below show</w:t>
      </w:r>
      <w:r>
        <w:rPr>
          <w:rFonts w:eastAsia="Times New Roman" w:cstheme="minorHAnsi"/>
          <w:color w:val="000000"/>
          <w:sz w:val="24"/>
          <w:szCs w:val="24"/>
        </w:rPr>
        <w:t>s</w:t>
      </w:r>
      <w:r w:rsidRPr="00C53004">
        <w:rPr>
          <w:rFonts w:eastAsia="Times New Roman" w:cstheme="minorHAnsi"/>
          <w:color w:val="000000"/>
          <w:sz w:val="24"/>
          <w:szCs w:val="24"/>
        </w:rPr>
        <w:t xml:space="preserve"> an example </w:t>
      </w:r>
      <w:r>
        <w:rPr>
          <w:rFonts w:eastAsia="Times New Roman" w:cstheme="minorHAnsi"/>
          <w:color w:val="000000"/>
          <w:sz w:val="24"/>
          <w:szCs w:val="24"/>
        </w:rPr>
        <w:t xml:space="preserve">of </w:t>
      </w:r>
      <w:r w:rsidRPr="00C53004">
        <w:rPr>
          <w:rFonts w:eastAsia="Times New Roman" w:cstheme="minorHAnsi"/>
          <w:color w:val="000000"/>
          <w:sz w:val="24"/>
          <w:szCs w:val="24"/>
        </w:rPr>
        <w:t xml:space="preserve">where the department did not monetise wider impacts but where the RPC thought </w:t>
      </w:r>
      <w:r>
        <w:rPr>
          <w:rFonts w:eastAsia="Times New Roman" w:cstheme="minorHAnsi"/>
          <w:color w:val="000000"/>
          <w:sz w:val="24"/>
          <w:szCs w:val="24"/>
        </w:rPr>
        <w:t>the</w:t>
      </w:r>
      <w:r w:rsidRPr="00C53004">
        <w:rPr>
          <w:rFonts w:eastAsia="Times New Roman" w:cstheme="minorHAnsi"/>
          <w:color w:val="000000"/>
          <w:sz w:val="24"/>
          <w:szCs w:val="24"/>
        </w:rPr>
        <w:t xml:space="preserve"> assessment might have </w:t>
      </w:r>
      <w:r>
        <w:rPr>
          <w:rFonts w:eastAsia="Times New Roman" w:cstheme="minorHAnsi"/>
          <w:color w:val="000000"/>
          <w:sz w:val="24"/>
          <w:szCs w:val="24"/>
        </w:rPr>
        <w:t>gone further</w:t>
      </w:r>
      <w:r w:rsidRPr="00C53004">
        <w:rPr>
          <w:rFonts w:eastAsia="Times New Roman" w:cstheme="minorHAnsi"/>
          <w:color w:val="000000"/>
          <w:sz w:val="24"/>
          <w:szCs w:val="24"/>
        </w:rPr>
        <w:t xml:space="preserve">. </w:t>
      </w:r>
    </w:p>
    <w:p w:rsidR="00CE5B54" w:rsidRPr="00C53004" w:rsidRDefault="00CE5B54" w:rsidP="00CE5B54">
      <w:pPr>
        <w:spacing w:after="0"/>
        <w:contextualSpacing/>
        <w:rPr>
          <w:rFonts w:eastAsia="Times New Roman" w:cstheme="minorHAnsi"/>
          <w:color w:val="000000"/>
          <w:sz w:val="24"/>
          <w:szCs w:val="24"/>
        </w:rPr>
      </w:pPr>
    </w:p>
    <w:tbl>
      <w:tblPr>
        <w:tblW w:w="4836" w:type="pct"/>
        <w:tblInd w:w="5" w:type="dxa"/>
        <w:tbl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blBorders>
        <w:shd w:val="clear" w:color="auto" w:fill="FDE9D9" w:themeFill="accent6" w:themeFillTint="33"/>
        <w:tblLayout w:type="fixed"/>
        <w:tblCellMar>
          <w:left w:w="0" w:type="dxa"/>
          <w:right w:w="0" w:type="dxa"/>
        </w:tblCellMar>
        <w:tblLook w:val="01E0" w:firstRow="1" w:lastRow="1" w:firstColumn="1" w:lastColumn="1" w:noHBand="0" w:noVBand="0"/>
      </w:tblPr>
      <w:tblGrid>
        <w:gridCol w:w="8759"/>
      </w:tblGrid>
      <w:tr w:rsidR="00CE5B54" w:rsidRPr="00C53004" w:rsidTr="006412DA">
        <w:trPr>
          <w:trHeight w:val="8013"/>
          <w:tblHeader/>
        </w:trPr>
        <w:tc>
          <w:tcPr>
            <w:tcW w:w="5000" w:type="pct"/>
            <w:shd w:val="clear" w:color="auto" w:fill="FDE9D9" w:themeFill="accent6" w:themeFillTint="33"/>
            <w:tcMar>
              <w:top w:w="113" w:type="dxa"/>
              <w:bottom w:w="113" w:type="dxa"/>
            </w:tcMar>
          </w:tcPr>
          <w:p w:rsidR="00CE5B54" w:rsidRPr="00650582" w:rsidRDefault="00CE5B54" w:rsidP="006412DA">
            <w:pPr>
              <w:spacing w:after="0"/>
              <w:ind w:left="152"/>
              <w:contextualSpacing/>
              <w:rPr>
                <w:rFonts w:eastAsia="Times New Roman" w:cstheme="minorHAnsi"/>
                <w:b/>
                <w:color w:val="000000"/>
                <w:sz w:val="24"/>
                <w:szCs w:val="24"/>
              </w:rPr>
            </w:pPr>
            <w:r w:rsidRPr="00C53004">
              <w:rPr>
                <w:rFonts w:eastAsia="Times New Roman" w:cstheme="minorHAnsi"/>
                <w:b/>
                <w:color w:val="000000"/>
                <w:sz w:val="24"/>
                <w:szCs w:val="24"/>
              </w:rPr>
              <w:lastRenderedPageBreak/>
              <w:t>Amending the law relating to dealers in scrap metal</w:t>
            </w:r>
            <w:r>
              <w:rPr>
                <w:rFonts w:eastAsia="Times New Roman" w:cstheme="minorHAnsi"/>
                <w:b/>
                <w:color w:val="000000"/>
                <w:sz w:val="24"/>
                <w:szCs w:val="24"/>
              </w:rPr>
              <w:t xml:space="preserve"> (Final, Green) (RPC12-HO-1434(5)): </w:t>
            </w:r>
            <w:r w:rsidRPr="00C53004">
              <w:rPr>
                <w:rFonts w:eastAsia="Times New Roman" w:cstheme="minorHAnsi"/>
                <w:color w:val="000000"/>
                <w:sz w:val="24"/>
                <w:szCs w:val="24"/>
              </w:rPr>
              <w:t xml:space="preserve">Due to rising commodity prices for metal and the ease of trading anonymously, theft of metal has been increasing. This measure prohibited cash payments for scrap metal, increased reporting requirements for scrap metal dealers, and increased penalties for offences under Scrap Metal Dealers Act 1964. The proposals had a Net Present Value of -£411 million and a business NPV of -£320million. The proposals included costs to business (both dealers and customers) of compliance with the new requirements. The NPV also included costs to individuals, and public sector bodies. The only benefits that were included in the NPV were small, including the removal of a licence fee for businesses and some fee and fine income for public sector bodies. </w:t>
            </w:r>
          </w:p>
          <w:p w:rsidR="00CE5B54" w:rsidRPr="00C53004" w:rsidRDefault="00CE5B54" w:rsidP="006412DA">
            <w:pPr>
              <w:spacing w:after="0"/>
              <w:ind w:left="152" w:right="260"/>
              <w:rPr>
                <w:rFonts w:eastAsia="Times New Roman" w:cstheme="minorHAnsi"/>
                <w:bCs/>
                <w:color w:val="000000"/>
                <w:sz w:val="24"/>
                <w:szCs w:val="24"/>
              </w:rPr>
            </w:pPr>
          </w:p>
          <w:p w:rsidR="00CE5B54" w:rsidRPr="00FC400E" w:rsidRDefault="00CE5B54" w:rsidP="006412DA">
            <w:pPr>
              <w:spacing w:after="0"/>
              <w:ind w:left="152" w:right="260"/>
              <w:rPr>
                <w:rFonts w:eastAsia="Times New Roman" w:cstheme="minorHAnsi"/>
                <w:color w:val="000000"/>
                <w:sz w:val="24"/>
                <w:szCs w:val="24"/>
              </w:rPr>
            </w:pPr>
            <w:r w:rsidRPr="00C53004">
              <w:rPr>
                <w:rFonts w:eastAsia="Times New Roman" w:cstheme="minorHAnsi"/>
                <w:bCs/>
                <w:color w:val="000000"/>
                <w:sz w:val="24"/>
                <w:szCs w:val="24"/>
              </w:rPr>
              <w:t xml:space="preserve">The key benefit of the proposal - reducing the cost to society of metal theft – was estimated </w:t>
            </w:r>
            <w:r w:rsidRPr="00C53004">
              <w:rPr>
                <w:rFonts w:eastAsia="Times New Roman" w:cstheme="minorHAnsi"/>
                <w:color w:val="000000"/>
                <w:sz w:val="24"/>
                <w:szCs w:val="24"/>
              </w:rPr>
              <w:t xml:space="preserve">to be around £220 million a year. However, the department concluded that the extent to which crime will be reduced could not be forecast with any certainty. Tax receipts were also forecasted to rise as a result of the ending of cash payments. This second benefit was not monetised. The IA noted that </w:t>
            </w:r>
            <w:r w:rsidRPr="00C53004">
              <w:rPr>
                <w:rFonts w:eastAsia="Times New Roman" w:cstheme="minorHAnsi"/>
                <w:i/>
                <w:color w:val="000000"/>
                <w:sz w:val="24"/>
                <w:szCs w:val="24"/>
              </w:rPr>
              <w:t>“the net present value is negative; however crime reduction benefits and increased tax receipts have not been included in the calculations which could result in a cost saving to the UK as a whole”.</w:t>
            </w:r>
            <w:r w:rsidRPr="00C53004">
              <w:rPr>
                <w:rFonts w:eastAsia="Times New Roman" w:cstheme="minorHAnsi"/>
                <w:color w:val="000000"/>
                <w:sz w:val="24"/>
                <w:szCs w:val="24"/>
              </w:rPr>
              <w:t xml:space="preserve"> NPV estimates need to be underpinned by robust evidence</w:t>
            </w:r>
            <w:r>
              <w:rPr>
                <w:rFonts w:eastAsia="Times New Roman" w:cstheme="minorHAnsi"/>
                <w:color w:val="000000"/>
                <w:sz w:val="24"/>
                <w:szCs w:val="24"/>
              </w:rPr>
              <w:t xml:space="preserve"> and i</w:t>
            </w:r>
            <w:r w:rsidRPr="00C53004">
              <w:rPr>
                <w:rFonts w:eastAsia="Times New Roman" w:cstheme="minorHAnsi"/>
                <w:color w:val="000000"/>
                <w:sz w:val="24"/>
                <w:szCs w:val="24"/>
              </w:rPr>
              <w:t xml:space="preserve">n this case, given the uncertainty, it may not have been possible for the department to fully monetise the benefits. </w:t>
            </w:r>
            <w:r>
              <w:rPr>
                <w:rFonts w:eastAsia="Times New Roman" w:cstheme="minorHAnsi"/>
                <w:color w:val="000000"/>
                <w:sz w:val="24"/>
                <w:szCs w:val="24"/>
              </w:rPr>
              <w:t xml:space="preserve">However, the department’s assessment of the </w:t>
            </w:r>
            <w:r w:rsidRPr="00C53004">
              <w:rPr>
                <w:rFonts w:eastAsia="Times New Roman" w:cstheme="minorHAnsi"/>
                <w:color w:val="000000"/>
                <w:sz w:val="24"/>
                <w:szCs w:val="24"/>
              </w:rPr>
              <w:t>wider impacts</w:t>
            </w:r>
            <w:r>
              <w:rPr>
                <w:rFonts w:eastAsia="Times New Roman" w:cstheme="minorHAnsi"/>
                <w:color w:val="000000"/>
                <w:sz w:val="24"/>
                <w:szCs w:val="24"/>
              </w:rPr>
              <w:t>, which ultimately forms the basis for the policy, could perhaps have been developed further</w:t>
            </w:r>
            <w:r w:rsidRPr="00C53004">
              <w:rPr>
                <w:rFonts w:eastAsia="Times New Roman" w:cstheme="minorHAnsi"/>
                <w:color w:val="000000"/>
                <w:sz w:val="24"/>
                <w:szCs w:val="24"/>
              </w:rPr>
              <w:t>.</w:t>
            </w:r>
          </w:p>
        </w:tc>
      </w:tr>
    </w:tbl>
    <w:p w:rsidR="00CE5B54" w:rsidRPr="00C53004" w:rsidRDefault="00CE5B54" w:rsidP="00CE5B54">
      <w:pPr>
        <w:rPr>
          <w:rFonts w:eastAsia="Calibri" w:cstheme="minorHAnsi"/>
          <w:sz w:val="24"/>
          <w:szCs w:val="24"/>
        </w:rPr>
      </w:pPr>
    </w:p>
    <w:p w:rsidR="00CE5B54" w:rsidRDefault="00CE5B54" w:rsidP="00CE5B54">
      <w:pPr>
        <w:rPr>
          <w:rFonts w:eastAsia="Calibri" w:cstheme="minorHAnsi"/>
          <w:color w:val="000000"/>
          <w:sz w:val="24"/>
          <w:szCs w:val="24"/>
        </w:rPr>
      </w:pPr>
      <w:r>
        <w:rPr>
          <w:rFonts w:eastAsia="Calibri" w:cstheme="minorHAnsi"/>
          <w:color w:val="000000"/>
          <w:sz w:val="24"/>
          <w:szCs w:val="24"/>
        </w:rPr>
        <w:t>The boxes below</w:t>
      </w:r>
      <w:r w:rsidRPr="00C53004">
        <w:rPr>
          <w:rFonts w:eastAsia="Calibri" w:cstheme="minorHAnsi"/>
          <w:color w:val="000000"/>
          <w:sz w:val="24"/>
          <w:szCs w:val="24"/>
        </w:rPr>
        <w:t xml:space="preserve"> illustrate some examples where final-stage impacts assessments received a green-rated opinion but where the </w:t>
      </w:r>
      <w:r>
        <w:rPr>
          <w:rFonts w:eastAsia="Calibri" w:cstheme="minorHAnsi"/>
          <w:color w:val="000000"/>
          <w:sz w:val="24"/>
          <w:szCs w:val="24"/>
        </w:rPr>
        <w:t xml:space="preserve">RPC was particularly critical of the </w:t>
      </w:r>
      <w:r w:rsidRPr="00C53004">
        <w:rPr>
          <w:rFonts w:eastAsia="Calibri" w:cstheme="minorHAnsi"/>
          <w:color w:val="000000"/>
          <w:sz w:val="24"/>
          <w:szCs w:val="24"/>
        </w:rPr>
        <w:t>wider analysis.</w:t>
      </w:r>
    </w:p>
    <w:p w:rsidR="00CE5B54" w:rsidRDefault="00CE5B54" w:rsidP="00CE5B54">
      <w:pPr>
        <w:keepNext/>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before="360" w:after="120"/>
        <w:ind w:right="-46"/>
        <w:outlineLvl w:val="0"/>
        <w:rPr>
          <w:rFonts w:eastAsia="Times New Roman" w:cstheme="minorHAnsi"/>
          <w:b/>
          <w:bCs/>
          <w:kern w:val="32"/>
          <w:sz w:val="24"/>
          <w:szCs w:val="24"/>
          <w:lang w:eastAsia="en-GB"/>
        </w:rPr>
      </w:pPr>
      <w:bookmarkStart w:id="21" w:name="_Toc469485889"/>
      <w:r w:rsidRPr="00C53004">
        <w:rPr>
          <w:rFonts w:eastAsia="Times New Roman" w:cstheme="minorHAnsi"/>
          <w:b/>
          <w:bCs/>
          <w:kern w:val="32"/>
          <w:sz w:val="24"/>
          <w:szCs w:val="24"/>
          <w:lang w:eastAsia="en-GB"/>
        </w:rPr>
        <w:t>Wheatley Review of LIBOR Implementation (RPC12-HMT-1603)</w:t>
      </w:r>
      <w:r>
        <w:rPr>
          <w:rFonts w:eastAsia="Times New Roman" w:cstheme="minorHAnsi"/>
          <w:b/>
          <w:bCs/>
          <w:kern w:val="32"/>
          <w:sz w:val="24"/>
          <w:szCs w:val="24"/>
          <w:lang w:eastAsia="en-GB"/>
        </w:rPr>
        <w:t>:</w:t>
      </w:r>
      <w:r w:rsidRPr="00C53004">
        <w:rPr>
          <w:rFonts w:eastAsia="Times New Roman" w:cstheme="minorHAnsi"/>
          <w:b/>
          <w:bCs/>
          <w:kern w:val="32"/>
          <w:sz w:val="24"/>
          <w:szCs w:val="24"/>
          <w:lang w:eastAsia="en-GB"/>
        </w:rPr>
        <w:t xml:space="preserve"> </w:t>
      </w:r>
      <w:r>
        <w:rPr>
          <w:rFonts w:eastAsia="Times New Roman" w:cstheme="minorHAnsi"/>
          <w:b/>
          <w:bCs/>
          <w:kern w:val="32"/>
          <w:sz w:val="24"/>
          <w:szCs w:val="24"/>
          <w:lang w:eastAsia="en-GB"/>
        </w:rPr>
        <w:t xml:space="preserve"> </w:t>
      </w:r>
      <w:r w:rsidRPr="00AB798E">
        <w:rPr>
          <w:rFonts w:eastAsia="Times New Roman" w:cstheme="minorHAnsi"/>
          <w:bCs/>
          <w:kern w:val="32"/>
          <w:sz w:val="24"/>
          <w:szCs w:val="24"/>
          <w:lang w:eastAsia="en-GB"/>
        </w:rPr>
        <w:t>The</w:t>
      </w:r>
      <w:r>
        <w:rPr>
          <w:rFonts w:eastAsia="Times New Roman" w:cstheme="minorHAnsi"/>
          <w:bCs/>
          <w:kern w:val="32"/>
          <w:sz w:val="24"/>
          <w:szCs w:val="24"/>
          <w:lang w:eastAsia="en-GB"/>
        </w:rPr>
        <w:t xml:space="preserve"> RPC accepted that this was out of scope of OIOO on the basis that it dealt with</w:t>
      </w:r>
      <w:r w:rsidRPr="00C53004">
        <w:rPr>
          <w:rFonts w:eastAsia="Times New Roman" w:cstheme="minorHAnsi"/>
          <w:sz w:val="24"/>
          <w:szCs w:val="24"/>
          <w:lang w:eastAsia="en-GB"/>
        </w:rPr>
        <w:t xml:space="preserve"> systemic </w:t>
      </w:r>
      <w:r>
        <w:rPr>
          <w:rFonts w:eastAsia="Times New Roman" w:cstheme="minorHAnsi"/>
          <w:sz w:val="24"/>
          <w:szCs w:val="24"/>
          <w:lang w:eastAsia="en-GB"/>
        </w:rPr>
        <w:t xml:space="preserve">financial </w:t>
      </w:r>
      <w:r w:rsidRPr="00C53004">
        <w:rPr>
          <w:rFonts w:eastAsia="Times New Roman" w:cstheme="minorHAnsi"/>
          <w:sz w:val="24"/>
          <w:szCs w:val="24"/>
          <w:lang w:eastAsia="en-GB"/>
        </w:rPr>
        <w:t xml:space="preserve">risk and </w:t>
      </w:r>
      <w:r>
        <w:rPr>
          <w:rFonts w:eastAsia="Times New Roman" w:cstheme="minorHAnsi"/>
          <w:sz w:val="24"/>
          <w:szCs w:val="24"/>
          <w:lang w:eastAsia="en-GB"/>
        </w:rPr>
        <w:t xml:space="preserve">that department had provided a reasonable assessment of the direct impacts on business. However, </w:t>
      </w:r>
      <w:r w:rsidRPr="00C53004">
        <w:rPr>
          <w:rFonts w:eastAsia="Times New Roman" w:cstheme="minorHAnsi"/>
          <w:sz w:val="24"/>
          <w:szCs w:val="24"/>
          <w:lang w:eastAsia="en-GB"/>
        </w:rPr>
        <w:t xml:space="preserve">the IA </w:t>
      </w:r>
      <w:r>
        <w:rPr>
          <w:rFonts w:eastAsia="Times New Roman" w:cstheme="minorHAnsi"/>
          <w:sz w:val="24"/>
          <w:szCs w:val="24"/>
          <w:lang w:eastAsia="en-GB"/>
        </w:rPr>
        <w:t xml:space="preserve">included </w:t>
      </w:r>
      <w:r w:rsidRPr="00C53004">
        <w:rPr>
          <w:rFonts w:eastAsia="Times New Roman" w:cstheme="minorHAnsi"/>
          <w:sz w:val="24"/>
          <w:szCs w:val="24"/>
          <w:lang w:eastAsia="en-GB"/>
        </w:rPr>
        <w:t>only two paragraphs on benefits and</w:t>
      </w:r>
      <w:r>
        <w:rPr>
          <w:rFonts w:eastAsia="Times New Roman" w:cstheme="minorHAnsi"/>
          <w:sz w:val="24"/>
          <w:szCs w:val="24"/>
          <w:lang w:eastAsia="en-GB"/>
        </w:rPr>
        <w:t>, given that this was the basis for the intervention,</w:t>
      </w:r>
      <w:r w:rsidRPr="00C53004">
        <w:rPr>
          <w:rFonts w:eastAsia="Times New Roman" w:cstheme="minorHAnsi"/>
          <w:sz w:val="24"/>
          <w:szCs w:val="24"/>
          <w:lang w:eastAsia="en-GB"/>
        </w:rPr>
        <w:t xml:space="preserve"> a more detailed assessment of </w:t>
      </w:r>
      <w:r>
        <w:rPr>
          <w:rFonts w:eastAsia="Times New Roman" w:cstheme="minorHAnsi"/>
          <w:sz w:val="24"/>
          <w:szCs w:val="24"/>
          <w:lang w:eastAsia="en-GB"/>
        </w:rPr>
        <w:t>the possibly very significant</w:t>
      </w:r>
      <w:r w:rsidRPr="00C53004">
        <w:rPr>
          <w:rFonts w:eastAsia="Times New Roman" w:cstheme="minorHAnsi"/>
          <w:sz w:val="24"/>
          <w:szCs w:val="24"/>
          <w:lang w:eastAsia="en-GB"/>
        </w:rPr>
        <w:t xml:space="preserve"> </w:t>
      </w:r>
      <w:r>
        <w:rPr>
          <w:rFonts w:eastAsia="Times New Roman" w:cstheme="minorHAnsi"/>
          <w:sz w:val="24"/>
          <w:szCs w:val="24"/>
          <w:lang w:eastAsia="en-GB"/>
        </w:rPr>
        <w:t xml:space="preserve">wider </w:t>
      </w:r>
      <w:r w:rsidRPr="00C53004">
        <w:rPr>
          <w:rFonts w:eastAsia="Times New Roman" w:cstheme="minorHAnsi"/>
          <w:sz w:val="24"/>
          <w:szCs w:val="24"/>
          <w:lang w:eastAsia="en-GB"/>
        </w:rPr>
        <w:t>benefits</w:t>
      </w:r>
      <w:r>
        <w:rPr>
          <w:rFonts w:eastAsia="Times New Roman" w:cstheme="minorHAnsi"/>
          <w:sz w:val="24"/>
          <w:szCs w:val="24"/>
          <w:lang w:eastAsia="en-GB"/>
        </w:rPr>
        <w:t xml:space="preserve"> would have been more appropriate.</w:t>
      </w:r>
      <w:bookmarkEnd w:id="21"/>
    </w:p>
    <w:p w:rsidR="00CE5B54" w:rsidRDefault="00CE5B54" w:rsidP="00CE5B54">
      <w:pPr>
        <w:rPr>
          <w:rFonts w:eastAsia="Calibri" w:cstheme="minorHAnsi"/>
          <w:color w:val="000000"/>
          <w:sz w:val="12"/>
          <w:szCs w:val="12"/>
        </w:rPr>
      </w:pPr>
    </w:p>
    <w:p w:rsidR="00833335" w:rsidRDefault="00833335" w:rsidP="00CE5B54">
      <w:pPr>
        <w:rPr>
          <w:rFonts w:eastAsia="Calibri" w:cstheme="minorHAnsi"/>
          <w:color w:val="000000"/>
          <w:sz w:val="12"/>
          <w:szCs w:val="12"/>
        </w:rPr>
      </w:pPr>
    </w:p>
    <w:p w:rsidR="00833335" w:rsidRDefault="00833335" w:rsidP="00CE5B54">
      <w:pPr>
        <w:rPr>
          <w:rFonts w:eastAsia="Calibri" w:cstheme="minorHAnsi"/>
          <w:color w:val="000000"/>
          <w:sz w:val="12"/>
          <w:szCs w:val="12"/>
        </w:rPr>
      </w:pPr>
    </w:p>
    <w:p w:rsidR="00833335" w:rsidRPr="00C5002B" w:rsidRDefault="00833335" w:rsidP="00CE5B54">
      <w:pPr>
        <w:rPr>
          <w:rFonts w:eastAsia="Calibri" w:cstheme="minorHAnsi"/>
          <w:color w:val="000000"/>
          <w:sz w:val="12"/>
          <w:szCs w:val="12"/>
        </w:rPr>
      </w:pPr>
    </w:p>
    <w:p w:rsidR="00CE5B54" w:rsidRPr="00650582" w:rsidRDefault="00CE5B54" w:rsidP="00CE5B54">
      <w:pPr>
        <w:keepNext/>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before="360" w:after="120"/>
        <w:ind w:right="-46"/>
        <w:outlineLvl w:val="0"/>
        <w:rPr>
          <w:rFonts w:eastAsia="Times New Roman" w:cstheme="minorHAnsi"/>
          <w:b/>
          <w:bCs/>
          <w:kern w:val="32"/>
          <w:sz w:val="24"/>
          <w:szCs w:val="24"/>
          <w:lang w:eastAsia="en-GB"/>
        </w:rPr>
      </w:pPr>
      <w:bookmarkStart w:id="22" w:name="_Toc469485890"/>
      <w:proofErr w:type="gramStart"/>
      <w:r w:rsidRPr="00C53004">
        <w:rPr>
          <w:rFonts w:eastAsia="Times New Roman" w:cstheme="minorHAnsi"/>
          <w:b/>
          <w:bCs/>
          <w:kern w:val="32"/>
          <w:sz w:val="24"/>
          <w:szCs w:val="24"/>
          <w:lang w:eastAsia="en-GB"/>
        </w:rPr>
        <w:lastRenderedPageBreak/>
        <w:t>Tackling illegal immigration in privately rented accommodation (RPC13-HO-1880(3))</w:t>
      </w:r>
      <w:r>
        <w:rPr>
          <w:rFonts w:eastAsia="Times New Roman" w:cstheme="minorHAnsi"/>
          <w:b/>
          <w:bCs/>
          <w:kern w:val="32"/>
          <w:sz w:val="24"/>
          <w:szCs w:val="24"/>
          <w:lang w:eastAsia="en-GB"/>
        </w:rPr>
        <w:t xml:space="preserve">: </w:t>
      </w:r>
      <w:r w:rsidRPr="00C53004">
        <w:rPr>
          <w:rFonts w:eastAsia="Times New Roman" w:cstheme="minorHAnsi"/>
          <w:sz w:val="24"/>
          <w:szCs w:val="24"/>
          <w:lang w:eastAsia="en-GB"/>
        </w:rPr>
        <w:t xml:space="preserve">The IA </w:t>
      </w:r>
      <w:r>
        <w:rPr>
          <w:rFonts w:eastAsia="Times New Roman" w:cstheme="minorHAnsi"/>
          <w:sz w:val="24"/>
          <w:szCs w:val="24"/>
          <w:lang w:eastAsia="en-GB"/>
        </w:rPr>
        <w:t xml:space="preserve">provided </w:t>
      </w:r>
      <w:r w:rsidRPr="00C53004">
        <w:rPr>
          <w:rFonts w:eastAsia="Times New Roman" w:cstheme="minorHAnsi"/>
          <w:sz w:val="24"/>
          <w:szCs w:val="24"/>
          <w:lang w:eastAsia="en-GB"/>
        </w:rPr>
        <w:t xml:space="preserve">a reasonable assessment of the direct impacts of the proposals on business and </w:t>
      </w:r>
      <w:r>
        <w:rPr>
          <w:rFonts w:eastAsia="Times New Roman" w:cstheme="minorHAnsi"/>
          <w:sz w:val="24"/>
          <w:szCs w:val="24"/>
          <w:lang w:eastAsia="en-GB"/>
        </w:rPr>
        <w:t>was, the</w:t>
      </w:r>
      <w:r w:rsidRPr="00C53004">
        <w:rPr>
          <w:rFonts w:eastAsia="Times New Roman" w:cstheme="minorHAnsi"/>
          <w:sz w:val="24"/>
          <w:szCs w:val="24"/>
          <w:lang w:eastAsia="en-GB"/>
        </w:rPr>
        <w:t>refore</w:t>
      </w:r>
      <w:r>
        <w:rPr>
          <w:rFonts w:eastAsia="Times New Roman" w:cstheme="minorHAnsi"/>
          <w:sz w:val="24"/>
          <w:szCs w:val="24"/>
          <w:lang w:eastAsia="en-GB"/>
        </w:rPr>
        <w:t>,</w:t>
      </w:r>
      <w:r w:rsidRPr="00C53004">
        <w:rPr>
          <w:rFonts w:eastAsia="Times New Roman" w:cstheme="minorHAnsi"/>
          <w:sz w:val="24"/>
          <w:szCs w:val="24"/>
          <w:lang w:eastAsia="en-GB"/>
        </w:rPr>
        <w:t xml:space="preserve"> given a green rating.</w:t>
      </w:r>
      <w:proofErr w:type="gramEnd"/>
      <w:r w:rsidRPr="00C53004">
        <w:rPr>
          <w:rFonts w:eastAsia="Times New Roman" w:cstheme="minorHAnsi"/>
          <w:sz w:val="24"/>
          <w:szCs w:val="24"/>
          <w:lang w:eastAsia="en-GB"/>
        </w:rPr>
        <w:t xml:space="preserve"> However, </w:t>
      </w:r>
      <w:r>
        <w:rPr>
          <w:rFonts w:eastAsia="Times New Roman" w:cstheme="minorHAnsi"/>
          <w:sz w:val="24"/>
          <w:szCs w:val="24"/>
          <w:lang w:eastAsia="en-GB"/>
        </w:rPr>
        <w:t xml:space="preserve">there were </w:t>
      </w:r>
      <w:r w:rsidRPr="00C53004">
        <w:rPr>
          <w:rFonts w:eastAsia="Times New Roman" w:cstheme="minorHAnsi"/>
          <w:sz w:val="24"/>
          <w:szCs w:val="24"/>
          <w:lang w:eastAsia="en-GB"/>
        </w:rPr>
        <w:t>significant concerns with the</w:t>
      </w:r>
      <w:r>
        <w:rPr>
          <w:rFonts w:eastAsia="Times New Roman" w:cstheme="minorHAnsi"/>
          <w:sz w:val="24"/>
          <w:szCs w:val="24"/>
          <w:lang w:eastAsia="en-GB"/>
        </w:rPr>
        <w:t xml:space="preserve"> wider</w:t>
      </w:r>
      <w:r w:rsidRPr="00C53004">
        <w:rPr>
          <w:rFonts w:eastAsia="Times New Roman" w:cstheme="minorHAnsi"/>
          <w:sz w:val="24"/>
          <w:szCs w:val="24"/>
          <w:lang w:eastAsia="en-GB"/>
        </w:rPr>
        <w:t xml:space="preserve"> analysis and evidence presented in the IA. These concerns include</w:t>
      </w:r>
      <w:r>
        <w:rPr>
          <w:rFonts w:eastAsia="Times New Roman" w:cstheme="minorHAnsi"/>
          <w:sz w:val="24"/>
          <w:szCs w:val="24"/>
          <w:lang w:eastAsia="en-GB"/>
        </w:rPr>
        <w:t>d</w:t>
      </w:r>
      <w:r w:rsidRPr="00C53004">
        <w:rPr>
          <w:rFonts w:eastAsia="Times New Roman" w:cstheme="minorHAnsi"/>
          <w:sz w:val="24"/>
          <w:szCs w:val="24"/>
          <w:lang w:eastAsia="en-GB"/>
        </w:rPr>
        <w:t xml:space="preserve"> the incorrect exclusion of costs to the Exchequer in the break even analysis. The costs to the Exchequer should also </w:t>
      </w:r>
      <w:r>
        <w:rPr>
          <w:rFonts w:eastAsia="Times New Roman" w:cstheme="minorHAnsi"/>
          <w:sz w:val="24"/>
          <w:szCs w:val="24"/>
          <w:lang w:eastAsia="en-GB"/>
        </w:rPr>
        <w:t xml:space="preserve">have </w:t>
      </w:r>
      <w:r w:rsidRPr="00C53004">
        <w:rPr>
          <w:rFonts w:eastAsia="Times New Roman" w:cstheme="minorHAnsi"/>
          <w:sz w:val="24"/>
          <w:szCs w:val="24"/>
          <w:lang w:eastAsia="en-GB"/>
        </w:rPr>
        <w:t>b</w:t>
      </w:r>
      <w:r>
        <w:rPr>
          <w:rFonts w:eastAsia="Times New Roman" w:cstheme="minorHAnsi"/>
          <w:sz w:val="24"/>
          <w:szCs w:val="24"/>
          <w:lang w:eastAsia="en-GB"/>
        </w:rPr>
        <w:t>e</w:t>
      </w:r>
      <w:r w:rsidRPr="00C53004">
        <w:rPr>
          <w:rFonts w:eastAsia="Times New Roman" w:cstheme="minorHAnsi"/>
          <w:sz w:val="24"/>
          <w:szCs w:val="24"/>
          <w:lang w:eastAsia="en-GB"/>
        </w:rPr>
        <w:t>e</w:t>
      </w:r>
      <w:r>
        <w:rPr>
          <w:rFonts w:eastAsia="Times New Roman" w:cstheme="minorHAnsi"/>
          <w:sz w:val="24"/>
          <w:szCs w:val="24"/>
          <w:lang w:eastAsia="en-GB"/>
        </w:rPr>
        <w:t>n</w:t>
      </w:r>
      <w:r w:rsidRPr="00C53004">
        <w:rPr>
          <w:rFonts w:eastAsia="Times New Roman" w:cstheme="minorHAnsi"/>
          <w:sz w:val="24"/>
          <w:szCs w:val="24"/>
          <w:lang w:eastAsia="en-GB"/>
        </w:rPr>
        <w:t xml:space="preserve"> used to provide an accurate assessment of the likely impacts of the proposals</w:t>
      </w:r>
      <w:r>
        <w:rPr>
          <w:rFonts w:eastAsia="Times New Roman" w:cstheme="minorHAnsi"/>
          <w:sz w:val="24"/>
          <w:szCs w:val="24"/>
          <w:lang w:eastAsia="en-GB"/>
        </w:rPr>
        <w:t>,</w:t>
      </w:r>
      <w:r w:rsidRPr="00C53004">
        <w:rPr>
          <w:rFonts w:eastAsia="Times New Roman" w:cstheme="minorHAnsi"/>
          <w:sz w:val="24"/>
          <w:szCs w:val="24"/>
          <w:lang w:eastAsia="en-GB"/>
        </w:rPr>
        <w:t xml:space="preserve"> in order to properly inform the decision-making process.</w:t>
      </w:r>
      <w:bookmarkEnd w:id="22"/>
      <w:r w:rsidRPr="00C53004">
        <w:rPr>
          <w:rFonts w:eastAsia="Times New Roman" w:cstheme="minorHAnsi"/>
          <w:sz w:val="24"/>
          <w:szCs w:val="24"/>
          <w:lang w:eastAsia="en-GB"/>
        </w:rPr>
        <w:t xml:space="preserve"> </w:t>
      </w:r>
    </w:p>
    <w:p w:rsidR="00CE5B54" w:rsidRDefault="00CE5B54" w:rsidP="00CE5B54">
      <w:pPr>
        <w:rPr>
          <w:rFonts w:eastAsia="Calibri" w:cstheme="minorHAnsi"/>
          <w:color w:val="000000"/>
          <w:sz w:val="24"/>
          <w:szCs w:val="24"/>
        </w:rPr>
      </w:pPr>
    </w:p>
    <w:p w:rsidR="00CE5B54" w:rsidRDefault="00A161A5" w:rsidP="00CE5B54">
      <w:pPr>
        <w:rPr>
          <w:b/>
          <w:color w:val="984806" w:themeColor="accent6" w:themeShade="80"/>
          <w:sz w:val="28"/>
          <w:szCs w:val="28"/>
        </w:rPr>
      </w:pPr>
      <w:r>
        <w:rPr>
          <w:b/>
          <w:color w:val="984806" w:themeColor="accent6" w:themeShade="80"/>
          <w:sz w:val="28"/>
          <w:szCs w:val="28"/>
        </w:rPr>
        <w:t>9</w:t>
      </w:r>
      <w:r w:rsidR="00CE5B54">
        <w:rPr>
          <w:b/>
          <w:color w:val="984806" w:themeColor="accent6" w:themeShade="80"/>
          <w:sz w:val="28"/>
          <w:szCs w:val="28"/>
        </w:rPr>
        <w:t>.2</w:t>
      </w:r>
      <w:r w:rsidR="00CE5B54" w:rsidRPr="00070D0F">
        <w:rPr>
          <w:b/>
          <w:color w:val="984806" w:themeColor="accent6" w:themeShade="80"/>
          <w:sz w:val="28"/>
          <w:szCs w:val="28"/>
        </w:rPr>
        <w:t xml:space="preserve"> </w:t>
      </w:r>
      <w:r w:rsidR="00CE5B54">
        <w:rPr>
          <w:b/>
          <w:color w:val="984806" w:themeColor="accent6" w:themeShade="80"/>
          <w:sz w:val="28"/>
          <w:szCs w:val="28"/>
        </w:rPr>
        <w:t>Valuation of wider impacts</w:t>
      </w:r>
    </w:p>
    <w:p w:rsidR="00CE5B54" w:rsidRDefault="00CE5B54" w:rsidP="00CE5B54">
      <w:pPr>
        <w:rPr>
          <w:sz w:val="24"/>
          <w:szCs w:val="24"/>
        </w:rPr>
      </w:pPr>
      <w:r w:rsidRPr="0024440E">
        <w:rPr>
          <w:sz w:val="24"/>
          <w:szCs w:val="24"/>
        </w:rPr>
        <w:t xml:space="preserve">The Green Book provides guidance on how departments should </w:t>
      </w:r>
      <w:r>
        <w:rPr>
          <w:sz w:val="24"/>
          <w:szCs w:val="24"/>
        </w:rPr>
        <w:t>value non-market impacts, i.e. impacts that are not readily expressed in monetary terms. These include, for example, impacts on health, safety and the environment. More detailed guidance has been prepared by the relevant government departments, including unit values for use in cost benefit analyses. For example, DfT produces ‘</w:t>
      </w:r>
      <w:proofErr w:type="spellStart"/>
      <w:r>
        <w:rPr>
          <w:sz w:val="24"/>
          <w:szCs w:val="24"/>
        </w:rPr>
        <w:t>WebTAG</w:t>
      </w:r>
      <w:proofErr w:type="spellEnd"/>
      <w:r>
        <w:rPr>
          <w:sz w:val="24"/>
          <w:szCs w:val="24"/>
        </w:rPr>
        <w:t>’ guidance on how to value improvements in transport safety.</w:t>
      </w:r>
      <w:r>
        <w:rPr>
          <w:rStyle w:val="FootnoteReference"/>
          <w:sz w:val="24"/>
          <w:szCs w:val="24"/>
        </w:rPr>
        <w:footnoteReference w:id="10"/>
      </w:r>
      <w:r>
        <w:rPr>
          <w:sz w:val="24"/>
          <w:szCs w:val="24"/>
        </w:rPr>
        <w:t xml:space="preserve"> The </w:t>
      </w:r>
      <w:proofErr w:type="spellStart"/>
      <w:r>
        <w:rPr>
          <w:sz w:val="24"/>
          <w:szCs w:val="24"/>
        </w:rPr>
        <w:t>DfT’s</w:t>
      </w:r>
      <w:proofErr w:type="spellEnd"/>
      <w:r>
        <w:rPr>
          <w:sz w:val="24"/>
          <w:szCs w:val="24"/>
        </w:rPr>
        <w:t xml:space="preserve"> guidance includes figures for the ‘value of a prevented fatality’ (VPF), as well as values for different severities of non-fatal injury. These figures are used and have been developed across government, such as by HSE in their monetary valuation of impacts on occupational health and safety.</w:t>
      </w:r>
      <w:r>
        <w:rPr>
          <w:rStyle w:val="FootnoteReference"/>
          <w:sz w:val="24"/>
          <w:szCs w:val="24"/>
        </w:rPr>
        <w:footnoteReference w:id="11"/>
      </w:r>
      <w:r>
        <w:rPr>
          <w:sz w:val="24"/>
          <w:szCs w:val="24"/>
        </w:rPr>
        <w:t xml:space="preserve"> </w:t>
      </w:r>
    </w:p>
    <w:p w:rsidR="00CE5B54" w:rsidRPr="005824F2" w:rsidRDefault="00CE5B54" w:rsidP="00CE5B54">
      <w:pPr>
        <w:rPr>
          <w:b/>
          <w:color w:val="984806" w:themeColor="accent6" w:themeShade="80"/>
          <w:sz w:val="28"/>
          <w:szCs w:val="28"/>
        </w:rPr>
      </w:pPr>
      <w:r>
        <w:rPr>
          <w:b/>
          <w:color w:val="984806" w:themeColor="accent6" w:themeShade="80"/>
          <w:sz w:val="28"/>
          <w:szCs w:val="28"/>
        </w:rPr>
        <w:t>Use of m</w:t>
      </w:r>
      <w:r w:rsidRPr="005824F2">
        <w:rPr>
          <w:b/>
          <w:color w:val="984806" w:themeColor="accent6" w:themeShade="80"/>
          <w:sz w:val="28"/>
          <w:szCs w:val="28"/>
        </w:rPr>
        <w:t>ultiplier</w:t>
      </w:r>
      <w:r>
        <w:rPr>
          <w:b/>
          <w:color w:val="984806" w:themeColor="accent6" w:themeShade="80"/>
          <w:sz w:val="28"/>
          <w:szCs w:val="28"/>
        </w:rPr>
        <w:t>s</w:t>
      </w:r>
    </w:p>
    <w:p w:rsidR="00CE5B54" w:rsidRPr="0024440E" w:rsidRDefault="00CE5B54" w:rsidP="00CE5B54">
      <w:pPr>
        <w:rPr>
          <w:sz w:val="24"/>
          <w:szCs w:val="24"/>
        </w:rPr>
      </w:pPr>
      <w:r>
        <w:rPr>
          <w:sz w:val="24"/>
          <w:szCs w:val="24"/>
        </w:rPr>
        <w:t>The DfT valuations have also informed the Department of Health’s Quality Adjusted Life Year (QALY) framework for assessing the benefit of health care interventions. During OIOO/OITO, s</w:t>
      </w:r>
      <w:r w:rsidRPr="0024440E">
        <w:rPr>
          <w:sz w:val="24"/>
          <w:szCs w:val="24"/>
        </w:rPr>
        <w:t xml:space="preserve">ome </w:t>
      </w:r>
      <w:r>
        <w:rPr>
          <w:sz w:val="24"/>
          <w:szCs w:val="24"/>
        </w:rPr>
        <w:t xml:space="preserve">DH </w:t>
      </w:r>
      <w:r w:rsidRPr="0024440E">
        <w:rPr>
          <w:sz w:val="24"/>
          <w:szCs w:val="24"/>
        </w:rPr>
        <w:t>impact assessments</w:t>
      </w:r>
      <w:r>
        <w:rPr>
          <w:sz w:val="24"/>
          <w:szCs w:val="24"/>
        </w:rPr>
        <w:t xml:space="preserve"> applied a </w:t>
      </w:r>
      <w:r w:rsidRPr="0024440E">
        <w:rPr>
          <w:sz w:val="24"/>
          <w:szCs w:val="24"/>
        </w:rPr>
        <w:t>multiplie</w:t>
      </w:r>
      <w:r>
        <w:rPr>
          <w:sz w:val="24"/>
          <w:szCs w:val="24"/>
        </w:rPr>
        <w:t xml:space="preserve">r of </w:t>
      </w:r>
      <w:r w:rsidRPr="0024440E">
        <w:rPr>
          <w:sz w:val="24"/>
          <w:szCs w:val="24"/>
        </w:rPr>
        <w:t>2.4</w:t>
      </w:r>
      <w:r>
        <w:rPr>
          <w:sz w:val="24"/>
          <w:szCs w:val="24"/>
        </w:rPr>
        <w:t xml:space="preserve"> to resource gains to DH. This was on the basis that each QALY was valued at £60,000 but average expenditure per QALY was only £25,000</w:t>
      </w:r>
      <w:r w:rsidRPr="0024440E">
        <w:rPr>
          <w:sz w:val="24"/>
          <w:szCs w:val="24"/>
        </w:rPr>
        <w:t>. Th</w:t>
      </w:r>
      <w:r>
        <w:rPr>
          <w:sz w:val="24"/>
          <w:szCs w:val="24"/>
        </w:rPr>
        <w:t>us the</w:t>
      </w:r>
      <w:r w:rsidRPr="0024440E">
        <w:rPr>
          <w:sz w:val="24"/>
          <w:szCs w:val="24"/>
        </w:rPr>
        <w:t xml:space="preserve"> argument </w:t>
      </w:r>
      <w:r>
        <w:rPr>
          <w:sz w:val="24"/>
          <w:szCs w:val="24"/>
        </w:rPr>
        <w:t xml:space="preserve">was that each £1 of additional resource available to DH was ‘worth’ £2.40 in societal benefit. </w:t>
      </w:r>
    </w:p>
    <w:p w:rsidR="00CE5B54" w:rsidRDefault="00CE5B54" w:rsidP="00CE5B54">
      <w:pPr>
        <w:rPr>
          <w:rFonts w:ascii="Calibri" w:hAnsi="Calibri" w:cs="Calibri"/>
          <w:sz w:val="24"/>
          <w:szCs w:val="24"/>
        </w:rPr>
      </w:pPr>
      <w:r w:rsidRPr="0040157A">
        <w:rPr>
          <w:noProof/>
          <w:lang w:eastAsia="en-GB"/>
        </w:rPr>
        <mc:AlternateContent>
          <mc:Choice Requires="wps">
            <w:drawing>
              <wp:anchor distT="0" distB="0" distL="114300" distR="114300" simplePos="0" relativeHeight="251717632" behindDoc="0" locked="0" layoutInCell="1" allowOverlap="1" wp14:anchorId="76C24AA9" wp14:editId="16B73A52">
                <wp:simplePos x="0" y="0"/>
                <wp:positionH relativeFrom="column">
                  <wp:posOffset>5816600</wp:posOffset>
                </wp:positionH>
                <wp:positionV relativeFrom="paragraph">
                  <wp:posOffset>1042670</wp:posOffset>
                </wp:positionV>
                <wp:extent cx="643255" cy="481965"/>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643255" cy="481965"/>
                        </a:xfrm>
                        <a:prstGeom prst="rect">
                          <a:avLst/>
                        </a:prstGeom>
                        <a:noFill/>
                        <a:ln w="6350">
                          <a:noFill/>
                        </a:ln>
                        <a:effectLst/>
                      </wps:spPr>
                      <wps:txbx>
                        <w:txbxContent>
                          <w:p w:rsidR="00C90A59" w:rsidRPr="00ED65B4" w:rsidRDefault="00C90A59" w:rsidP="00CE5B54">
                            <w:pPr>
                              <w:pBdr>
                                <w:top w:val="single" w:sz="4" w:space="1" w:color="F79646" w:themeColor="accent6"/>
                                <w:bottom w:val="single" w:sz="4" w:space="1" w:color="F79646" w:themeColor="accent6"/>
                              </w:pBdr>
                              <w:spacing w:after="0"/>
                              <w:jc w:val="center"/>
                              <w:rPr>
                                <w:rFonts w:cstheme="minorHAnsi"/>
                                <w:i/>
                                <w:color w:val="E36C0A" w:themeColor="accent6" w:themeShade="BF"/>
                                <w:sz w:val="16"/>
                                <w:szCs w:val="16"/>
                              </w:rPr>
                            </w:pPr>
                            <w:r w:rsidRPr="00ED65B4">
                              <w:rPr>
                                <w:rFonts w:cstheme="minorHAnsi"/>
                                <w:b/>
                                <w:i/>
                                <w:color w:val="E36C0A" w:themeColor="accent6" w:themeShade="BF"/>
                                <w:sz w:val="16"/>
                                <w:szCs w:val="16"/>
                              </w:rPr>
                              <w:t>Potential red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8" type="#_x0000_t202" style="position:absolute;margin-left:458pt;margin-top:82.1pt;width:50.65pt;height:37.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7+ONQIAAGgEAAAOAAAAZHJzL2Uyb0RvYy54bWysVFFv2jAQfp+0/2D5fQQosBYRKtaKaRJq&#10;K0HVZ+M4JFLi82xDwn79PjtAUbenaS/mfHf5zvd9d8zu27piB2VdSTrlg16fM6UlZaXepfx1s/xy&#10;y5nzQmeiIq1SflSO388/f5o1ZqqGVFCVKcsAot20MSkvvDfTJHGyULVwPTJKI5iTrYXH1e6SzIoG&#10;6HWVDPv9SdKQzYwlqZyD97EL8nnEz3Ml/XOeO+VZlXK8zcfTxnMbzmQ+E9OdFaYo5ekZ4h9eUYtS&#10;o+gF6lF4wfa2/AOqLqUlR7nvSaoTyvNSqtgDuhn0P3SzLoRRsReQ48yFJvf/YOXT4cWyMoN2UEqL&#10;GhptVOvZN2oZXOCnMW6KtLVBom/hR+7Z7+AMbbe5rcMvGmKIg+njhd2AJuGcjG6G4zFnEqHR7eBu&#10;Mg4oyfvHxjr/XVHNgpFyC/Eip+Kwcr5LPaeEWpqWZVVFASvNGhS4GffjB5cIwCsdclUchRNMaKh7&#10;eLB8u207AobnrraUHdGspW5cnJHLEk9aCedfhMV8oD/MvH/GkVeE0nSyOCvI/vqbP+RDNkQ5azBv&#10;KXc/98IqzqofGoLeDUajMKDxMhp/HeJiryPb64je1w+EkR5gu4yMZsj31dnMLdVvWI1FqIqQ0BK1&#10;U+7P5oPvtgCrJdViEZMwkkb4lV4bGaADcYHwTfsmrDmp4iHnE50nU0w/iNPldvIs9p7yMioXiO5Y&#10;heLhgnGO2p9WL+zL9T1mvf9BzH8DAAD//wMAUEsDBBQABgAIAAAAIQCOJdyd4wAAAAwBAAAPAAAA&#10;ZHJzL2Rvd25yZXYueG1sTI8xT8MwFIR3JP6D9ZDYqJ1QQglxqipShYTo0NKFzYlfkwj7OcRuG/j1&#10;uBOMpzvdfVcsJ2vYCUffO5KQzAQwpMbpnloJ+/f13QKYD4q0Mo5Qwjd6WJbXV4XKtTvTFk+70LJY&#10;Qj5XEroQhpxz33RolZ+5ASl6BzdaFaIcW65HdY7l1vBUiIxb1VNc6NSAVYfN5+5oJbxW643a1qld&#10;/Jjq5e2wGr72Hw9S3t5Mq2dgAafwF4YLfkSHMjLV7kjaMyPhKcnilxCNbJ4CuyRE8ngPrJaQzkUC&#10;vCz4/xPlLwAAAP//AwBQSwECLQAUAAYACAAAACEAtoM4kv4AAADhAQAAEwAAAAAAAAAAAAAAAAAA&#10;AAAAW0NvbnRlbnRfVHlwZXNdLnhtbFBLAQItABQABgAIAAAAIQA4/SH/1gAAAJQBAAALAAAAAAAA&#10;AAAAAAAAAC8BAABfcmVscy8ucmVsc1BLAQItABQABgAIAAAAIQA3E7+ONQIAAGgEAAAOAAAAAAAA&#10;AAAAAAAAAC4CAABkcnMvZTJvRG9jLnhtbFBLAQItABQABgAIAAAAIQCOJdyd4wAAAAwBAAAPAAAA&#10;AAAAAAAAAAAAAI8EAABkcnMvZG93bnJldi54bWxQSwUGAAAAAAQABADzAAAAnwUAAAAA&#10;" filled="f" stroked="f" strokeweight=".5pt">
                <v:textbox>
                  <w:txbxContent>
                    <w:p w:rsidR="00C90A59" w:rsidRPr="00ED65B4" w:rsidRDefault="00C90A59" w:rsidP="00CE5B54">
                      <w:pPr>
                        <w:pBdr>
                          <w:top w:val="single" w:sz="4" w:space="1" w:color="F79646" w:themeColor="accent6"/>
                          <w:bottom w:val="single" w:sz="4" w:space="1" w:color="F79646" w:themeColor="accent6"/>
                        </w:pBdr>
                        <w:spacing w:after="0"/>
                        <w:jc w:val="center"/>
                        <w:rPr>
                          <w:rFonts w:cstheme="minorHAnsi"/>
                          <w:i/>
                          <w:color w:val="E36C0A" w:themeColor="accent6" w:themeShade="BF"/>
                          <w:sz w:val="16"/>
                          <w:szCs w:val="16"/>
                        </w:rPr>
                      </w:pPr>
                      <w:r w:rsidRPr="00ED65B4">
                        <w:rPr>
                          <w:rFonts w:cstheme="minorHAnsi"/>
                          <w:b/>
                          <w:i/>
                          <w:color w:val="E36C0A" w:themeColor="accent6" w:themeShade="BF"/>
                          <w:sz w:val="16"/>
                          <w:szCs w:val="16"/>
                        </w:rPr>
                        <w:t>Potential red point</w:t>
                      </w:r>
                    </w:p>
                  </w:txbxContent>
                </v:textbox>
                <w10:wrap type="square"/>
              </v:shape>
            </w:pict>
          </mc:Fallback>
        </mc:AlternateContent>
      </w:r>
      <w:r w:rsidRPr="00E86AA5">
        <w:rPr>
          <w:rFonts w:ascii="Calibri" w:hAnsi="Calibri" w:cs="Calibri"/>
          <w:sz w:val="24"/>
          <w:szCs w:val="24"/>
        </w:rPr>
        <w:t xml:space="preserve">The Green Book states that values </w:t>
      </w:r>
      <w:r w:rsidRPr="00E86AA5">
        <w:rPr>
          <w:rFonts w:ascii="Calibri" w:hAnsi="Calibri" w:cs="Calibri"/>
          <w:i/>
          <w:sz w:val="24"/>
          <w:szCs w:val="24"/>
        </w:rPr>
        <w:t>“should be expressed in terms of relevant opportunity costs”</w:t>
      </w:r>
      <w:r w:rsidRPr="00E86AA5">
        <w:rPr>
          <w:rFonts w:ascii="Calibri" w:hAnsi="Calibri" w:cs="Calibri"/>
          <w:sz w:val="24"/>
          <w:szCs w:val="24"/>
        </w:rPr>
        <w:t xml:space="preserve"> but does not prescribe how this should be done for impact assessment purposes. </w:t>
      </w:r>
      <w:r>
        <w:rPr>
          <w:rFonts w:ascii="Calibri" w:hAnsi="Calibri" w:cs="Calibri"/>
          <w:sz w:val="24"/>
          <w:szCs w:val="24"/>
        </w:rPr>
        <w:t xml:space="preserve">It is reasonable for departments to </w:t>
      </w:r>
      <w:r w:rsidRPr="00633EF1">
        <w:rPr>
          <w:rFonts w:ascii="Calibri" w:hAnsi="Calibri" w:cs="Calibri"/>
          <w:sz w:val="24"/>
          <w:szCs w:val="24"/>
        </w:rPr>
        <w:t xml:space="preserve">adopt appraisal rules (such as applying a multiplier) in order to optimise their spending within a budget constraint. However, </w:t>
      </w:r>
      <w:r>
        <w:rPr>
          <w:rFonts w:ascii="Calibri" w:hAnsi="Calibri" w:cs="Calibri"/>
          <w:sz w:val="24"/>
          <w:szCs w:val="24"/>
        </w:rPr>
        <w:t>HMT have advised that the 2.4 multiplier is not, and is not intended to be,</w:t>
      </w:r>
      <w:r w:rsidRPr="00633EF1">
        <w:rPr>
          <w:rFonts w:ascii="Calibri" w:hAnsi="Calibri" w:cs="Calibri"/>
          <w:sz w:val="24"/>
          <w:szCs w:val="24"/>
        </w:rPr>
        <w:t xml:space="preserve"> a true measure of the opportunity cost of exchequer funding</w:t>
      </w:r>
      <w:r>
        <w:rPr>
          <w:rFonts w:ascii="Calibri" w:hAnsi="Calibri" w:cs="Calibri"/>
          <w:sz w:val="24"/>
          <w:szCs w:val="24"/>
        </w:rPr>
        <w:t>. It should</w:t>
      </w:r>
      <w:r w:rsidRPr="00633EF1">
        <w:rPr>
          <w:rFonts w:ascii="Calibri" w:hAnsi="Calibri" w:cs="Calibri"/>
          <w:sz w:val="24"/>
          <w:szCs w:val="24"/>
        </w:rPr>
        <w:t xml:space="preserve"> not be used outside of the spending optimisation context a</w:t>
      </w:r>
      <w:r>
        <w:rPr>
          <w:rFonts w:ascii="Calibri" w:hAnsi="Calibri" w:cs="Calibri"/>
          <w:sz w:val="24"/>
          <w:szCs w:val="24"/>
        </w:rPr>
        <w:t>nd should not be used, therefore, in regulatory impact assessments.</w:t>
      </w:r>
    </w:p>
    <w:p w:rsidR="00CE5B54" w:rsidRDefault="00CE5B54" w:rsidP="00CE5B54">
      <w:pPr>
        <w:rPr>
          <w:rFonts w:ascii="Calibri" w:hAnsi="Calibri" w:cs="Calibri"/>
          <w:sz w:val="24"/>
          <w:szCs w:val="24"/>
        </w:rPr>
      </w:pPr>
      <w:r>
        <w:rPr>
          <w:sz w:val="24"/>
          <w:szCs w:val="24"/>
        </w:rPr>
        <w:t>The b</w:t>
      </w:r>
      <w:r w:rsidRPr="0024440E">
        <w:rPr>
          <w:sz w:val="24"/>
          <w:szCs w:val="24"/>
        </w:rPr>
        <w:t xml:space="preserve">ox below provides an example where DH received a red rated opinion from the RPC </w:t>
      </w:r>
      <w:r>
        <w:rPr>
          <w:sz w:val="24"/>
          <w:szCs w:val="24"/>
        </w:rPr>
        <w:t>as a result of using a multiplier. The impact assessment was subsequently revised and received a green rating.</w:t>
      </w:r>
    </w:p>
    <w:p w:rsidR="00CE5B54" w:rsidRPr="0024440E" w:rsidRDefault="00CE5B54" w:rsidP="00CE5B54">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rPr>
          <w:sz w:val="24"/>
          <w:szCs w:val="24"/>
        </w:rPr>
      </w:pPr>
      <w:r w:rsidRPr="0024440E">
        <w:rPr>
          <w:b/>
          <w:sz w:val="24"/>
          <w:szCs w:val="24"/>
        </w:rPr>
        <w:lastRenderedPageBreak/>
        <w:t xml:space="preserve">Responsible Officers in the New Health Architecture; Proposals for making the explicit checking of language skills for doctors (DH-1309): </w:t>
      </w:r>
      <w:r w:rsidRPr="0024440E">
        <w:rPr>
          <w:rFonts w:cstheme="minorHAnsi"/>
          <w:color w:val="000000"/>
          <w:sz w:val="24"/>
          <w:szCs w:val="24"/>
        </w:rPr>
        <w:t>Under the Medical Profession (Responsible Officers) Regulations 2010, certain organisations are required to appoint a responsible officer (RO). The department explain</w:t>
      </w:r>
      <w:r>
        <w:rPr>
          <w:rFonts w:cstheme="minorHAnsi"/>
          <w:color w:val="000000"/>
          <w:sz w:val="24"/>
          <w:szCs w:val="24"/>
        </w:rPr>
        <w:t>ed</w:t>
      </w:r>
      <w:r w:rsidRPr="0024440E">
        <w:rPr>
          <w:rFonts w:cstheme="minorHAnsi"/>
          <w:color w:val="000000"/>
          <w:sz w:val="24"/>
          <w:szCs w:val="24"/>
        </w:rPr>
        <w:t xml:space="preserve"> that changes to NHS architecture generated the need to ensure specific bodies involved with the employment of doctors appoint ROs. Additionally, the department state</w:t>
      </w:r>
      <w:r>
        <w:rPr>
          <w:rFonts w:cstheme="minorHAnsi"/>
          <w:color w:val="000000"/>
          <w:sz w:val="24"/>
          <w:szCs w:val="24"/>
        </w:rPr>
        <w:t>d</w:t>
      </w:r>
      <w:r w:rsidRPr="0024440E">
        <w:rPr>
          <w:rFonts w:cstheme="minorHAnsi"/>
          <w:color w:val="000000"/>
          <w:sz w:val="24"/>
          <w:szCs w:val="24"/>
        </w:rPr>
        <w:t xml:space="preserve"> that there was increasing concern </w:t>
      </w:r>
      <w:r>
        <w:rPr>
          <w:rFonts w:cstheme="minorHAnsi"/>
          <w:color w:val="000000"/>
          <w:sz w:val="24"/>
          <w:szCs w:val="24"/>
        </w:rPr>
        <w:t>that patients might</w:t>
      </w:r>
      <w:r w:rsidRPr="0024440E">
        <w:rPr>
          <w:rFonts w:cstheme="minorHAnsi"/>
          <w:color w:val="000000"/>
          <w:sz w:val="24"/>
          <w:szCs w:val="24"/>
        </w:rPr>
        <w:t xml:space="preserve"> be put at risk due to inadequate language skills of some doctors. In response, the department proposed to designate the NHS commissioning board, local authorities and specific bodies involved with the employment of doctors to ensure they appoint ROs and to extend the duties of ROs to include the checking of language skills of doctors. In the impact assessment, all costs were multiplied by a factor of 2.4. As a result, the RPC opinion stated that “the IA must be amended to provide costs without the application of a multiplier”. </w:t>
      </w:r>
    </w:p>
    <w:p w:rsidR="00CE5B54" w:rsidRDefault="00CE5B54" w:rsidP="00CE5B54">
      <w:pPr>
        <w:rPr>
          <w:rFonts w:cstheme="minorHAnsi"/>
          <w:sz w:val="24"/>
          <w:szCs w:val="24"/>
        </w:rPr>
      </w:pPr>
    </w:p>
    <w:p w:rsidR="00CE5B54" w:rsidRPr="00303B8E" w:rsidRDefault="00CE5B54" w:rsidP="00CE5B54">
      <w:pPr>
        <w:rPr>
          <w:rFonts w:cstheme="minorHAnsi"/>
          <w:sz w:val="24"/>
          <w:szCs w:val="24"/>
        </w:rPr>
      </w:pPr>
      <w:r>
        <w:rPr>
          <w:rFonts w:cstheme="minorHAnsi"/>
          <w:sz w:val="24"/>
          <w:szCs w:val="24"/>
        </w:rPr>
        <w:t>In addition, the</w:t>
      </w:r>
      <w:r w:rsidRPr="00303B8E">
        <w:rPr>
          <w:rFonts w:cstheme="minorHAnsi"/>
          <w:sz w:val="24"/>
          <w:szCs w:val="24"/>
        </w:rPr>
        <w:t xml:space="preserve"> “</w:t>
      </w:r>
      <w:r w:rsidRPr="00303B8E">
        <w:rPr>
          <w:rFonts w:cstheme="minorHAnsi"/>
          <w:i/>
          <w:sz w:val="24"/>
          <w:szCs w:val="24"/>
        </w:rPr>
        <w:t>Next Steps for Nursery Milk</w:t>
      </w:r>
      <w:r w:rsidRPr="00303B8E">
        <w:rPr>
          <w:rFonts w:cstheme="minorHAnsi"/>
          <w:sz w:val="24"/>
          <w:szCs w:val="24"/>
        </w:rPr>
        <w:t xml:space="preserve">” (DH-1179) </w:t>
      </w:r>
      <w:r>
        <w:rPr>
          <w:rFonts w:cstheme="minorHAnsi"/>
          <w:sz w:val="24"/>
          <w:szCs w:val="24"/>
        </w:rPr>
        <w:t xml:space="preserve">proposal involved a transfer from </w:t>
      </w:r>
      <w:r w:rsidRPr="00303B8E">
        <w:rPr>
          <w:rFonts w:cstheme="minorHAnsi"/>
          <w:sz w:val="24"/>
          <w:szCs w:val="24"/>
        </w:rPr>
        <w:t xml:space="preserve">business to government. </w:t>
      </w:r>
      <w:r>
        <w:rPr>
          <w:rFonts w:cstheme="minorHAnsi"/>
          <w:sz w:val="24"/>
          <w:szCs w:val="24"/>
        </w:rPr>
        <w:t xml:space="preserve">DH applied the 2.4 multiplier to the resource gain to them on the basis that they could achieve this amount of benefit from it. Thus a proposal consisting largely of a transfer had a significantly positive NPV rather than, as would be intuitive, something close to zero. If the proposal had been submitted from </w:t>
      </w:r>
      <w:proofErr w:type="spellStart"/>
      <w:r>
        <w:rPr>
          <w:rFonts w:cstheme="minorHAnsi"/>
          <w:sz w:val="24"/>
          <w:szCs w:val="24"/>
        </w:rPr>
        <w:t>DfE</w:t>
      </w:r>
      <w:proofErr w:type="spellEnd"/>
      <w:r>
        <w:rPr>
          <w:rFonts w:cstheme="minorHAnsi"/>
          <w:sz w:val="24"/>
          <w:szCs w:val="24"/>
        </w:rPr>
        <w:t>, which does not use such a multiplier, the analysis would have been quite different</w:t>
      </w:r>
      <w:r w:rsidRPr="00303B8E">
        <w:rPr>
          <w:rFonts w:cstheme="minorHAnsi"/>
          <w:sz w:val="24"/>
          <w:szCs w:val="24"/>
        </w:rPr>
        <w:t>.</w:t>
      </w:r>
      <w:r>
        <w:rPr>
          <w:rFonts w:cstheme="minorHAnsi"/>
          <w:sz w:val="24"/>
          <w:szCs w:val="24"/>
        </w:rPr>
        <w:t xml:space="preserve"> </w:t>
      </w:r>
      <w:r w:rsidRPr="00634730">
        <w:rPr>
          <w:rFonts w:cstheme="minorHAnsi"/>
          <w:b/>
          <w:sz w:val="24"/>
          <w:szCs w:val="24"/>
        </w:rPr>
        <w:t>The use of a multiplier can, therefore, lead to inconsistent treatment across government and potentially encourage the placing of additional burdens on business.</w:t>
      </w:r>
      <w:r>
        <w:rPr>
          <w:rFonts w:cstheme="minorHAnsi"/>
          <w:sz w:val="24"/>
          <w:szCs w:val="24"/>
        </w:rPr>
        <w:t xml:space="preserve"> In the nursery milk case, the appropriate approach would have been to not use a multiplier in the RIA but potentially use one in any subsequent DH appraisal of how to use the additional resource, reflecting the fact that this is a separate decision.</w:t>
      </w:r>
      <w:r w:rsidRPr="00303B8E">
        <w:rPr>
          <w:rFonts w:cstheme="minorHAnsi"/>
          <w:color w:val="000000"/>
          <w:sz w:val="24"/>
          <w:szCs w:val="24"/>
        </w:rPr>
        <w:t xml:space="preserve"> </w:t>
      </w:r>
    </w:p>
    <w:p w:rsidR="00CE5B54" w:rsidRDefault="00CE5B54" w:rsidP="00CE5B54">
      <w:pPr>
        <w:spacing w:after="0" w:line="23" w:lineRule="atLeast"/>
        <w:jc w:val="both"/>
        <w:rPr>
          <w:rFonts w:cstheme="minorHAnsi"/>
          <w:sz w:val="24"/>
          <w:szCs w:val="24"/>
        </w:rPr>
      </w:pPr>
    </w:p>
    <w:p w:rsidR="00C5002B" w:rsidRDefault="00C5002B" w:rsidP="00C53004">
      <w:pPr>
        <w:rPr>
          <w:rFonts w:eastAsia="Calibri" w:cstheme="minorHAnsi"/>
          <w:color w:val="000000"/>
          <w:sz w:val="24"/>
          <w:szCs w:val="24"/>
        </w:rPr>
      </w:pPr>
    </w:p>
    <w:p w:rsidR="00833335" w:rsidRDefault="00833335" w:rsidP="00561401">
      <w:pPr>
        <w:rPr>
          <w:b/>
          <w:color w:val="E36C0A" w:themeColor="accent6" w:themeShade="BF"/>
          <w:sz w:val="44"/>
          <w:szCs w:val="44"/>
        </w:rPr>
      </w:pPr>
    </w:p>
    <w:p w:rsidR="00833335" w:rsidRDefault="00833335" w:rsidP="00561401">
      <w:pPr>
        <w:rPr>
          <w:b/>
          <w:color w:val="E36C0A" w:themeColor="accent6" w:themeShade="BF"/>
          <w:sz w:val="44"/>
          <w:szCs w:val="44"/>
        </w:rPr>
      </w:pPr>
    </w:p>
    <w:p w:rsidR="00833335" w:rsidRDefault="00833335" w:rsidP="00561401">
      <w:pPr>
        <w:rPr>
          <w:b/>
          <w:color w:val="E36C0A" w:themeColor="accent6" w:themeShade="BF"/>
          <w:sz w:val="44"/>
          <w:szCs w:val="44"/>
        </w:rPr>
      </w:pPr>
    </w:p>
    <w:p w:rsidR="00833335" w:rsidRDefault="00833335" w:rsidP="00561401">
      <w:pPr>
        <w:rPr>
          <w:b/>
          <w:color w:val="E36C0A" w:themeColor="accent6" w:themeShade="BF"/>
          <w:sz w:val="44"/>
          <w:szCs w:val="44"/>
        </w:rPr>
      </w:pPr>
    </w:p>
    <w:p w:rsidR="00833335" w:rsidRDefault="00833335" w:rsidP="00561401">
      <w:pPr>
        <w:rPr>
          <w:b/>
          <w:color w:val="E36C0A" w:themeColor="accent6" w:themeShade="BF"/>
          <w:sz w:val="44"/>
          <w:szCs w:val="44"/>
        </w:rPr>
      </w:pPr>
    </w:p>
    <w:p w:rsidR="00561401" w:rsidRPr="00812C5B" w:rsidRDefault="00B30582" w:rsidP="00561401">
      <w:pPr>
        <w:rPr>
          <w:b/>
          <w:color w:val="E36C0A" w:themeColor="accent6" w:themeShade="BF"/>
          <w:sz w:val="44"/>
          <w:szCs w:val="44"/>
        </w:rPr>
      </w:pPr>
      <w:r w:rsidRPr="00812C5B">
        <w:rPr>
          <w:b/>
          <w:color w:val="E36C0A" w:themeColor="accent6" w:themeShade="BF"/>
          <w:sz w:val="44"/>
          <w:szCs w:val="44"/>
        </w:rPr>
        <w:lastRenderedPageBreak/>
        <w:t>Part III</w:t>
      </w:r>
      <w:r w:rsidR="00561401" w:rsidRPr="00812C5B">
        <w:rPr>
          <w:b/>
          <w:color w:val="E36C0A" w:themeColor="accent6" w:themeShade="BF"/>
          <w:sz w:val="44"/>
          <w:szCs w:val="44"/>
        </w:rPr>
        <w:t>: Post Implementation Reviews</w:t>
      </w:r>
    </w:p>
    <w:p w:rsidR="00CE5B54" w:rsidRPr="00954F16" w:rsidRDefault="00CE5B54" w:rsidP="00CE5B54">
      <w:pPr>
        <w:rPr>
          <w:sz w:val="24"/>
          <w:szCs w:val="24"/>
        </w:rPr>
      </w:pPr>
      <w:r w:rsidRPr="00954F16">
        <w:rPr>
          <w:sz w:val="24"/>
          <w:szCs w:val="24"/>
        </w:rPr>
        <w:t>The aim of this section is to provide practical advice on the key analytical questions to consider when undertaking a post-implementation review (PIR). It outlines a proportionate approach to the evidence and analysis used to evaluate the impacts of a regulatory change, and to support a department’s preferred option.</w:t>
      </w:r>
    </w:p>
    <w:p w:rsidR="00CE5B54" w:rsidRPr="00954F16" w:rsidRDefault="00CE5B54" w:rsidP="00CE5B54">
      <w:pPr>
        <w:rPr>
          <w:rFonts w:cstheme="minorHAnsi"/>
          <w:b/>
          <w:color w:val="984806" w:themeColor="accent6" w:themeShade="80"/>
          <w:sz w:val="28"/>
          <w:szCs w:val="28"/>
        </w:rPr>
      </w:pPr>
      <w:r>
        <w:rPr>
          <w:rFonts w:cstheme="minorHAnsi"/>
          <w:b/>
          <w:color w:val="984806" w:themeColor="accent6" w:themeShade="80"/>
          <w:sz w:val="28"/>
          <w:szCs w:val="28"/>
        </w:rPr>
        <w:t>Framework</w:t>
      </w:r>
    </w:p>
    <w:p w:rsidR="00CE5B54" w:rsidRPr="00954F16" w:rsidRDefault="00CE5B54" w:rsidP="00CE5B54">
      <w:pPr>
        <w:rPr>
          <w:sz w:val="24"/>
          <w:szCs w:val="24"/>
        </w:rPr>
      </w:pPr>
      <w:r w:rsidRPr="00954F16">
        <w:rPr>
          <w:sz w:val="24"/>
          <w:szCs w:val="24"/>
        </w:rPr>
        <w:t>This section is structured around the four analytical questions in the diagram below. These draw on the framework in ‘Figure 6: PIR Questions’ of the Cross-Government Evaluation Group guidance</w:t>
      </w:r>
      <w:r>
        <w:rPr>
          <w:sz w:val="24"/>
          <w:szCs w:val="24"/>
        </w:rPr>
        <w:t>.</w:t>
      </w:r>
      <w:r w:rsidRPr="00954F16">
        <w:rPr>
          <w:rStyle w:val="FootnoteReference"/>
          <w:sz w:val="24"/>
          <w:szCs w:val="24"/>
        </w:rPr>
        <w:footnoteReference w:id="12"/>
      </w:r>
      <w:r w:rsidRPr="00954F16">
        <w:rPr>
          <w:sz w:val="24"/>
          <w:szCs w:val="24"/>
        </w:rPr>
        <w:t xml:space="preserve"> Thi</w:t>
      </w:r>
      <w:r w:rsidR="001A4D3D">
        <w:rPr>
          <w:sz w:val="24"/>
          <w:szCs w:val="24"/>
        </w:rPr>
        <w:t>s is also presented as ‘Figure 3</w:t>
      </w:r>
      <w:r w:rsidRPr="00954F16">
        <w:rPr>
          <w:sz w:val="24"/>
          <w:szCs w:val="24"/>
        </w:rPr>
        <w:t>.2B: Overview of PIR questions and possible review outcomes’ in the draft new BRFM.</w:t>
      </w:r>
    </w:p>
    <w:tbl>
      <w:tblPr>
        <w:tblpPr w:leftFromText="180" w:rightFromText="180" w:vertAnchor="text" w:horzAnchor="margin" w:tblpXSpec="center" w:tblpY="431"/>
        <w:tblW w:w="0" w:type="auto"/>
        <w:tbl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insideH w:val="single" w:sz="12" w:space="0" w:color="984806" w:themeColor="accent6" w:themeShade="80"/>
          <w:insideV w:val="single" w:sz="12" w:space="0" w:color="984806" w:themeColor="accent6" w:themeShade="80"/>
        </w:tblBorders>
        <w:tblLook w:val="04A0" w:firstRow="1" w:lastRow="0" w:firstColumn="1" w:lastColumn="0" w:noHBand="0" w:noVBand="1"/>
      </w:tblPr>
      <w:tblGrid>
        <w:gridCol w:w="6008"/>
      </w:tblGrid>
      <w:tr w:rsidR="00CE5B54" w:rsidRPr="00FC4789" w:rsidTr="006412DA">
        <w:trPr>
          <w:trHeight w:val="452"/>
        </w:trPr>
        <w:tc>
          <w:tcPr>
            <w:tcW w:w="6008" w:type="dxa"/>
            <w:shd w:val="clear" w:color="auto" w:fill="FABF8F" w:themeFill="accent6" w:themeFillTint="99"/>
          </w:tcPr>
          <w:p w:rsidR="00CE5B54" w:rsidRPr="00FC4789" w:rsidRDefault="00CE5B54" w:rsidP="00CE5B54">
            <w:pPr>
              <w:pStyle w:val="ListParagraph"/>
              <w:numPr>
                <w:ilvl w:val="0"/>
                <w:numId w:val="47"/>
              </w:numPr>
              <w:spacing w:after="0"/>
              <w:rPr>
                <w:rFonts w:ascii="Calibri" w:hAnsi="Calibri" w:cs="Arial"/>
                <w:b/>
              </w:rPr>
            </w:pPr>
            <w:r w:rsidRPr="00FC4789">
              <w:rPr>
                <w:rFonts w:ascii="Calibri" w:hAnsi="Calibri" w:cs="Arial"/>
                <w:b/>
              </w:rPr>
              <w:t>To what extent is existing regulation working?</w:t>
            </w:r>
          </w:p>
        </w:tc>
      </w:tr>
    </w:tbl>
    <w:p w:rsidR="00CE5B54" w:rsidRPr="000866DE" w:rsidRDefault="00CE5B54" w:rsidP="00CE5B54">
      <w:pPr>
        <w:rPr>
          <w:rFonts w:ascii="Calibri" w:hAnsi="Calibri"/>
          <w:b/>
        </w:rPr>
      </w:pPr>
    </w:p>
    <w:p w:rsidR="00CE5B54" w:rsidRDefault="00CE5B54" w:rsidP="00CE5B54">
      <w:pPr>
        <w:autoSpaceDE w:val="0"/>
        <w:autoSpaceDN w:val="0"/>
        <w:adjustRightInd w:val="0"/>
        <w:rPr>
          <w:rFonts w:ascii="Calibri" w:hAnsi="Calibri" w:cs="Arial"/>
          <w:color w:val="000000"/>
        </w:rPr>
      </w:pPr>
      <w:r>
        <w:rPr>
          <w:noProof/>
          <w:lang w:eastAsia="en-GB"/>
        </w:rPr>
        <mc:AlternateContent>
          <mc:Choice Requires="wps">
            <w:drawing>
              <wp:anchor distT="0" distB="0" distL="114300" distR="114300" simplePos="0" relativeHeight="251719680" behindDoc="0" locked="0" layoutInCell="1" allowOverlap="1" wp14:anchorId="62DCD6CB" wp14:editId="4D2907DC">
                <wp:simplePos x="0" y="0"/>
                <wp:positionH relativeFrom="column">
                  <wp:posOffset>2616200</wp:posOffset>
                </wp:positionH>
                <wp:positionV relativeFrom="paragraph">
                  <wp:posOffset>317500</wp:posOffset>
                </wp:positionV>
                <wp:extent cx="438785" cy="314325"/>
                <wp:effectExtent l="38100" t="0" r="0" b="47625"/>
                <wp:wrapNone/>
                <wp:docPr id="20" name="Down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785" cy="314325"/>
                        </a:xfrm>
                        <a:prstGeom prst="downArrow">
                          <a:avLst/>
                        </a:prstGeom>
                        <a:solidFill>
                          <a:schemeClr val="accent6">
                            <a:lumMod val="60000"/>
                            <a:lumOff val="40000"/>
                          </a:schemeClr>
                        </a:solidFill>
                        <a:ln w="12700" cap="flat" cmpd="sng" algn="ctr">
                          <a:solidFill>
                            <a:schemeClr val="accent6">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0" o:spid="_x0000_s1026" type="#_x0000_t67" style="position:absolute;margin-left:206pt;margin-top:25pt;width:34.55pt;height:24.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2zfmgIAAHYFAAAOAAAAZHJzL2Uyb0RvYy54bWysVNtOGzEQfa/Uf7D8XjYJCaQrNigioqqU&#10;AhJUPA9eb2LV9ri2kw39+o69mxBoVVVV98HyXDyXs2fm4nJnNNtKHxTaig9PBpxJK7BWdlXxrw/X&#10;H6achQi2Bo1WVvxZBn45e//uonWlHOEadS09oyA2lK2r+DpGVxZFEGtpIJygk5aMDXoDkUS/KmoP&#10;LUU3uhgNBmdFi752HoUMgbSLzshnOX7TSBFvmybIyHTFqbaYT5/Pp3QWswsoVx7cWom+DPiHKgwo&#10;S0kPoRYQgW28+iWUUcJjwCaeCDQFNo0SMvdA3QwHb7q5X4OTuRcCJ7gDTOH/hRU32zvPVF3xEcFj&#10;wdA/WmBr2dx7bBkpCaHWhZIc792dTz0Gt0TxLZCheGVJQuh9do03yZc6ZLsM9/MBbrmLTJByfDo9&#10;n044E2Q6HY5PR5OUrIBy/9j5ED9JNCxdKl5TXbmsjDRslyF2/nu/XBxqVV8rrbOQaCSvtGdbIAKA&#10;ENLGs/xcb8wXrDv92YC+jgqkJsJ06vFeTSVlQqZIucBwnERb1hL1R+cUgwkgEjcaIl2NI1iDXXEG&#10;ekXTIaLPqV+9PgT+c4mTv6slIbGAsO6C5URdX0ZFmjOtTMWnKVRul/rSNuEk86T0eL78xnR7wvqZ&#10;GOKxG53gxLWiJEsI8Q48zQo1TfMfb+loNBIS2N84W6P/8Tt98icKk5WzlmaPUPq+AS85058tkfvj&#10;cDxOw5qF8eQ8UdMfW56OLXZjrpD+7pA2jRP5mvyj3l8bj+aR1sQ8ZSUTWEG5u//RC1ex2wm0aISc&#10;z7MbDaiDuLT3TqTgCacE78PuEbzrKRmJyze4n1Mo35Cy800vLc43ERuVGfuCaz9CNNyZV/0iStvj&#10;WM5eL+ty9hMAAP//AwBQSwMEFAAGAAgAAAAhAKmYBD7hAAAACQEAAA8AAABkcnMvZG93bnJldi54&#10;bWxMj8FOwzAQRO9I/IO1SNyok6qFNGRTFSQulTgQUNXe3HhJIux1iN02+XvMCU6j1Yxm3xTr0Rpx&#10;psF3jhHSWQKCuHa64wbh4/3lLgPhg2KtjGNCmMjDury+KlSu3YXf6FyFRsQS9rlCaEPocyl93ZJV&#10;fuZ64uh9usGqEM+hkXpQl1hujZwnyb20quP4oVU9PbdUf1Uni7DdP31XnO22vPeTyQ6v0/iwqRBv&#10;b8bNI4hAY/gLwy9+RIcyMh3dibUXBmGRzuOWgLBMosbAIktTEEeE1WoJsizk/wXlDwAAAP//AwBQ&#10;SwECLQAUAAYACAAAACEAtoM4kv4AAADhAQAAEwAAAAAAAAAAAAAAAAAAAAAAW0NvbnRlbnRfVHlw&#10;ZXNdLnhtbFBLAQItABQABgAIAAAAIQA4/SH/1gAAAJQBAAALAAAAAAAAAAAAAAAAAC8BAABfcmVs&#10;cy8ucmVsc1BLAQItABQABgAIAAAAIQD272zfmgIAAHYFAAAOAAAAAAAAAAAAAAAAAC4CAABkcnMv&#10;ZTJvRG9jLnhtbFBLAQItABQABgAIAAAAIQCpmAQ+4QAAAAkBAAAPAAAAAAAAAAAAAAAAAPQEAABk&#10;cnMvZG93bnJldi54bWxQSwUGAAAAAAQABADzAAAAAgYAAAAA&#10;" adj="10800" fillcolor="#fabf8f [1945]" strokecolor="#974706 [1609]" strokeweight="1pt">
                <v:path arrowok="t"/>
              </v:shape>
            </w:pict>
          </mc:Fallback>
        </mc:AlternateContent>
      </w:r>
    </w:p>
    <w:tbl>
      <w:tblPr>
        <w:tblpPr w:leftFromText="180" w:rightFromText="180" w:vertAnchor="text" w:horzAnchor="margin" w:tblpXSpec="center" w:tblpY="591"/>
        <w:tblW w:w="0" w:type="auto"/>
        <w:tbl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insideH w:val="single" w:sz="12" w:space="0" w:color="984806" w:themeColor="accent6" w:themeShade="80"/>
          <w:insideV w:val="single" w:sz="12" w:space="0" w:color="984806" w:themeColor="accent6" w:themeShade="80"/>
        </w:tblBorders>
        <w:tblLook w:val="04A0" w:firstRow="1" w:lastRow="0" w:firstColumn="1" w:lastColumn="0" w:noHBand="0" w:noVBand="1"/>
      </w:tblPr>
      <w:tblGrid>
        <w:gridCol w:w="5986"/>
      </w:tblGrid>
      <w:tr w:rsidR="00CE5B54" w:rsidRPr="00FC4789" w:rsidTr="006412DA">
        <w:trPr>
          <w:trHeight w:val="402"/>
        </w:trPr>
        <w:tc>
          <w:tcPr>
            <w:tcW w:w="5986" w:type="dxa"/>
            <w:shd w:val="clear" w:color="auto" w:fill="FABF8F" w:themeFill="accent6" w:themeFillTint="99"/>
          </w:tcPr>
          <w:p w:rsidR="00CE5B54" w:rsidRPr="00FC4789" w:rsidRDefault="00CE5B54" w:rsidP="00CE5B54">
            <w:pPr>
              <w:pStyle w:val="ListParagraph"/>
              <w:numPr>
                <w:ilvl w:val="0"/>
                <w:numId w:val="48"/>
              </w:numPr>
              <w:spacing w:after="0"/>
              <w:rPr>
                <w:rFonts w:ascii="Calibri" w:hAnsi="Calibri" w:cs="Arial"/>
                <w:b/>
              </w:rPr>
            </w:pPr>
            <w:r>
              <w:rPr>
                <w:rFonts w:ascii="Calibri" w:hAnsi="Calibri" w:cs="Arial"/>
                <w:b/>
              </w:rPr>
              <w:t>Is government intervention still required?</w:t>
            </w:r>
          </w:p>
        </w:tc>
      </w:tr>
    </w:tbl>
    <w:tbl>
      <w:tblPr>
        <w:tblpPr w:leftFromText="180" w:rightFromText="180" w:vertAnchor="text" w:horzAnchor="margin" w:tblpXSpec="center" w:tblpY="1944"/>
        <w:tblW w:w="0" w:type="auto"/>
        <w:tbl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insideH w:val="single" w:sz="12" w:space="0" w:color="984806" w:themeColor="accent6" w:themeShade="80"/>
          <w:insideV w:val="single" w:sz="12" w:space="0" w:color="984806" w:themeColor="accent6" w:themeShade="80"/>
        </w:tblBorders>
        <w:tblLook w:val="04A0" w:firstRow="1" w:lastRow="0" w:firstColumn="1" w:lastColumn="0" w:noHBand="0" w:noVBand="1"/>
      </w:tblPr>
      <w:tblGrid>
        <w:gridCol w:w="6065"/>
      </w:tblGrid>
      <w:tr w:rsidR="00CE5B54" w:rsidRPr="00FC4789" w:rsidTr="006412DA">
        <w:trPr>
          <w:trHeight w:val="296"/>
        </w:trPr>
        <w:tc>
          <w:tcPr>
            <w:tcW w:w="6065" w:type="dxa"/>
            <w:shd w:val="clear" w:color="auto" w:fill="FABF8F" w:themeFill="accent6" w:themeFillTint="99"/>
          </w:tcPr>
          <w:p w:rsidR="00CE5B54" w:rsidRPr="00FC4789" w:rsidRDefault="00CE5B54" w:rsidP="00CE5B54">
            <w:pPr>
              <w:pStyle w:val="ListParagraph"/>
              <w:numPr>
                <w:ilvl w:val="0"/>
                <w:numId w:val="49"/>
              </w:numPr>
              <w:spacing w:after="0"/>
              <w:rPr>
                <w:rFonts w:ascii="Calibri" w:hAnsi="Calibri" w:cs="Arial"/>
                <w:b/>
              </w:rPr>
            </w:pPr>
            <w:r w:rsidRPr="00FC4789">
              <w:rPr>
                <w:rFonts w:ascii="Calibri" w:hAnsi="Calibri" w:cs="Arial"/>
                <w:b/>
              </w:rPr>
              <w:t xml:space="preserve">Is </w:t>
            </w:r>
            <w:r>
              <w:rPr>
                <w:rFonts w:ascii="Calibri" w:hAnsi="Calibri" w:cs="Arial"/>
                <w:b/>
              </w:rPr>
              <w:t>the existing form of government regulation still the most appropriate approach?</w:t>
            </w:r>
          </w:p>
        </w:tc>
      </w:tr>
    </w:tbl>
    <w:tbl>
      <w:tblPr>
        <w:tblpPr w:leftFromText="180" w:rightFromText="180" w:vertAnchor="text" w:horzAnchor="margin" w:tblpXSpec="center" w:tblpY="3646"/>
        <w:tblW w:w="0" w:type="auto"/>
        <w:tbl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insideH w:val="single" w:sz="12" w:space="0" w:color="984806" w:themeColor="accent6" w:themeShade="80"/>
          <w:insideV w:val="single" w:sz="12" w:space="0" w:color="984806" w:themeColor="accent6" w:themeShade="80"/>
        </w:tblBorders>
        <w:tblLook w:val="04A0" w:firstRow="1" w:lastRow="0" w:firstColumn="1" w:lastColumn="0" w:noHBand="0" w:noVBand="1"/>
      </w:tblPr>
      <w:tblGrid>
        <w:gridCol w:w="5976"/>
      </w:tblGrid>
      <w:tr w:rsidR="00CE5B54" w:rsidRPr="00FC4789" w:rsidTr="006412DA">
        <w:trPr>
          <w:trHeight w:val="552"/>
        </w:trPr>
        <w:tc>
          <w:tcPr>
            <w:tcW w:w="5976" w:type="dxa"/>
            <w:shd w:val="clear" w:color="auto" w:fill="FABF8F" w:themeFill="accent6" w:themeFillTint="99"/>
          </w:tcPr>
          <w:p w:rsidR="00CE5B54" w:rsidRPr="00F371C4" w:rsidRDefault="00CE5B54" w:rsidP="00CE5B54">
            <w:pPr>
              <w:pStyle w:val="ListParagraph"/>
              <w:numPr>
                <w:ilvl w:val="0"/>
                <w:numId w:val="50"/>
              </w:numPr>
              <w:spacing w:after="0"/>
              <w:rPr>
                <w:rFonts w:ascii="Calibri" w:hAnsi="Calibri" w:cs="Arial"/>
                <w:b/>
              </w:rPr>
            </w:pPr>
            <w:r>
              <w:rPr>
                <w:rFonts w:ascii="Calibri" w:hAnsi="Calibri" w:cs="Arial"/>
                <w:b/>
              </w:rPr>
              <w:t>What is the most appropriate option going forward?</w:t>
            </w:r>
          </w:p>
        </w:tc>
      </w:tr>
    </w:tbl>
    <w:p w:rsidR="00CE5B54" w:rsidRPr="0064636C" w:rsidRDefault="00CE5B54" w:rsidP="00CE5B54">
      <w:pPr>
        <w:spacing w:after="0"/>
        <w:rPr>
          <w:rFonts w:ascii="Calibri" w:hAnsi="Calibri" w:cs="Arial"/>
          <w:color w:val="000000"/>
          <w:u w:val="single"/>
        </w:rPr>
      </w:pPr>
      <w:r>
        <w:rPr>
          <w:noProof/>
          <w:lang w:eastAsia="en-GB"/>
        </w:rPr>
        <mc:AlternateContent>
          <mc:Choice Requires="wps">
            <w:drawing>
              <wp:anchor distT="0" distB="0" distL="114300" distR="114300" simplePos="0" relativeHeight="251721728" behindDoc="0" locked="0" layoutInCell="1" allowOverlap="1" wp14:anchorId="697E36A1" wp14:editId="2A02B866">
                <wp:simplePos x="0" y="0"/>
                <wp:positionH relativeFrom="column">
                  <wp:posOffset>2657475</wp:posOffset>
                </wp:positionH>
                <wp:positionV relativeFrom="paragraph">
                  <wp:posOffset>1816100</wp:posOffset>
                </wp:positionV>
                <wp:extent cx="438785" cy="314325"/>
                <wp:effectExtent l="38100" t="0" r="0" b="47625"/>
                <wp:wrapNone/>
                <wp:docPr id="21" name="Down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785" cy="314325"/>
                        </a:xfrm>
                        <a:prstGeom prst="downArrow">
                          <a:avLst/>
                        </a:prstGeom>
                        <a:solidFill>
                          <a:schemeClr val="accent6">
                            <a:lumMod val="60000"/>
                            <a:lumOff val="40000"/>
                          </a:schemeClr>
                        </a:solidFill>
                        <a:ln w="12700" cap="flat" cmpd="sng" algn="ctr">
                          <a:solidFill>
                            <a:schemeClr val="accent6">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21" o:spid="_x0000_s1026" type="#_x0000_t67" style="position:absolute;margin-left:209.25pt;margin-top:143pt;width:34.55pt;height:24.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Dj9mgIAAHYFAAAOAAAAZHJzL2Uyb0RvYy54bWysVNtOGzEQfa/Uf7D8XjYJCaQrNigioqqU&#10;AhJUPA9eb2LV9ri2kw39+o69mxBoVVVV98HyXDyXs2fm4nJnNNtKHxTaig9PBpxJK7BWdlXxrw/X&#10;H6achQi2Bo1WVvxZBn45e//uonWlHOEadS09oyA2lK2r+DpGVxZFEGtpIJygk5aMDXoDkUS/KmoP&#10;LUU3uhgNBmdFi752HoUMgbSLzshnOX7TSBFvmybIyHTFqbaYT5/Pp3QWswsoVx7cWom+DPiHKgwo&#10;S0kPoRYQgW28+iWUUcJjwCaeCDQFNo0SMvdA3QwHb7q5X4OTuRcCJ7gDTOH/hRU32zvPVF3x0ZAz&#10;C4b+0QJby+beY8tISQi1LpTkeO/ufOoxuCWKb4EMxStLEkLvs2u8Sb7UIdtluJ8PcMtdZIKU49Pp&#10;+XTCmSDT6XB8OpqkZAWU+8fOh/hJomHpUvGa6splZaRhuwyx89/75eJQq/paaZ2FRCN5pT3bAhEA&#10;hJA2nuXnemO+YN3pzwb0dVQgNRGmU4/3aiopEzJFygWG4yTaspaoPzqnGEwAkbjREOlqHMEa7Ioz&#10;0CuaDhF9Tv3q9SHwn0uc/F0tCYkFhHUXLCfq+jIq0pxpZSo+TaFyu9SXtgknmSelx/PlN6bbE9bP&#10;xBCP3egEJ64VJVlCiHfgaVaoaZr/eEtHo5GQwP7G2Rr9j9/pkz9RmKyctTR7hNL3DXjJmf5sidwf&#10;h+NxGtYsjCfnIxL8seXp2GI35grp7xJ/qbp8Tf5R76+NR/NIa2KespIJrKDc3f/ohavY7QRaNELO&#10;59mNBtRBXNp7J1LwhFOC92H3CN71lIzE5RvczymUb0jZ+aaXFuebiI3KjH3BtR8hGu7Mq34Rpe1x&#10;LGevl3U5+wkAAP//AwBQSwMEFAAGAAgAAAAhAHmWm5HiAAAACwEAAA8AAABkcnMvZG93bnJldi54&#10;bWxMj8tOwzAQRfdI/IM1SOyo00dSK2RSFSQ2lVg0IFR2bmySCHscYrdN/r5mBcvRHN17brEZrWFn&#10;PfjOEcJ8lgDTVDvVUYPw/vbyIID5IElJ40gjTNrDpry9KWSu3IX2+lyFhsUQ8rlEaEPoc8593Wor&#10;/cz1muLvyw1WhngODVeDvMRwa/giSTJuZUexoZW9fm51/V2dLMLu8PRTkfjY0cFPRny+TuN6WyHe&#10;343bR2BBj+EPhl/9qA5ldDq6EynPDMJqLtKIIixEFkdFYiXWGbAjwnKZpsDLgv/fUF4BAAD//wMA&#10;UEsBAi0AFAAGAAgAAAAhALaDOJL+AAAA4QEAABMAAAAAAAAAAAAAAAAAAAAAAFtDb250ZW50X1R5&#10;cGVzXS54bWxQSwECLQAUAAYACAAAACEAOP0h/9YAAACUAQAACwAAAAAAAAAAAAAAAAAvAQAAX3Jl&#10;bHMvLnJlbHNQSwECLQAUAAYACAAAACEA3Dg4/ZoCAAB2BQAADgAAAAAAAAAAAAAAAAAuAgAAZHJz&#10;L2Uyb0RvYy54bWxQSwECLQAUAAYACAAAACEAeZabkeIAAAALAQAADwAAAAAAAAAAAAAAAAD0BAAA&#10;ZHJzL2Rvd25yZXYueG1sUEsFBgAAAAAEAAQA8wAAAAMGAAAAAA==&#10;" adj="10800" fillcolor="#fabf8f [1945]" strokecolor="#974706 [1609]" strokeweight="1pt">
                <v:path arrowok="t"/>
              </v:shape>
            </w:pict>
          </mc:Fallback>
        </mc:AlternateContent>
      </w:r>
      <w:r>
        <w:rPr>
          <w:noProof/>
          <w:lang w:eastAsia="en-GB"/>
        </w:rPr>
        <mc:AlternateContent>
          <mc:Choice Requires="wps">
            <w:drawing>
              <wp:anchor distT="0" distB="0" distL="114300" distR="114300" simplePos="0" relativeHeight="251720704" behindDoc="0" locked="0" layoutInCell="1" allowOverlap="1" wp14:anchorId="4568E8D6" wp14:editId="64B93407">
                <wp:simplePos x="0" y="0"/>
                <wp:positionH relativeFrom="column">
                  <wp:posOffset>2625090</wp:posOffset>
                </wp:positionH>
                <wp:positionV relativeFrom="paragraph">
                  <wp:posOffset>811530</wp:posOffset>
                </wp:positionV>
                <wp:extent cx="438785" cy="314325"/>
                <wp:effectExtent l="38100" t="0" r="0" b="47625"/>
                <wp:wrapNone/>
                <wp:docPr id="22" name="Down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785" cy="314325"/>
                        </a:xfrm>
                        <a:prstGeom prst="downArrow">
                          <a:avLst/>
                        </a:prstGeom>
                        <a:solidFill>
                          <a:schemeClr val="accent6">
                            <a:lumMod val="60000"/>
                            <a:lumOff val="40000"/>
                          </a:schemeClr>
                        </a:solidFill>
                        <a:ln w="12700" cap="flat" cmpd="sng" algn="ctr">
                          <a:solidFill>
                            <a:schemeClr val="accent6">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22" o:spid="_x0000_s1026" type="#_x0000_t67" style="position:absolute;margin-left:206.7pt;margin-top:63.9pt;width:34.55pt;height:24.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WbmwIAAHYFAAAOAAAAZHJzL2Uyb0RvYy54bWysVG1P2zAQ/j5p/8Hy95E2tNBFpKiiYprU&#10;ARJMfD4cp4lm+zzbbcp+/c5OWgqbpmlaPli+F9/Lk+fu4nKnFdtK51s0JR+fjDiTRmDVmnXJvz5c&#10;f5hx5gOYChQaWfJn6fnl/P27i84WMscGVSUdoyDGF50teROCLbLMi0Zq8CdopSFjjU5DINGts8pB&#10;R9G1yvLR6Czr0FXWoZDek3bZG/k8xa9rKcJtXXsZmCo51RbS6dL5FM9sfgHF2oFtWjGUAf9QhYbW&#10;UNJDqCUEYBvX/hJKt8KhxzqcCNQZ1nUrZOqBuhmP3nRz34CVqRcCx9sDTP7/hRU32zvH2qrkec6Z&#10;AU3/aImdYQvnsGOkJIQ66wtyvLd3Lvbo7QrFN0+G7JUlCn7w2dVOR1/qkO0S3M8HuOUuMEHKyens&#10;fDblTJDpdDw5zacxWQbF/rF1PnySqFm8lLyiulJZCWnYrnzo/fd+qThUbXXdKpWESCN5pRzbAhEA&#10;hJAmnKXnaqO/YNXrz0b09VQgNRGmV0/2aiopETJGSgX64yTKsI6on59TDCaASFwrCHTVlmD1Zs0Z&#10;qDVNhwgupX71+hD4zyVO/66WiMQSfNMHS4n6vnQbaM5Uq0s+i6FSu9SXMhEnmSZlwPPlN8bbE1bP&#10;xBCH/eh4K65bSrICH+7A0axQ0zT/4ZaOWiEhgcONswbdj9/poz9RmKycdTR7hNL3DTjJmfpsiNwf&#10;x5NJHNYkTKbnOQnu2PJ0bDEbfYX0d8e0aaxI1+gf1P5aO9SPtCYWMSuZwAjK3f+PQbgK/U6gRSPk&#10;YpHcaEAthJW5tyIGjzhFeB92j+DsQMlAXL7B/ZxC8YaUvW98aXCxCVi3ibEvuA4jRMOdeDUsorg9&#10;juXk9bIu5z8BAAD//wMAUEsDBBQABgAIAAAAIQBU66QK4QAAAAsBAAAPAAAAZHJzL2Rvd25yZXYu&#10;eG1sTI9BT4NAEIXvJv6HzZh4s0spCqEsTTXx0sSDaEy9bdkpENlZZLct/HvHkx7nvS9v3is2k+3F&#10;GUffOVKwXEQgkGpnOmoUvL8932UgfNBkdO8IFczoYVNeXxU6N+5Cr3iuQiM4hHyuFbQhDLmUvm7R&#10;ar9wAxJ7RzdaHfgcG2lGfeFw28s4ih6k1R3xh1YP+NRi/VWdrILd/vG7ouxjR3s/99nnyzyl20qp&#10;25tpuwYRcAp/MPzW5+pQcqeDO5HxoleQLFcJo2zEKW9gIsniexAHVtJ0BbIs5P8N5Q8AAAD//wMA&#10;UEsBAi0AFAAGAAgAAAAhALaDOJL+AAAA4QEAABMAAAAAAAAAAAAAAAAAAAAAAFtDb250ZW50X1R5&#10;cGVzXS54bWxQSwECLQAUAAYACAAAACEAOP0h/9YAAACUAQAACwAAAAAAAAAAAAAAAAAvAQAAX3Jl&#10;bHMvLnJlbHNQSwECLQAUAAYACAAAACEAokHFm5sCAAB2BQAADgAAAAAAAAAAAAAAAAAuAgAAZHJz&#10;L2Uyb0RvYy54bWxQSwECLQAUAAYACAAAACEAVOukCuEAAAALAQAADwAAAAAAAAAAAAAAAAD1BAAA&#10;ZHJzL2Rvd25yZXYueG1sUEsFBgAAAAAEAAQA8wAAAAMGAAAAAA==&#10;" adj="10800" fillcolor="#fabf8f [1945]" strokecolor="#974706 [1609]" strokeweight="1pt">
                <v:path arrowok="t"/>
              </v:shape>
            </w:pict>
          </mc:Fallback>
        </mc:AlternateContent>
      </w:r>
      <w:r>
        <w:rPr>
          <w:rFonts w:ascii="Calibri" w:hAnsi="Calibri" w:cs="Arial"/>
          <w:color w:val="000000"/>
        </w:rPr>
        <w:br w:type="page"/>
      </w:r>
    </w:p>
    <w:p w:rsidR="00CE5B54" w:rsidRPr="00F558DE" w:rsidRDefault="00CE5B54" w:rsidP="00CE5B54">
      <w:pPr>
        <w:pStyle w:val="ListParagraph"/>
        <w:numPr>
          <w:ilvl w:val="0"/>
          <w:numId w:val="39"/>
        </w:numPr>
        <w:spacing w:after="0" w:line="240" w:lineRule="auto"/>
        <w:rPr>
          <w:rFonts w:cstheme="minorHAnsi"/>
          <w:b/>
          <w:color w:val="984806" w:themeColor="accent6" w:themeShade="80"/>
          <w:sz w:val="28"/>
          <w:szCs w:val="28"/>
        </w:rPr>
      </w:pPr>
      <w:r w:rsidRPr="00F558DE">
        <w:rPr>
          <w:rFonts w:cstheme="minorHAnsi"/>
          <w:b/>
          <w:color w:val="984806" w:themeColor="accent6" w:themeShade="80"/>
          <w:sz w:val="28"/>
          <w:szCs w:val="28"/>
        </w:rPr>
        <w:lastRenderedPageBreak/>
        <w:t>To what extent is existing regulation working?</w:t>
      </w:r>
    </w:p>
    <w:p w:rsidR="00CE5B54" w:rsidRPr="00F81CED" w:rsidRDefault="00CE5B54" w:rsidP="00CE5B54">
      <w:pPr>
        <w:pStyle w:val="ListParagraph"/>
        <w:rPr>
          <w:rFonts w:cstheme="minorHAnsi"/>
          <w:b/>
          <w:color w:val="984806" w:themeColor="accent6" w:themeShade="80"/>
          <w:sz w:val="28"/>
          <w:szCs w:val="28"/>
        </w:rPr>
      </w:pPr>
    </w:p>
    <w:p w:rsidR="00CE5B54" w:rsidRPr="00954F16" w:rsidRDefault="00CE5B54" w:rsidP="00CE5B54">
      <w:pPr>
        <w:rPr>
          <w:rFonts w:ascii="Calibri" w:hAnsi="Calibri" w:cs="Arial"/>
          <w:color w:val="000000"/>
          <w:sz w:val="24"/>
          <w:szCs w:val="24"/>
        </w:rPr>
      </w:pPr>
      <w:r w:rsidRPr="00954F16">
        <w:rPr>
          <w:rFonts w:ascii="Calibri" w:hAnsi="Calibri" w:cs="Arial"/>
          <w:color w:val="000000"/>
          <w:sz w:val="24"/>
          <w:szCs w:val="24"/>
        </w:rPr>
        <w:t>Whether the policy objective is being achieved is perhaps the most important question of all.  The following sub-questions provide guidance on the areas a PIR should cover to address this.</w:t>
      </w:r>
    </w:p>
    <w:p w:rsidR="00CE5B54" w:rsidRPr="00F558DE" w:rsidRDefault="00CE5B54" w:rsidP="00712F8E">
      <w:pPr>
        <w:pStyle w:val="ListParagraph"/>
        <w:numPr>
          <w:ilvl w:val="1"/>
          <w:numId w:val="39"/>
        </w:numPr>
        <w:spacing w:after="0" w:line="240" w:lineRule="auto"/>
        <w:ind w:left="709" w:hanging="425"/>
        <w:rPr>
          <w:rFonts w:ascii="Calibri" w:hAnsi="Calibri" w:cs="Arial"/>
          <w:b/>
          <w:color w:val="000000"/>
        </w:rPr>
      </w:pPr>
      <w:r w:rsidRPr="00F558DE">
        <w:rPr>
          <w:rFonts w:ascii="Calibri" w:hAnsi="Calibri" w:cs="Arial"/>
          <w:b/>
          <w:color w:val="000000"/>
        </w:rPr>
        <w:t>To what extent has the policy achieved its objectives/success criteria?</w:t>
      </w:r>
    </w:p>
    <w:p w:rsidR="00CE5B54" w:rsidRPr="00CE36D7" w:rsidRDefault="00CE5B54" w:rsidP="00CE5B54">
      <w:pPr>
        <w:pStyle w:val="ListParagraph"/>
        <w:ind w:left="1080"/>
        <w:rPr>
          <w:rFonts w:ascii="Calibri" w:hAnsi="Calibri" w:cs="Arial"/>
          <w:color w:val="000000"/>
        </w:rPr>
      </w:pPr>
    </w:p>
    <w:p w:rsidR="00CE5B54" w:rsidRPr="00954F16" w:rsidRDefault="00CE5B54" w:rsidP="00712F8E">
      <w:pPr>
        <w:spacing w:after="0"/>
        <w:ind w:left="284"/>
        <w:rPr>
          <w:rFonts w:ascii="Calibri" w:hAnsi="Calibri" w:cs="Arial"/>
          <w:i/>
          <w:color w:val="000000"/>
          <w:sz w:val="24"/>
          <w:szCs w:val="24"/>
        </w:rPr>
      </w:pPr>
      <w:r w:rsidRPr="00954F16">
        <w:rPr>
          <w:rFonts w:ascii="Calibri" w:hAnsi="Calibri" w:cs="Arial"/>
          <w:i/>
          <w:color w:val="000000"/>
          <w:sz w:val="24"/>
          <w:szCs w:val="24"/>
        </w:rPr>
        <w:t xml:space="preserve">The PIR should state </w:t>
      </w:r>
      <w:r>
        <w:rPr>
          <w:rFonts w:ascii="Calibri" w:hAnsi="Calibri" w:cs="Arial"/>
          <w:i/>
          <w:color w:val="000000"/>
          <w:sz w:val="24"/>
          <w:szCs w:val="24"/>
        </w:rPr>
        <w:t xml:space="preserve">clearly </w:t>
      </w:r>
      <w:r w:rsidRPr="00954F16">
        <w:rPr>
          <w:rFonts w:ascii="Calibri" w:hAnsi="Calibri" w:cs="Arial"/>
          <w:i/>
          <w:color w:val="000000"/>
          <w:sz w:val="24"/>
          <w:szCs w:val="24"/>
        </w:rPr>
        <w:t xml:space="preserve">the intended purpose of the policy, as set out in the </w:t>
      </w:r>
      <w:r w:rsidRPr="00954F16">
        <w:rPr>
          <w:rFonts w:ascii="Calibri" w:hAnsi="Calibri" w:cs="Arial"/>
          <w:i/>
          <w:color w:val="000000"/>
          <w:sz w:val="24"/>
          <w:szCs w:val="24"/>
          <w:u w:val="single"/>
        </w:rPr>
        <w:t>original</w:t>
      </w:r>
      <w:r w:rsidRPr="00954F16">
        <w:rPr>
          <w:rFonts w:ascii="Calibri" w:hAnsi="Calibri" w:cs="Arial"/>
          <w:i/>
          <w:color w:val="000000"/>
          <w:sz w:val="24"/>
          <w:szCs w:val="24"/>
        </w:rPr>
        <w:t xml:space="preserve"> IA. (</w:t>
      </w:r>
      <w:r w:rsidRPr="00954F16">
        <w:rPr>
          <w:i/>
          <w:sz w:val="24"/>
          <w:szCs w:val="24"/>
        </w:rPr>
        <w:t>It is important that the PIR does not restate the purpose of the policy with the benefit of what has happened.</w:t>
      </w:r>
      <w:r w:rsidRPr="00954F16">
        <w:rPr>
          <w:rFonts w:ascii="Calibri" w:hAnsi="Calibri" w:cs="Arial"/>
          <w:i/>
          <w:color w:val="000000"/>
          <w:sz w:val="24"/>
          <w:szCs w:val="24"/>
        </w:rPr>
        <w:t xml:space="preserve">) This is crucial to determining the ex-post impact of the policy, and hence the extent to which the existing regulation is working. Departments should assess </w:t>
      </w:r>
      <w:r>
        <w:rPr>
          <w:rFonts w:ascii="Calibri" w:hAnsi="Calibri" w:cs="Arial"/>
          <w:i/>
          <w:color w:val="000000"/>
          <w:sz w:val="24"/>
          <w:szCs w:val="24"/>
        </w:rPr>
        <w:t xml:space="preserve">clearly </w:t>
      </w:r>
      <w:r w:rsidRPr="00954F16">
        <w:rPr>
          <w:rFonts w:ascii="Calibri" w:hAnsi="Calibri" w:cs="Arial"/>
          <w:i/>
          <w:color w:val="000000"/>
          <w:sz w:val="24"/>
          <w:szCs w:val="24"/>
        </w:rPr>
        <w:t>to what extent, and for what reasons</w:t>
      </w:r>
      <w:r>
        <w:rPr>
          <w:rFonts w:ascii="Calibri" w:hAnsi="Calibri" w:cs="Arial"/>
          <w:i/>
          <w:color w:val="000000"/>
          <w:sz w:val="24"/>
          <w:szCs w:val="24"/>
        </w:rPr>
        <w:t>,</w:t>
      </w:r>
      <w:r w:rsidRPr="00954F16">
        <w:rPr>
          <w:rFonts w:ascii="Calibri" w:hAnsi="Calibri" w:cs="Arial"/>
          <w:i/>
          <w:color w:val="000000"/>
          <w:sz w:val="24"/>
          <w:szCs w:val="24"/>
        </w:rPr>
        <w:t xml:space="preserve"> the proposal met its objectives/success criteria. In order to do so, departments should consider</w:t>
      </w:r>
      <w:r w:rsidRPr="00954F16">
        <w:rPr>
          <w:i/>
          <w:sz w:val="24"/>
          <w:szCs w:val="24"/>
        </w:rPr>
        <w:t xml:space="preserve"> </w:t>
      </w:r>
      <w:r>
        <w:rPr>
          <w:i/>
          <w:sz w:val="24"/>
          <w:szCs w:val="24"/>
        </w:rPr>
        <w:t xml:space="preserve">carefully </w:t>
      </w:r>
      <w:r w:rsidRPr="00954F16">
        <w:rPr>
          <w:i/>
          <w:sz w:val="24"/>
          <w:szCs w:val="24"/>
        </w:rPr>
        <w:t xml:space="preserve">the most adequate and proportionate choice of evaluation method. The Magenta Book and the </w:t>
      </w:r>
      <w:r>
        <w:rPr>
          <w:i/>
          <w:sz w:val="24"/>
          <w:szCs w:val="24"/>
        </w:rPr>
        <w:t xml:space="preserve">Cross-Government </w:t>
      </w:r>
      <w:r w:rsidRPr="00954F16">
        <w:rPr>
          <w:i/>
          <w:sz w:val="24"/>
          <w:szCs w:val="24"/>
        </w:rPr>
        <w:t xml:space="preserve">Evaluation Group guidance provide discussion and advice. </w:t>
      </w:r>
    </w:p>
    <w:p w:rsidR="00CE5B54" w:rsidRPr="00F558DE" w:rsidRDefault="00CE5B54" w:rsidP="00CE5B54">
      <w:pPr>
        <w:spacing w:after="0"/>
        <w:ind w:left="720"/>
        <w:rPr>
          <w:b/>
          <w:i/>
        </w:rPr>
      </w:pPr>
    </w:p>
    <w:p w:rsidR="00CE5B54" w:rsidRPr="00F558DE" w:rsidRDefault="00CE5B54" w:rsidP="00712F8E">
      <w:pPr>
        <w:pStyle w:val="ListParagraph"/>
        <w:numPr>
          <w:ilvl w:val="1"/>
          <w:numId w:val="39"/>
        </w:numPr>
        <w:spacing w:after="0" w:line="240" w:lineRule="auto"/>
        <w:ind w:left="709" w:hanging="425"/>
        <w:rPr>
          <w:rFonts w:ascii="Calibri" w:hAnsi="Calibri" w:cs="Arial"/>
          <w:b/>
          <w:color w:val="000000"/>
        </w:rPr>
      </w:pPr>
      <w:r w:rsidRPr="00F558DE">
        <w:rPr>
          <w:rFonts w:ascii="Calibri" w:hAnsi="Calibri" w:cs="Arial"/>
          <w:b/>
          <w:color w:val="000000"/>
        </w:rPr>
        <w:t>What have been the costs and benefits of the policy? How do these compare to the costs and benefits estimated in the original IA?</w:t>
      </w:r>
    </w:p>
    <w:p w:rsidR="00CE5B54" w:rsidRDefault="00CE5B54" w:rsidP="00CE5B54">
      <w:pPr>
        <w:spacing w:after="0"/>
        <w:ind w:left="720"/>
        <w:rPr>
          <w:rFonts w:ascii="Calibri" w:hAnsi="Calibri" w:cs="Arial"/>
          <w:i/>
          <w:color w:val="000000"/>
        </w:rPr>
      </w:pPr>
    </w:p>
    <w:p w:rsidR="00CE5B54" w:rsidRPr="00954F16" w:rsidRDefault="00CE5B54" w:rsidP="00712F8E">
      <w:pPr>
        <w:spacing w:after="0"/>
        <w:ind w:left="284"/>
        <w:rPr>
          <w:rFonts w:ascii="Calibri" w:hAnsi="Calibri" w:cs="Arial"/>
          <w:i/>
          <w:color w:val="000000"/>
          <w:sz w:val="24"/>
          <w:szCs w:val="24"/>
        </w:rPr>
      </w:pPr>
      <w:r w:rsidRPr="00954F16">
        <w:rPr>
          <w:rFonts w:ascii="Calibri" w:hAnsi="Calibri" w:cs="Arial"/>
          <w:i/>
          <w:color w:val="000000"/>
          <w:sz w:val="24"/>
          <w:szCs w:val="24"/>
        </w:rPr>
        <w:t xml:space="preserve">In order to determine the ex-post impact of the policy, departments should focus on the additional effects resulting directly from the policy, i.e. the incremental costs and benefits. As noted in the Magenta Book, establishing the </w:t>
      </w:r>
      <w:proofErr w:type="gramStart"/>
      <w:r w:rsidRPr="00954F16">
        <w:rPr>
          <w:rFonts w:ascii="Calibri" w:hAnsi="Calibri" w:cs="Arial"/>
          <w:i/>
          <w:color w:val="000000"/>
          <w:sz w:val="24"/>
          <w:szCs w:val="24"/>
        </w:rPr>
        <w:t>counterfactual,</w:t>
      </w:r>
      <w:proofErr w:type="gramEnd"/>
      <w:r w:rsidRPr="00954F16">
        <w:rPr>
          <w:rFonts w:ascii="Calibri" w:hAnsi="Calibri" w:cs="Arial"/>
          <w:i/>
          <w:color w:val="000000"/>
          <w:sz w:val="24"/>
          <w:szCs w:val="24"/>
        </w:rPr>
        <w:t xml:space="preserve"> or what would have happened in the absence of the policy, is not easy given that by definition it cannot be observed, and often a large number of factors drive the outcomes that are observed. Thinking about monitoring and evaluation in the early stages of the policy design and planning process has benefits, which may include helping </w:t>
      </w:r>
      <w:r>
        <w:rPr>
          <w:rFonts w:ascii="Calibri" w:hAnsi="Calibri" w:cs="Arial"/>
          <w:i/>
          <w:color w:val="000000"/>
          <w:sz w:val="24"/>
          <w:szCs w:val="24"/>
        </w:rPr>
        <w:t xml:space="preserve">to </w:t>
      </w:r>
      <w:r w:rsidRPr="00954F16">
        <w:rPr>
          <w:rFonts w:ascii="Calibri" w:hAnsi="Calibri" w:cs="Arial"/>
          <w:i/>
          <w:color w:val="000000"/>
          <w:sz w:val="24"/>
          <w:szCs w:val="24"/>
        </w:rPr>
        <w:t>establish the counterfactual. For example, implementing a policy on an initially restricted group of individuals or organisations may help estimate the counterfactual, through observing what happens to the other individuals or organisations. The case below is an example of where considering monitoring and evaluation early in the policy design and planning process would have been beneficial.</w:t>
      </w:r>
    </w:p>
    <w:p w:rsidR="00454D41" w:rsidRDefault="00454D41" w:rsidP="00CE5B54">
      <w:pPr>
        <w:spacing w:after="0"/>
        <w:ind w:left="720"/>
        <w:rPr>
          <w:rFonts w:ascii="Calibri" w:hAnsi="Calibri" w:cs="Arial"/>
          <w:i/>
          <w:color w:val="000000"/>
        </w:rPr>
      </w:pPr>
    </w:p>
    <w:p w:rsidR="00CE5B54" w:rsidRPr="00954F16" w:rsidRDefault="00CE5B54" w:rsidP="00CE5B54">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rPr>
          <w:rFonts w:cstheme="minorHAnsi"/>
          <w:sz w:val="24"/>
          <w:szCs w:val="24"/>
        </w:rPr>
      </w:pPr>
      <w:r w:rsidRPr="001E1839">
        <w:rPr>
          <w:rFonts w:cstheme="minorHAnsi"/>
          <w:b/>
          <w:sz w:val="24"/>
          <w:szCs w:val="24"/>
        </w:rPr>
        <w:t xml:space="preserve">Post Implementation Review of </w:t>
      </w:r>
      <w:r>
        <w:rPr>
          <w:rFonts w:cstheme="minorHAnsi"/>
          <w:b/>
          <w:sz w:val="24"/>
          <w:szCs w:val="24"/>
        </w:rPr>
        <w:t xml:space="preserve">the </w:t>
      </w:r>
      <w:proofErr w:type="spellStart"/>
      <w:r>
        <w:rPr>
          <w:rFonts w:cstheme="minorHAnsi"/>
          <w:b/>
          <w:sz w:val="24"/>
          <w:szCs w:val="24"/>
        </w:rPr>
        <w:t>Ecodesign</w:t>
      </w:r>
      <w:proofErr w:type="spellEnd"/>
      <w:r>
        <w:rPr>
          <w:rFonts w:cstheme="minorHAnsi"/>
          <w:b/>
          <w:sz w:val="24"/>
          <w:szCs w:val="24"/>
        </w:rPr>
        <w:t xml:space="preserve"> of energy related products regulations 2010 (Green) (RPC-DECC-3144(1)):</w:t>
      </w:r>
      <w:r w:rsidRPr="00B87B19">
        <w:rPr>
          <w:rFonts w:cstheme="minorHAnsi"/>
          <w:sz w:val="24"/>
          <w:szCs w:val="24"/>
        </w:rPr>
        <w:t xml:space="preserve"> </w:t>
      </w:r>
      <w:r>
        <w:rPr>
          <w:rFonts w:cstheme="minorHAnsi"/>
          <w:sz w:val="24"/>
          <w:szCs w:val="24"/>
        </w:rPr>
        <w:t xml:space="preserve"> </w:t>
      </w:r>
      <w:r w:rsidRPr="00954F16">
        <w:rPr>
          <w:rFonts w:cstheme="minorHAnsi"/>
          <w:sz w:val="24"/>
          <w:szCs w:val="24"/>
        </w:rPr>
        <w:t>The Department explains that the PIR could have been improved by monitoring compliance rates, but that this could not be done in a cost effective manner. The PIR explains that given the limited scale of the expected impacts on compliance, this is a proportionate and reasonable approach. The RPC, however, highlighted that not being able to monitor the effectiveness of a policy could be an issue in the case of more significant proposals. Monitoring and evaluation should, therefore, be considered in the early stages of the policy design and planning process.</w:t>
      </w:r>
    </w:p>
    <w:p w:rsidR="00CE5B54" w:rsidRDefault="00CE5B54" w:rsidP="00CE5B54">
      <w:pPr>
        <w:spacing w:after="0"/>
        <w:rPr>
          <w:rFonts w:ascii="Calibri" w:hAnsi="Calibri" w:cs="Arial"/>
          <w:i/>
          <w:color w:val="000000"/>
        </w:rPr>
      </w:pPr>
    </w:p>
    <w:p w:rsidR="00CE5B54" w:rsidRPr="00954F16" w:rsidRDefault="00CE5B54" w:rsidP="00CE5B54">
      <w:pPr>
        <w:spacing w:after="0"/>
        <w:ind w:left="720"/>
        <w:rPr>
          <w:rFonts w:ascii="Calibri" w:hAnsi="Calibri" w:cs="Arial"/>
          <w:i/>
          <w:color w:val="000000"/>
          <w:sz w:val="24"/>
          <w:szCs w:val="24"/>
        </w:rPr>
      </w:pPr>
      <w:r w:rsidRPr="00954F16">
        <w:rPr>
          <w:i/>
          <w:sz w:val="24"/>
          <w:szCs w:val="24"/>
        </w:rPr>
        <w:t xml:space="preserve">Clarity regarding the time frame is also important because short term impacts may be very different to longer term effects, and there is likely to be a time lag between implementation and when initial impacts materialise. </w:t>
      </w:r>
    </w:p>
    <w:p w:rsidR="00CE5B54" w:rsidRPr="00954F16" w:rsidRDefault="00CE5B54" w:rsidP="00CE5B54">
      <w:pPr>
        <w:spacing w:after="0"/>
        <w:ind w:left="720"/>
        <w:rPr>
          <w:rFonts w:ascii="Calibri" w:hAnsi="Calibri" w:cs="Arial"/>
          <w:i/>
          <w:color w:val="000000"/>
          <w:sz w:val="24"/>
          <w:szCs w:val="24"/>
        </w:rPr>
      </w:pPr>
    </w:p>
    <w:p w:rsidR="00CE5B54" w:rsidRPr="00954F16" w:rsidRDefault="00CE5B54" w:rsidP="00CE5B54">
      <w:pPr>
        <w:spacing w:after="0"/>
        <w:ind w:left="720"/>
        <w:rPr>
          <w:i/>
          <w:sz w:val="24"/>
          <w:szCs w:val="24"/>
        </w:rPr>
      </w:pPr>
      <w:r w:rsidRPr="00954F16">
        <w:rPr>
          <w:rFonts w:ascii="Calibri" w:hAnsi="Calibri" w:cs="Arial"/>
          <w:i/>
          <w:color w:val="000000"/>
          <w:sz w:val="24"/>
          <w:szCs w:val="24"/>
        </w:rPr>
        <w:t>Departments should also compare the actual impacts against the estimates in the appraisal, and explain any significant differences. For example, the department may refer to how much the EANCB has changed compared to that estimated in the IA, and explain the reasons for this change.</w:t>
      </w:r>
      <w:r w:rsidRPr="00954F16">
        <w:rPr>
          <w:i/>
          <w:sz w:val="24"/>
          <w:szCs w:val="24"/>
        </w:rPr>
        <w:t xml:space="preserve"> A good PIR will consider whether any of these changes provide lessons for future IAs or PIRs. The case below would have benefited from more clearly presenting these lessons.</w:t>
      </w:r>
    </w:p>
    <w:p w:rsidR="00CE5B54" w:rsidRDefault="00CE5B54" w:rsidP="00CE5B54">
      <w:pPr>
        <w:spacing w:after="0"/>
        <w:ind w:left="720"/>
        <w:rPr>
          <w:i/>
        </w:rPr>
      </w:pPr>
    </w:p>
    <w:p w:rsidR="00CE5B54" w:rsidRPr="00954F16" w:rsidRDefault="00CE5B54" w:rsidP="00CE5B54">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rPr>
          <w:rFonts w:cstheme="minorHAnsi"/>
          <w:sz w:val="24"/>
          <w:szCs w:val="24"/>
        </w:rPr>
      </w:pPr>
      <w:r w:rsidRPr="001E1839">
        <w:rPr>
          <w:rFonts w:cstheme="minorHAnsi"/>
          <w:b/>
          <w:sz w:val="24"/>
          <w:szCs w:val="24"/>
        </w:rPr>
        <w:t>Post Implementation Review of the Sale of Registration Marks (Amendments) Regulations 2008 (Green) (RPC13-DFT-PIR-1738):</w:t>
      </w:r>
      <w:r w:rsidRPr="00B87B19">
        <w:rPr>
          <w:rFonts w:cstheme="minorHAnsi"/>
          <w:sz w:val="24"/>
          <w:szCs w:val="24"/>
        </w:rPr>
        <w:t xml:space="preserve"> </w:t>
      </w:r>
      <w:r>
        <w:rPr>
          <w:rFonts w:cstheme="minorHAnsi"/>
          <w:sz w:val="24"/>
          <w:szCs w:val="24"/>
        </w:rPr>
        <w:t xml:space="preserve"> </w:t>
      </w:r>
      <w:r w:rsidRPr="00954F16">
        <w:rPr>
          <w:rFonts w:cstheme="minorHAnsi"/>
          <w:sz w:val="24"/>
          <w:szCs w:val="24"/>
        </w:rPr>
        <w:t>Although the</w:t>
      </w:r>
      <w:r w:rsidRPr="00954F16">
        <w:rPr>
          <w:rFonts w:cstheme="minorHAnsi"/>
          <w:color w:val="000000"/>
          <w:sz w:val="24"/>
          <w:szCs w:val="24"/>
        </w:rPr>
        <w:t xml:space="preserve"> PIR was considered fit for purpose, it could had been improved by assessing further the specific impact of the ending of the contracted out tele-sales link and by bringing together lessons learned under one heading.</w:t>
      </w:r>
    </w:p>
    <w:p w:rsidR="00CE5B54" w:rsidRPr="00954F16" w:rsidRDefault="00CE5B54" w:rsidP="00CE5B54">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autoSpaceDE w:val="0"/>
        <w:autoSpaceDN w:val="0"/>
        <w:adjustRightInd w:val="0"/>
        <w:spacing w:after="0"/>
        <w:rPr>
          <w:rFonts w:cstheme="minorHAnsi"/>
          <w:color w:val="000000"/>
          <w:sz w:val="24"/>
          <w:szCs w:val="24"/>
        </w:rPr>
      </w:pPr>
      <w:r w:rsidRPr="00954F16">
        <w:rPr>
          <w:rFonts w:cstheme="minorHAnsi"/>
          <w:color w:val="000000"/>
          <w:sz w:val="24"/>
          <w:szCs w:val="24"/>
        </w:rPr>
        <w:t xml:space="preserve">In the PIR the termination of the contract was credited with saving nearly £1m per year, compared with an expected saving of £847,000 in the 2008 IA. This accounted for about 80% of the overall estimated savings from the proposal. Combining all the savings together somewhat masked the fact that benefits elsewhere were substantially lower than estimated. Also, the PIR could have addressed whether ending the contract might had had a negative effect on sales. It appeared that in 2008 the number of transactions was considerably over-estimated, leading to a sharp fall in sales revenue. </w:t>
      </w:r>
    </w:p>
    <w:p w:rsidR="00CE5B54" w:rsidRDefault="00CE5B54" w:rsidP="00CE5B54">
      <w:pPr>
        <w:spacing w:after="0"/>
        <w:ind w:left="720"/>
        <w:rPr>
          <w:i/>
        </w:rPr>
      </w:pPr>
    </w:p>
    <w:p w:rsidR="00CE5B54" w:rsidRPr="00F558DE" w:rsidRDefault="00CE5B54" w:rsidP="00CE5B54">
      <w:pPr>
        <w:spacing w:after="0"/>
        <w:rPr>
          <w:rFonts w:ascii="Calibri" w:hAnsi="Calibri" w:cs="Arial"/>
          <w:b/>
          <w:i/>
          <w:color w:val="000000"/>
        </w:rPr>
      </w:pPr>
    </w:p>
    <w:p w:rsidR="00CE5B54" w:rsidRPr="00F558DE" w:rsidRDefault="00CE5B54" w:rsidP="00CE5B54">
      <w:pPr>
        <w:pStyle w:val="ListParagraph"/>
        <w:numPr>
          <w:ilvl w:val="1"/>
          <w:numId w:val="39"/>
        </w:numPr>
        <w:spacing w:after="0" w:line="240" w:lineRule="auto"/>
        <w:rPr>
          <w:rFonts w:ascii="Calibri" w:hAnsi="Calibri" w:cs="Arial"/>
          <w:b/>
          <w:color w:val="000000"/>
        </w:rPr>
      </w:pPr>
      <w:r w:rsidRPr="00F558DE">
        <w:rPr>
          <w:rFonts w:ascii="Calibri" w:hAnsi="Calibri" w:cs="Arial"/>
          <w:b/>
          <w:color w:val="000000"/>
        </w:rPr>
        <w:t xml:space="preserve">Have there been any unintended effects? </w:t>
      </w:r>
    </w:p>
    <w:p w:rsidR="00CE5B54" w:rsidRPr="00F558DE" w:rsidRDefault="00CE5B54" w:rsidP="00CE5B54">
      <w:pPr>
        <w:spacing w:after="0"/>
        <w:rPr>
          <w:rFonts w:ascii="Calibri" w:hAnsi="Calibri" w:cs="Arial"/>
          <w:b/>
          <w:i/>
          <w:color w:val="000000"/>
        </w:rPr>
      </w:pPr>
    </w:p>
    <w:p w:rsidR="00CE5B54" w:rsidRPr="00954F16" w:rsidRDefault="00CE5B54" w:rsidP="00CE5B54">
      <w:pPr>
        <w:spacing w:after="0"/>
        <w:ind w:left="720"/>
        <w:rPr>
          <w:rFonts w:ascii="Calibri" w:hAnsi="Calibri" w:cs="Arial"/>
          <w:i/>
          <w:color w:val="000000"/>
          <w:sz w:val="24"/>
          <w:szCs w:val="24"/>
        </w:rPr>
      </w:pPr>
      <w:r w:rsidRPr="00954F16">
        <w:rPr>
          <w:rFonts w:ascii="Calibri" w:hAnsi="Calibri" w:cs="Arial"/>
          <w:i/>
          <w:color w:val="000000"/>
          <w:sz w:val="24"/>
          <w:szCs w:val="24"/>
        </w:rPr>
        <w:t xml:space="preserve">The existence of unintended effects may alter the extent to which the existing regulation is judged to be working effectively. Departments should discuss fully any unintended effects. This should include a discussion of the significance of these effects for meeting the policy objectives and their implications for the department’s preferred option. In this, departments should consider any unintended impacts that arise as a result of the policy itself or its implementation, and wider unexpected developments that may have had an unintended effect on the whether the objectives of the policy were being achieved. Departments should consider the extent to which such effects were reasonably foreseeable at the time the policy was implemented. The case below provides an example of where the magnitude of the impact on business was significantly affected by an unforeseeable change in market prices. Where market prices are volatile and unexpected movements could have a major impact on the achievement of policy objectives, or the costs and benefits of a policy, this should be addressed in the IA and PIR. </w:t>
      </w:r>
    </w:p>
    <w:p w:rsidR="00CE5B54" w:rsidRDefault="00CE5B54" w:rsidP="00CE5B54">
      <w:pPr>
        <w:spacing w:after="0"/>
        <w:ind w:left="720"/>
        <w:rPr>
          <w:rFonts w:ascii="Calibri" w:hAnsi="Calibri" w:cs="Arial"/>
          <w:i/>
          <w:color w:val="000000"/>
        </w:rPr>
      </w:pPr>
    </w:p>
    <w:p w:rsidR="00CE5B54" w:rsidRPr="00F558DE" w:rsidRDefault="00CE5B54" w:rsidP="00CE5B54">
      <w:pPr>
        <w:pStyle w:val="ListParagraph"/>
        <w:numPr>
          <w:ilvl w:val="1"/>
          <w:numId w:val="39"/>
        </w:numPr>
        <w:spacing w:after="0" w:line="240" w:lineRule="auto"/>
        <w:rPr>
          <w:rFonts w:ascii="Calibri" w:hAnsi="Calibri" w:cs="Arial"/>
          <w:b/>
          <w:color w:val="000000"/>
        </w:rPr>
      </w:pPr>
      <w:r w:rsidRPr="00F558DE">
        <w:rPr>
          <w:rFonts w:ascii="Calibri" w:hAnsi="Calibri" w:cs="Arial"/>
          <w:b/>
          <w:color w:val="000000"/>
        </w:rPr>
        <w:t>Have the Department clearly referenced the IA assumptions?</w:t>
      </w:r>
    </w:p>
    <w:p w:rsidR="00CE5B54" w:rsidRDefault="00CE5B54" w:rsidP="00CE5B54">
      <w:pPr>
        <w:spacing w:after="0"/>
        <w:ind w:left="720"/>
        <w:rPr>
          <w:rFonts w:cstheme="minorHAnsi"/>
          <w:i/>
        </w:rPr>
      </w:pPr>
    </w:p>
    <w:p w:rsidR="00CE5B54" w:rsidRPr="00954F16" w:rsidRDefault="00CE5B54" w:rsidP="00CE5B54">
      <w:pPr>
        <w:spacing w:after="0"/>
        <w:ind w:left="720"/>
        <w:rPr>
          <w:rFonts w:cstheme="minorHAnsi"/>
          <w:i/>
          <w:sz w:val="24"/>
          <w:szCs w:val="24"/>
        </w:rPr>
      </w:pPr>
      <w:r w:rsidRPr="00954F16">
        <w:rPr>
          <w:rFonts w:cstheme="minorHAnsi"/>
          <w:i/>
          <w:sz w:val="24"/>
          <w:szCs w:val="24"/>
        </w:rPr>
        <w:t>The assumptions made in the IA and PIR affect the conclusions reached in the analysis. It is, therefore, important to refer clearly to these assumptions when providing a judgment on the extent to which the existing regulation is working.</w:t>
      </w:r>
    </w:p>
    <w:p w:rsidR="00CE5B54" w:rsidRPr="00954F16" w:rsidRDefault="00CE5B54" w:rsidP="00CE5B54">
      <w:pPr>
        <w:spacing w:after="0"/>
        <w:ind w:left="720"/>
        <w:rPr>
          <w:rFonts w:cstheme="minorHAnsi"/>
          <w:i/>
          <w:sz w:val="24"/>
          <w:szCs w:val="24"/>
        </w:rPr>
      </w:pPr>
    </w:p>
    <w:p w:rsidR="00CE5B54" w:rsidRPr="00954F16" w:rsidRDefault="00CE5B54" w:rsidP="00CE5B54">
      <w:pPr>
        <w:spacing w:after="0"/>
        <w:ind w:left="720"/>
        <w:rPr>
          <w:i/>
          <w:sz w:val="24"/>
          <w:szCs w:val="24"/>
        </w:rPr>
      </w:pPr>
      <w:r w:rsidRPr="00954F16">
        <w:rPr>
          <w:rFonts w:cstheme="minorHAnsi"/>
          <w:i/>
          <w:sz w:val="24"/>
          <w:szCs w:val="24"/>
        </w:rPr>
        <w:t xml:space="preserve">The PIR should discuss how the assumptions made in the original IA compare to what actually happened. Departments should indicate clearly where assumptions made in the IA have been used or changed in the PIR, and why. The level of evidence that is proportionate will depend on the size and nature of the policy proposal and the importance of the assumption. </w:t>
      </w:r>
      <w:r w:rsidRPr="00954F16">
        <w:rPr>
          <w:i/>
          <w:sz w:val="24"/>
          <w:szCs w:val="24"/>
        </w:rPr>
        <w:t>Departments should also discuss whether the IA’s assessment of risk and uncertainty was robust and how any limitations of the analysis in the PIR (and likely causes of such limitations) impact on the conclusions reached. The case below provides a good example of where the actual impacts were assessed clearly against those expected in the original IA.</w:t>
      </w:r>
    </w:p>
    <w:p w:rsidR="00CE5B54" w:rsidRDefault="00CE5B54" w:rsidP="00CE5B54">
      <w:pPr>
        <w:spacing w:after="0"/>
        <w:ind w:left="720"/>
        <w:rPr>
          <w:rFonts w:cstheme="minorHAnsi"/>
          <w:i/>
        </w:rPr>
      </w:pPr>
    </w:p>
    <w:p w:rsidR="00CE5B54" w:rsidRPr="00954F16" w:rsidRDefault="00CE5B54" w:rsidP="00CE5B54">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autoSpaceDE w:val="0"/>
        <w:autoSpaceDN w:val="0"/>
        <w:adjustRightInd w:val="0"/>
        <w:spacing w:after="0"/>
        <w:rPr>
          <w:rFonts w:cstheme="minorHAnsi"/>
          <w:sz w:val="24"/>
          <w:szCs w:val="24"/>
        </w:rPr>
      </w:pPr>
      <w:r>
        <w:rPr>
          <w:rFonts w:cstheme="minorHAnsi"/>
          <w:b/>
          <w:sz w:val="24"/>
          <w:szCs w:val="24"/>
        </w:rPr>
        <w:t>Post Implementation Review of the UK’s transposition of the EU Oil Stocking Directive 2009 (Green) (RPC-DECC-3131(1)</w:t>
      </w:r>
      <w:r w:rsidRPr="00D33138">
        <w:rPr>
          <w:rFonts w:cstheme="minorHAnsi"/>
          <w:b/>
          <w:sz w:val="24"/>
          <w:szCs w:val="24"/>
        </w:rPr>
        <w:t>):</w:t>
      </w:r>
      <w:r w:rsidRPr="00D33138">
        <w:rPr>
          <w:rFonts w:cstheme="minorHAnsi"/>
          <w:sz w:val="24"/>
          <w:szCs w:val="24"/>
        </w:rPr>
        <w:t xml:space="preserve"> </w:t>
      </w:r>
      <w:r w:rsidRPr="00954F16">
        <w:rPr>
          <w:rFonts w:cstheme="minorHAnsi"/>
          <w:sz w:val="24"/>
          <w:szCs w:val="24"/>
        </w:rPr>
        <w:t xml:space="preserve">The purpose of the PIR was to consider the impact on business of the additional oil stocking obligations introduced by the 2009 Directive. </w:t>
      </w:r>
    </w:p>
    <w:p w:rsidR="00CE5B54" w:rsidRPr="00954F16" w:rsidRDefault="00CE5B54" w:rsidP="00CE5B54">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autoSpaceDE w:val="0"/>
        <w:autoSpaceDN w:val="0"/>
        <w:adjustRightInd w:val="0"/>
        <w:spacing w:after="0"/>
        <w:rPr>
          <w:rFonts w:cstheme="minorHAnsi"/>
          <w:sz w:val="24"/>
          <w:szCs w:val="24"/>
        </w:rPr>
      </w:pPr>
    </w:p>
    <w:p w:rsidR="00CE5B54" w:rsidRPr="00954F16" w:rsidRDefault="00CE5B54" w:rsidP="00CE5B54">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autoSpaceDE w:val="0"/>
        <w:autoSpaceDN w:val="0"/>
        <w:adjustRightInd w:val="0"/>
        <w:spacing w:after="0"/>
        <w:rPr>
          <w:rFonts w:cstheme="minorHAnsi"/>
          <w:sz w:val="24"/>
          <w:szCs w:val="24"/>
        </w:rPr>
      </w:pPr>
      <w:r w:rsidRPr="00954F16">
        <w:rPr>
          <w:rFonts w:cstheme="minorHAnsi"/>
          <w:sz w:val="24"/>
          <w:szCs w:val="24"/>
        </w:rPr>
        <w:t xml:space="preserve">The RPC concluded that the evidence base used in the PIR was sufficiently robust to support the Department’s preferred option of renewing the regulations. The Department provided a proportionate assessment, which considered the effect of alternative approaches taken by other Member States in transposing the Directive, as well using data already gathered by the Department to compare the actual impact on business of the UK’s chosen approach with the projected impact in the IA. </w:t>
      </w:r>
    </w:p>
    <w:p w:rsidR="00CE5B54" w:rsidRPr="00954F16" w:rsidRDefault="00CE5B54" w:rsidP="00CE5B54">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autoSpaceDE w:val="0"/>
        <w:autoSpaceDN w:val="0"/>
        <w:adjustRightInd w:val="0"/>
        <w:spacing w:after="0"/>
        <w:rPr>
          <w:rFonts w:cstheme="minorHAnsi"/>
          <w:sz w:val="24"/>
          <w:szCs w:val="24"/>
        </w:rPr>
      </w:pPr>
    </w:p>
    <w:p w:rsidR="00CE5B54" w:rsidRPr="00954F16" w:rsidRDefault="00CE5B54" w:rsidP="00CE5B54">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autoSpaceDE w:val="0"/>
        <w:autoSpaceDN w:val="0"/>
        <w:adjustRightInd w:val="0"/>
        <w:spacing w:after="0"/>
        <w:rPr>
          <w:rFonts w:cstheme="minorHAnsi"/>
          <w:sz w:val="24"/>
          <w:szCs w:val="24"/>
        </w:rPr>
      </w:pPr>
      <w:r w:rsidRPr="00954F16">
        <w:rPr>
          <w:rFonts w:cstheme="minorHAnsi"/>
          <w:sz w:val="24"/>
          <w:szCs w:val="24"/>
        </w:rPr>
        <w:t>The significance of, and reasons for non-compliance with the Directive, as well as the supplementary policy options the Department were considering to return to compliance, should have been more clearly and extensively discussed in the PIR.</w:t>
      </w:r>
    </w:p>
    <w:p w:rsidR="00CE5B54" w:rsidRPr="00954F16" w:rsidRDefault="00CE5B54" w:rsidP="00CE5B54">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autoSpaceDE w:val="0"/>
        <w:autoSpaceDN w:val="0"/>
        <w:adjustRightInd w:val="0"/>
        <w:spacing w:after="0"/>
        <w:rPr>
          <w:rFonts w:cstheme="minorHAnsi"/>
          <w:sz w:val="24"/>
          <w:szCs w:val="24"/>
        </w:rPr>
      </w:pPr>
    </w:p>
    <w:p w:rsidR="00CE5B54" w:rsidRPr="00954F16" w:rsidRDefault="00CE5B54" w:rsidP="00CE5B54">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autoSpaceDE w:val="0"/>
        <w:autoSpaceDN w:val="0"/>
        <w:adjustRightInd w:val="0"/>
        <w:spacing w:after="0"/>
        <w:rPr>
          <w:rFonts w:cstheme="minorHAnsi"/>
          <w:sz w:val="24"/>
          <w:szCs w:val="24"/>
        </w:rPr>
      </w:pPr>
      <w:r w:rsidRPr="00954F16">
        <w:rPr>
          <w:rFonts w:cstheme="minorHAnsi"/>
          <w:sz w:val="24"/>
          <w:szCs w:val="24"/>
        </w:rPr>
        <w:t>This case provides an example of where the assumptions in the IA turned out to be ‘wide of the mark’ because of a large unexpected movement in market prices, in this case for oil.</w:t>
      </w:r>
    </w:p>
    <w:p w:rsidR="00CE5B54" w:rsidRPr="00C672B9" w:rsidRDefault="00CE5B54" w:rsidP="00CE5B54">
      <w:pPr>
        <w:spacing w:after="0"/>
        <w:ind w:left="720"/>
        <w:rPr>
          <w:rFonts w:cstheme="minorHAnsi"/>
          <w:i/>
        </w:rPr>
      </w:pPr>
    </w:p>
    <w:p w:rsidR="00CE5B54" w:rsidRPr="00F558DE" w:rsidRDefault="00CE5B54" w:rsidP="00CE5B54">
      <w:pPr>
        <w:spacing w:after="0"/>
        <w:rPr>
          <w:rFonts w:ascii="Calibri" w:hAnsi="Calibri" w:cs="Arial"/>
          <w:b/>
          <w:i/>
          <w:color w:val="000000"/>
        </w:rPr>
      </w:pPr>
    </w:p>
    <w:p w:rsidR="00CE5B54" w:rsidRPr="00954F16" w:rsidRDefault="00CE5B54" w:rsidP="00CE5B54">
      <w:pPr>
        <w:pStyle w:val="ListParagraph"/>
        <w:numPr>
          <w:ilvl w:val="1"/>
          <w:numId w:val="39"/>
        </w:numPr>
        <w:spacing w:after="0" w:line="240" w:lineRule="auto"/>
        <w:rPr>
          <w:rFonts w:ascii="Calibri" w:hAnsi="Calibri" w:cs="Arial"/>
          <w:color w:val="000000"/>
        </w:rPr>
      </w:pPr>
      <w:r w:rsidRPr="00954F16">
        <w:rPr>
          <w:rFonts w:ascii="Calibri" w:hAnsi="Calibri" w:cs="Arial"/>
          <w:b/>
          <w:color w:val="000000"/>
        </w:rPr>
        <w:t>Has there been a disproportionate impact on small and micro businesses?</w:t>
      </w:r>
    </w:p>
    <w:p w:rsidR="00CE5B54" w:rsidRPr="00954F16" w:rsidRDefault="00CE5B54" w:rsidP="00CE5B54">
      <w:pPr>
        <w:spacing w:after="0"/>
        <w:ind w:left="720"/>
        <w:rPr>
          <w:rFonts w:ascii="Calibri" w:hAnsi="Calibri" w:cs="Arial"/>
          <w:i/>
          <w:color w:val="000000"/>
          <w:sz w:val="24"/>
          <w:szCs w:val="24"/>
        </w:rPr>
      </w:pPr>
    </w:p>
    <w:p w:rsidR="00CE5B54" w:rsidRPr="00954F16" w:rsidRDefault="00CE5B54" w:rsidP="00CE5B54">
      <w:pPr>
        <w:spacing w:after="0"/>
        <w:ind w:left="720"/>
        <w:rPr>
          <w:rFonts w:ascii="Calibri" w:hAnsi="Calibri" w:cs="Arial"/>
          <w:i/>
          <w:color w:val="000000"/>
          <w:sz w:val="24"/>
          <w:szCs w:val="24"/>
        </w:rPr>
      </w:pPr>
      <w:r w:rsidRPr="00954F16">
        <w:rPr>
          <w:rFonts w:ascii="Calibri" w:hAnsi="Calibri" w:cs="Arial"/>
          <w:i/>
          <w:color w:val="000000"/>
          <w:sz w:val="24"/>
          <w:szCs w:val="24"/>
        </w:rPr>
        <w:t xml:space="preserve">An effective regulatory regime will provide mitigations or exemptions for small and micro businesses where it is proportionate to do so. When assessing the current regulation, departments should, therefore, consider explicitly how small and micro businesses have been affected by the policy and how this compares with the impacts </w:t>
      </w:r>
      <w:r w:rsidRPr="00954F16">
        <w:rPr>
          <w:rFonts w:ascii="Calibri" w:hAnsi="Calibri" w:cs="Arial"/>
          <w:i/>
          <w:color w:val="000000"/>
          <w:sz w:val="24"/>
          <w:szCs w:val="24"/>
        </w:rPr>
        <w:lastRenderedPageBreak/>
        <w:t>estimated in the IA. Departments should also consider whet</w:t>
      </w:r>
      <w:r>
        <w:rPr>
          <w:rFonts w:ascii="Calibri" w:hAnsi="Calibri" w:cs="Arial"/>
          <w:i/>
          <w:color w:val="000000"/>
          <w:sz w:val="24"/>
          <w:szCs w:val="24"/>
        </w:rPr>
        <w:t>her mitigations or exemptions w</w:t>
      </w:r>
      <w:r w:rsidRPr="00954F16">
        <w:rPr>
          <w:rFonts w:ascii="Calibri" w:hAnsi="Calibri" w:cs="Arial"/>
          <w:i/>
          <w:color w:val="000000"/>
          <w:sz w:val="24"/>
          <w:szCs w:val="24"/>
        </w:rPr>
        <w:t>ere applied and whether this gave rise to any market distortions.</w:t>
      </w:r>
    </w:p>
    <w:p w:rsidR="00CE5B54" w:rsidRPr="0045381D" w:rsidRDefault="00CE5B54" w:rsidP="00CE5B54">
      <w:pPr>
        <w:spacing w:after="0"/>
        <w:ind w:left="720"/>
        <w:rPr>
          <w:rFonts w:ascii="Calibri" w:hAnsi="Calibri" w:cs="Arial"/>
          <w:i/>
          <w:color w:val="000000"/>
        </w:rPr>
      </w:pPr>
    </w:p>
    <w:p w:rsidR="00CE5B54" w:rsidRPr="001D6E3C" w:rsidRDefault="00CE5B54" w:rsidP="00CE5B54">
      <w:pPr>
        <w:pStyle w:val="ListParagraph"/>
        <w:rPr>
          <w:rFonts w:ascii="Calibri" w:hAnsi="Calibri" w:cs="Arial"/>
          <w:color w:val="000000"/>
          <w:u w:val="single"/>
        </w:rPr>
      </w:pPr>
    </w:p>
    <w:p w:rsidR="00CE5B54" w:rsidRPr="00F558DE" w:rsidRDefault="00CE5B54" w:rsidP="00CE5B54">
      <w:pPr>
        <w:pStyle w:val="ListParagraph"/>
        <w:numPr>
          <w:ilvl w:val="0"/>
          <w:numId w:val="39"/>
        </w:numPr>
        <w:spacing w:after="0" w:line="240" w:lineRule="auto"/>
        <w:rPr>
          <w:rFonts w:cstheme="minorHAnsi"/>
          <w:b/>
          <w:color w:val="984806" w:themeColor="accent6" w:themeShade="80"/>
          <w:sz w:val="28"/>
          <w:szCs w:val="28"/>
        </w:rPr>
      </w:pPr>
      <w:r w:rsidRPr="00F558DE">
        <w:rPr>
          <w:rFonts w:cstheme="minorHAnsi"/>
          <w:b/>
          <w:color w:val="984806" w:themeColor="accent6" w:themeShade="80"/>
          <w:sz w:val="28"/>
          <w:szCs w:val="28"/>
        </w:rPr>
        <w:t>Is government intervention still required?</w:t>
      </w:r>
    </w:p>
    <w:p w:rsidR="00CE5B54" w:rsidRDefault="00CE5B54" w:rsidP="00CE5B54">
      <w:pPr>
        <w:pStyle w:val="ListParagraph"/>
        <w:rPr>
          <w:rFonts w:ascii="Calibri" w:hAnsi="Calibri" w:cs="Arial"/>
          <w:b/>
          <w:color w:val="000000"/>
        </w:rPr>
      </w:pPr>
    </w:p>
    <w:p w:rsidR="00CE5B54" w:rsidRPr="00954F16" w:rsidRDefault="00CE5B54" w:rsidP="00CE5B54">
      <w:pPr>
        <w:pStyle w:val="ListParagraph"/>
        <w:numPr>
          <w:ilvl w:val="1"/>
          <w:numId w:val="39"/>
        </w:numPr>
        <w:spacing w:after="0" w:line="240" w:lineRule="auto"/>
        <w:rPr>
          <w:rFonts w:ascii="Calibri" w:hAnsi="Calibri" w:cs="Arial"/>
          <w:b/>
          <w:color w:val="000000"/>
        </w:rPr>
      </w:pPr>
      <w:r w:rsidRPr="00954F16">
        <w:rPr>
          <w:rFonts w:ascii="Calibri" w:hAnsi="Calibri" w:cs="Arial"/>
          <w:b/>
          <w:color w:val="000000"/>
        </w:rPr>
        <w:t>Are the objectives of the regulation still relevant? What would happen if the regulation was removed?</w:t>
      </w:r>
    </w:p>
    <w:p w:rsidR="00CE5B54" w:rsidRPr="00954F16" w:rsidRDefault="00CE5B54" w:rsidP="00CE5B54">
      <w:pPr>
        <w:pStyle w:val="ListParagraph"/>
        <w:ind w:left="1080"/>
        <w:rPr>
          <w:rFonts w:ascii="Calibri" w:hAnsi="Calibri" w:cs="Arial"/>
          <w:color w:val="000000"/>
        </w:rPr>
      </w:pPr>
    </w:p>
    <w:p w:rsidR="00CE5B54" w:rsidRPr="00954F16" w:rsidRDefault="00CE5B54" w:rsidP="00CE5B54">
      <w:pPr>
        <w:ind w:left="720"/>
        <w:rPr>
          <w:rFonts w:ascii="Calibri" w:hAnsi="Calibri" w:cs="Arial"/>
          <w:i/>
          <w:color w:val="000000"/>
          <w:sz w:val="24"/>
          <w:szCs w:val="24"/>
        </w:rPr>
      </w:pPr>
      <w:r w:rsidRPr="00954F16">
        <w:rPr>
          <w:rFonts w:ascii="Calibri" w:hAnsi="Calibri" w:cs="Arial"/>
          <w:i/>
          <w:color w:val="000000"/>
          <w:sz w:val="24"/>
          <w:szCs w:val="24"/>
        </w:rPr>
        <w:t>If the objectives of the regulation are no longer relevant, or if it would be beneficial to remove the regulation, government intervention may no longer be required. Departments should provide evidence that the objective is still relevant by considering what would happen if the regulation were to be removed. Relevant factors to consider include whether the problem has been solved, perhaps because behaviour has changed as a result of the policy, or the market has changed.</w:t>
      </w:r>
    </w:p>
    <w:p w:rsidR="00CE5B54" w:rsidRPr="00954F16" w:rsidRDefault="00CE5B54" w:rsidP="00CE5B54">
      <w:pPr>
        <w:pStyle w:val="ListParagraph"/>
        <w:numPr>
          <w:ilvl w:val="1"/>
          <w:numId w:val="39"/>
        </w:numPr>
        <w:spacing w:after="0" w:line="240" w:lineRule="auto"/>
        <w:rPr>
          <w:rFonts w:ascii="Calibri" w:hAnsi="Calibri" w:cs="Arial"/>
          <w:b/>
          <w:color w:val="000000"/>
        </w:rPr>
      </w:pPr>
      <w:r w:rsidRPr="00954F16">
        <w:rPr>
          <w:rFonts w:ascii="Calibri" w:hAnsi="Calibri" w:cs="Arial"/>
          <w:b/>
          <w:color w:val="000000"/>
        </w:rPr>
        <w:t xml:space="preserve">What is the baseline against which the impacts are being assessed? </w:t>
      </w:r>
    </w:p>
    <w:p w:rsidR="00CE5B54" w:rsidRPr="00954F16" w:rsidRDefault="00CE5B54" w:rsidP="00CE5B54">
      <w:pPr>
        <w:pStyle w:val="ListParagraph"/>
        <w:ind w:left="1080"/>
        <w:rPr>
          <w:rFonts w:ascii="Calibri" w:hAnsi="Calibri" w:cs="Arial"/>
          <w:color w:val="000000"/>
        </w:rPr>
      </w:pPr>
    </w:p>
    <w:p w:rsidR="00CE5B54" w:rsidRPr="00954F16" w:rsidRDefault="00CE5B54" w:rsidP="00CE5B54">
      <w:pPr>
        <w:ind w:left="720"/>
        <w:rPr>
          <w:i/>
          <w:sz w:val="24"/>
          <w:szCs w:val="24"/>
        </w:rPr>
      </w:pPr>
      <w:r w:rsidRPr="00954F16">
        <w:rPr>
          <w:i/>
          <w:sz w:val="24"/>
          <w:szCs w:val="24"/>
        </w:rPr>
        <w:t xml:space="preserve">When considering whether government intervention is still required, departments should make sure they compare the current regulatory regime to the appropriate baseline, i.e. the position before the policy began, taking account of any subsequent changes that are independent of the policy proposal. Departments should also consider whether the baseline has changed relative to that used in the original IA, and how this affects future costs and benefits of the policy. </w:t>
      </w:r>
    </w:p>
    <w:p w:rsidR="00CE5B54" w:rsidRPr="00F558DE" w:rsidRDefault="00CE5B54" w:rsidP="00CE5B54">
      <w:pPr>
        <w:ind w:left="720"/>
        <w:rPr>
          <w:rFonts w:cstheme="minorHAnsi"/>
          <w:i/>
        </w:rPr>
      </w:pPr>
    </w:p>
    <w:p w:rsidR="00CE5B54" w:rsidRDefault="00CE5B54" w:rsidP="00CE5B54">
      <w:pPr>
        <w:pStyle w:val="ListParagraph"/>
        <w:numPr>
          <w:ilvl w:val="0"/>
          <w:numId w:val="39"/>
        </w:numPr>
        <w:spacing w:after="0" w:line="240" w:lineRule="auto"/>
        <w:rPr>
          <w:rFonts w:cstheme="minorHAnsi"/>
          <w:b/>
          <w:color w:val="984806" w:themeColor="accent6" w:themeShade="80"/>
          <w:sz w:val="28"/>
          <w:szCs w:val="28"/>
        </w:rPr>
      </w:pPr>
      <w:r w:rsidRPr="00F558DE">
        <w:rPr>
          <w:rFonts w:cstheme="minorHAnsi"/>
          <w:b/>
          <w:color w:val="984806" w:themeColor="accent6" w:themeShade="80"/>
          <w:sz w:val="28"/>
          <w:szCs w:val="28"/>
        </w:rPr>
        <w:t>Is the existing form of regulation still the most appropriate approach?</w:t>
      </w:r>
    </w:p>
    <w:p w:rsidR="00CE5B54" w:rsidRPr="00F558DE" w:rsidRDefault="00CE5B54" w:rsidP="00CE5B54">
      <w:pPr>
        <w:pStyle w:val="ListParagraph"/>
        <w:rPr>
          <w:rFonts w:cstheme="minorHAnsi"/>
          <w:b/>
          <w:color w:val="984806" w:themeColor="accent6" w:themeShade="80"/>
          <w:sz w:val="28"/>
          <w:szCs w:val="28"/>
        </w:rPr>
      </w:pPr>
    </w:p>
    <w:p w:rsidR="00CE5B54" w:rsidRPr="00954F16" w:rsidRDefault="00CE5B54" w:rsidP="00CE5B54">
      <w:pPr>
        <w:pStyle w:val="ListParagraph"/>
        <w:numPr>
          <w:ilvl w:val="1"/>
          <w:numId w:val="39"/>
        </w:numPr>
        <w:spacing w:after="0" w:line="240" w:lineRule="auto"/>
        <w:rPr>
          <w:rFonts w:ascii="Calibri" w:hAnsi="Calibri" w:cs="Arial"/>
          <w:b/>
          <w:color w:val="000000"/>
        </w:rPr>
      </w:pPr>
      <w:r w:rsidRPr="00954F16">
        <w:rPr>
          <w:rFonts w:ascii="Calibri" w:hAnsi="Calibri" w:cs="Arial"/>
          <w:b/>
          <w:color w:val="000000"/>
        </w:rPr>
        <w:t>What are the likely costs and benefits going forward? How likely are unintended effects in the future?</w:t>
      </w:r>
    </w:p>
    <w:p w:rsidR="00CE5B54" w:rsidRPr="00954F16" w:rsidRDefault="00CE5B54" w:rsidP="00CE5B54">
      <w:pPr>
        <w:pStyle w:val="ListParagraph"/>
        <w:ind w:left="1080"/>
        <w:rPr>
          <w:rFonts w:ascii="Calibri" w:hAnsi="Calibri" w:cs="Arial"/>
          <w:color w:val="000000"/>
        </w:rPr>
      </w:pPr>
    </w:p>
    <w:p w:rsidR="00CE5B54" w:rsidRPr="00954F16" w:rsidRDefault="00CE5B54" w:rsidP="00CE5B54">
      <w:pPr>
        <w:pStyle w:val="ListParagraph"/>
        <w:rPr>
          <w:rFonts w:ascii="Calibri" w:hAnsi="Calibri" w:cs="Arial"/>
          <w:i/>
          <w:color w:val="000000"/>
        </w:rPr>
      </w:pPr>
      <w:r w:rsidRPr="00954F16">
        <w:rPr>
          <w:rFonts w:cstheme="minorHAnsi"/>
          <w:i/>
        </w:rPr>
        <w:t>Having analysed the impact of the policy to date, the department should consider the extent to which it expects the costs and benefits of the existing form of regulation to change in the future. This analysis will aid the department in deciding whether the existing form of regulation is still the most appropriate approach, and will help ensure that the conclusions in the PIR relate clearly to the analysis and evidence presented in the PIR.</w:t>
      </w:r>
      <w:r w:rsidRPr="00954F16">
        <w:rPr>
          <w:i/>
        </w:rPr>
        <w:t xml:space="preserve"> </w:t>
      </w:r>
    </w:p>
    <w:p w:rsidR="00CE5B54" w:rsidRPr="00954F16" w:rsidRDefault="00CE5B54" w:rsidP="00CE5B54">
      <w:pPr>
        <w:pStyle w:val="ListParagraph"/>
        <w:rPr>
          <w:rFonts w:ascii="Calibri" w:hAnsi="Calibri" w:cs="Arial"/>
          <w:i/>
          <w:color w:val="000000"/>
        </w:rPr>
      </w:pPr>
    </w:p>
    <w:p w:rsidR="00CE5B54" w:rsidRPr="00954F16" w:rsidRDefault="00CE5B54" w:rsidP="00CE5B54">
      <w:pPr>
        <w:pStyle w:val="ListParagraph"/>
        <w:numPr>
          <w:ilvl w:val="1"/>
          <w:numId w:val="39"/>
        </w:numPr>
        <w:spacing w:after="0" w:line="240" w:lineRule="auto"/>
        <w:rPr>
          <w:rFonts w:ascii="Calibri" w:hAnsi="Calibri" w:cs="Arial"/>
          <w:b/>
          <w:color w:val="000000"/>
        </w:rPr>
      </w:pPr>
      <w:r w:rsidRPr="00954F16">
        <w:rPr>
          <w:rFonts w:ascii="Calibri" w:hAnsi="Calibri" w:cs="Arial"/>
          <w:b/>
          <w:color w:val="000000"/>
        </w:rPr>
        <w:t>Does evidence from stakeholders support the current approach?</w:t>
      </w:r>
    </w:p>
    <w:p w:rsidR="00CE5B54" w:rsidRPr="00954F16" w:rsidRDefault="00CE5B54" w:rsidP="00CE5B54">
      <w:pPr>
        <w:spacing w:after="0"/>
        <w:ind w:firstLine="720"/>
        <w:rPr>
          <w:rFonts w:ascii="Calibri" w:hAnsi="Calibri" w:cs="Arial"/>
          <w:color w:val="000000"/>
          <w:sz w:val="24"/>
          <w:szCs w:val="24"/>
        </w:rPr>
      </w:pPr>
    </w:p>
    <w:p w:rsidR="00CE5B54" w:rsidRPr="00954F16" w:rsidRDefault="00CE5B54" w:rsidP="00CE5B54">
      <w:pPr>
        <w:spacing w:after="0"/>
        <w:ind w:left="720"/>
        <w:rPr>
          <w:rFonts w:ascii="Calibri" w:eastAsia="Calibri" w:hAnsi="Calibri" w:cs="Arial"/>
          <w:i/>
          <w:sz w:val="24"/>
          <w:szCs w:val="24"/>
        </w:rPr>
      </w:pPr>
      <w:r w:rsidRPr="00954F16">
        <w:rPr>
          <w:i/>
          <w:sz w:val="24"/>
          <w:szCs w:val="24"/>
        </w:rPr>
        <w:t xml:space="preserve">Considering evidence from a wide range of stakeholders will help the department understand the costs and benefits of the existing form of regulation, and the extent to which the existing form of regulation is the most appropriate approach. </w:t>
      </w:r>
      <w:r w:rsidRPr="00954F16">
        <w:rPr>
          <w:rFonts w:ascii="Calibri" w:eastAsia="Calibri" w:hAnsi="Calibri" w:cs="Arial"/>
          <w:i/>
          <w:sz w:val="24"/>
          <w:szCs w:val="24"/>
        </w:rPr>
        <w:t xml:space="preserve">Data collection from businesses may take a range of forms including, but not restricted to, </w:t>
      </w:r>
      <w:r w:rsidRPr="00954F16">
        <w:rPr>
          <w:rFonts w:ascii="Calibri" w:eastAsia="Calibri" w:hAnsi="Calibri" w:cs="Arial"/>
          <w:i/>
          <w:sz w:val="24"/>
          <w:szCs w:val="24"/>
        </w:rPr>
        <w:lastRenderedPageBreak/>
        <w:t>administrative data collection, consultations, surveys and qualitative research. Departments should explain clearly their choice of evidence sources, say how the evidence is proportionate and highlight any potential limitations.</w:t>
      </w:r>
    </w:p>
    <w:p w:rsidR="00CE5B54" w:rsidRPr="00954F16" w:rsidRDefault="00CE5B54" w:rsidP="00CE5B54">
      <w:pPr>
        <w:pStyle w:val="ListParagraph"/>
        <w:ind w:left="1080"/>
        <w:rPr>
          <w:rFonts w:ascii="Calibri" w:hAnsi="Calibri" w:cs="Arial"/>
          <w:color w:val="000000"/>
        </w:rPr>
      </w:pPr>
    </w:p>
    <w:p w:rsidR="00CE5B54" w:rsidRPr="00954F16" w:rsidRDefault="00CE5B54" w:rsidP="00CE5B54">
      <w:pPr>
        <w:pStyle w:val="ListParagraph"/>
        <w:numPr>
          <w:ilvl w:val="1"/>
          <w:numId w:val="39"/>
        </w:numPr>
        <w:spacing w:after="0" w:line="240" w:lineRule="auto"/>
        <w:rPr>
          <w:rFonts w:ascii="Calibri" w:hAnsi="Calibri" w:cs="Arial"/>
          <w:b/>
          <w:color w:val="000000"/>
        </w:rPr>
      </w:pPr>
      <w:r w:rsidRPr="00954F16">
        <w:rPr>
          <w:rFonts w:ascii="Calibri" w:hAnsi="Calibri" w:cs="Arial"/>
          <w:b/>
          <w:color w:val="000000"/>
        </w:rPr>
        <w:t>How effective is the implementation/enforcement mechanism for the policy? Could it be improved?</w:t>
      </w:r>
    </w:p>
    <w:p w:rsidR="00CE5B54" w:rsidRPr="00954F16" w:rsidRDefault="00CE5B54" w:rsidP="00CE5B54">
      <w:pPr>
        <w:spacing w:after="0"/>
        <w:ind w:left="720"/>
        <w:rPr>
          <w:rFonts w:ascii="Calibri" w:hAnsi="Calibri" w:cs="Arial"/>
          <w:i/>
          <w:color w:val="000000"/>
          <w:sz w:val="24"/>
          <w:szCs w:val="24"/>
        </w:rPr>
      </w:pPr>
    </w:p>
    <w:p w:rsidR="00CE5B54" w:rsidRPr="00954F16" w:rsidRDefault="00CE5B54" w:rsidP="00CE5B54">
      <w:pPr>
        <w:spacing w:after="0"/>
        <w:ind w:left="720"/>
        <w:rPr>
          <w:rFonts w:ascii="Calibri" w:hAnsi="Calibri" w:cs="Arial"/>
          <w:i/>
          <w:color w:val="000000"/>
          <w:sz w:val="24"/>
          <w:szCs w:val="24"/>
        </w:rPr>
      </w:pPr>
      <w:r w:rsidRPr="00954F16">
        <w:rPr>
          <w:rFonts w:ascii="Calibri" w:hAnsi="Calibri" w:cs="Arial"/>
          <w:i/>
          <w:color w:val="000000"/>
          <w:sz w:val="24"/>
          <w:szCs w:val="24"/>
        </w:rPr>
        <w:t>Improving the implementation/enforcement mechanism for the policy is one way of achieving better outcomes. Departments should provide evidence on the extent to which the chosen enforcement mechanism is appropriate. This is likely to include consideration of compliance levels and stakeholders’ views on implementation. In the case of EU regulations, this may also include considering other member states’ approaches to implementation.</w:t>
      </w:r>
    </w:p>
    <w:p w:rsidR="00CE5B54" w:rsidRPr="00954F16" w:rsidRDefault="00CE5B54" w:rsidP="00CE5B54">
      <w:pPr>
        <w:spacing w:after="0"/>
        <w:rPr>
          <w:rFonts w:ascii="Calibri" w:hAnsi="Calibri" w:cs="Arial"/>
          <w:b/>
          <w:i/>
          <w:color w:val="000000"/>
          <w:sz w:val="24"/>
          <w:szCs w:val="24"/>
        </w:rPr>
      </w:pPr>
    </w:p>
    <w:p w:rsidR="00CE5B54" w:rsidRPr="00954F16" w:rsidRDefault="00CE5B54" w:rsidP="00CE5B54">
      <w:pPr>
        <w:pStyle w:val="ListParagraph"/>
        <w:numPr>
          <w:ilvl w:val="1"/>
          <w:numId w:val="39"/>
        </w:numPr>
        <w:spacing w:after="0" w:line="240" w:lineRule="auto"/>
        <w:rPr>
          <w:rFonts w:ascii="Calibri" w:hAnsi="Calibri" w:cs="Arial"/>
          <w:b/>
          <w:color w:val="000000"/>
        </w:rPr>
      </w:pPr>
      <w:r w:rsidRPr="00954F16">
        <w:rPr>
          <w:rFonts w:ascii="Calibri" w:hAnsi="Calibri" w:cs="Arial"/>
          <w:b/>
          <w:color w:val="000000"/>
        </w:rPr>
        <w:t>To what extent would non-statutory measures or amendments help the policy meet its objectives, reduce the costs to business and/or have other advantages?</w:t>
      </w:r>
    </w:p>
    <w:p w:rsidR="00CE5B54" w:rsidRPr="00954F16" w:rsidRDefault="00CE5B54" w:rsidP="00CE5B54">
      <w:pPr>
        <w:spacing w:after="0"/>
        <w:rPr>
          <w:rFonts w:ascii="Calibri" w:hAnsi="Calibri" w:cs="Arial"/>
          <w:i/>
          <w:color w:val="000000"/>
          <w:sz w:val="24"/>
          <w:szCs w:val="24"/>
        </w:rPr>
      </w:pPr>
    </w:p>
    <w:p w:rsidR="00CE5B54" w:rsidRDefault="00CE5B54" w:rsidP="00CE5B54">
      <w:pPr>
        <w:spacing w:after="0"/>
        <w:ind w:left="720"/>
        <w:rPr>
          <w:rFonts w:ascii="Calibri" w:hAnsi="Calibri" w:cs="Arial"/>
          <w:i/>
          <w:color w:val="000000"/>
          <w:sz w:val="24"/>
          <w:szCs w:val="24"/>
        </w:rPr>
      </w:pPr>
      <w:r w:rsidRPr="00954F16">
        <w:rPr>
          <w:rFonts w:ascii="Calibri" w:hAnsi="Calibri" w:cs="Arial"/>
          <w:i/>
          <w:color w:val="000000"/>
          <w:sz w:val="24"/>
          <w:szCs w:val="24"/>
        </w:rPr>
        <w:t>To consider whether the existing form of regulation remains the most appropriate approach, departments should reconsider the extent to which alternatives to regulation could be used to achieve the policy objectives. Departments should consider whether the same objectives could be achieved through non-statutory measures and/or whether amendments could be made to reduce the cost to business, without damaging the policy objectives or increasing the overall cost to business. Departments should also consider whether the same objectives could be met through alternative measures that have additional advantages.</w:t>
      </w:r>
    </w:p>
    <w:p w:rsidR="00CE5B54" w:rsidRPr="00954F16" w:rsidRDefault="00CE5B54" w:rsidP="00CE5B54">
      <w:pPr>
        <w:spacing w:after="0"/>
        <w:rPr>
          <w:rFonts w:ascii="Calibri" w:hAnsi="Calibri" w:cs="Arial"/>
          <w:i/>
          <w:color w:val="000000"/>
          <w:sz w:val="24"/>
          <w:szCs w:val="24"/>
        </w:rPr>
      </w:pPr>
    </w:p>
    <w:p w:rsidR="00CE5B54" w:rsidRPr="001D6E3C" w:rsidRDefault="00CE5B54" w:rsidP="00CE5B54">
      <w:pPr>
        <w:pStyle w:val="ListParagraph"/>
        <w:rPr>
          <w:rFonts w:ascii="Calibri" w:hAnsi="Calibri" w:cs="Arial"/>
          <w:b/>
          <w:color w:val="000000"/>
          <w:u w:val="single"/>
        </w:rPr>
      </w:pPr>
    </w:p>
    <w:p w:rsidR="00CE5B54" w:rsidRPr="006F5C71" w:rsidRDefault="00CE5B54" w:rsidP="00CE5B54">
      <w:pPr>
        <w:pStyle w:val="ListParagraph"/>
        <w:numPr>
          <w:ilvl w:val="0"/>
          <w:numId w:val="39"/>
        </w:numPr>
        <w:spacing w:after="0" w:line="240" w:lineRule="auto"/>
        <w:rPr>
          <w:rFonts w:cstheme="minorHAnsi"/>
          <w:b/>
          <w:color w:val="984806" w:themeColor="accent6" w:themeShade="80"/>
          <w:sz w:val="28"/>
          <w:szCs w:val="28"/>
        </w:rPr>
      </w:pPr>
      <w:r w:rsidRPr="006F5C71">
        <w:rPr>
          <w:rFonts w:cstheme="minorHAnsi"/>
          <w:b/>
          <w:color w:val="984806" w:themeColor="accent6" w:themeShade="80"/>
          <w:sz w:val="28"/>
          <w:szCs w:val="28"/>
        </w:rPr>
        <w:t>What is the most appropriate option going forward?</w:t>
      </w:r>
    </w:p>
    <w:p w:rsidR="00CE5B54" w:rsidRDefault="00CE5B54" w:rsidP="00CE5B54">
      <w:pPr>
        <w:pStyle w:val="ListParagraph"/>
        <w:rPr>
          <w:rFonts w:ascii="Calibri" w:hAnsi="Calibri" w:cs="Arial"/>
          <w:b/>
          <w:color w:val="000000"/>
          <w:u w:val="single"/>
        </w:rPr>
      </w:pPr>
    </w:p>
    <w:p w:rsidR="00CE5B54" w:rsidRDefault="00CE5B54" w:rsidP="00CE5B54">
      <w:pPr>
        <w:pStyle w:val="ListParagraph"/>
        <w:rPr>
          <w:rFonts w:ascii="Calibri" w:hAnsi="Calibri" w:cs="Arial"/>
          <w:color w:val="000000"/>
        </w:rPr>
      </w:pPr>
      <w:r w:rsidRPr="00954F16">
        <w:rPr>
          <w:rFonts w:ascii="Calibri" w:hAnsi="Calibri" w:cs="Arial"/>
          <w:color w:val="000000"/>
        </w:rPr>
        <w:t xml:space="preserve">The questions above provide guidance on the analytical issues to consider in deciding whether to renew, amend, remove or allow </w:t>
      </w:r>
      <w:proofErr w:type="gramStart"/>
      <w:r w:rsidRPr="00954F16">
        <w:rPr>
          <w:rFonts w:ascii="Calibri" w:hAnsi="Calibri" w:cs="Arial"/>
          <w:color w:val="000000"/>
        </w:rPr>
        <w:t>to expire</w:t>
      </w:r>
      <w:proofErr w:type="gramEnd"/>
      <w:r w:rsidRPr="00954F16">
        <w:rPr>
          <w:rFonts w:ascii="Calibri" w:hAnsi="Calibri" w:cs="Arial"/>
          <w:color w:val="000000"/>
        </w:rPr>
        <w:t xml:space="preserve">/replace the existing regulations. The following table, taken from Figure 10 in the Cross-Whitehall Guidance </w:t>
      </w:r>
      <w:r>
        <w:rPr>
          <w:rFonts w:ascii="Calibri" w:hAnsi="Calibri" w:cs="Arial"/>
          <w:color w:val="000000"/>
        </w:rPr>
        <w:t>(</w:t>
      </w:r>
      <w:r w:rsidRPr="00954F16">
        <w:rPr>
          <w:rFonts w:ascii="Calibri" w:hAnsi="Calibri" w:cs="Arial"/>
          <w:color w:val="000000"/>
        </w:rPr>
        <w:t>which is also presented as Table 4.2A in the draft new BRFM</w:t>
      </w:r>
      <w:r>
        <w:rPr>
          <w:rFonts w:ascii="Calibri" w:hAnsi="Calibri" w:cs="Arial"/>
          <w:color w:val="000000"/>
        </w:rPr>
        <w:t>)</w:t>
      </w:r>
      <w:r w:rsidRPr="00954F16">
        <w:rPr>
          <w:rFonts w:ascii="Calibri" w:hAnsi="Calibri" w:cs="Arial"/>
          <w:color w:val="000000"/>
        </w:rPr>
        <w:t>, provides a summary of how the answers to these questions relate to the policy option chosen.</w:t>
      </w:r>
    </w:p>
    <w:tbl>
      <w:tblPr>
        <w:tblpPr w:leftFromText="180" w:rightFromText="180" w:vertAnchor="text" w:horzAnchor="margin" w:tblpY="210"/>
        <w:tblW w:w="0" w:type="auto"/>
        <w:tbl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insideH w:val="single" w:sz="12" w:space="0" w:color="984806" w:themeColor="accent6" w:themeShade="80"/>
          <w:insideV w:val="single" w:sz="12" w:space="0" w:color="984806" w:themeColor="accent6" w:themeShade="80"/>
        </w:tblBorders>
        <w:tblLook w:val="04A0" w:firstRow="1" w:lastRow="0" w:firstColumn="1" w:lastColumn="0" w:noHBand="0" w:noVBand="1"/>
      </w:tblPr>
      <w:tblGrid>
        <w:gridCol w:w="1951"/>
        <w:gridCol w:w="6946"/>
      </w:tblGrid>
      <w:tr w:rsidR="00CE5B54" w:rsidRPr="000C6115" w:rsidTr="006412DA">
        <w:tc>
          <w:tcPr>
            <w:tcW w:w="1951" w:type="dxa"/>
            <w:shd w:val="clear" w:color="auto" w:fill="FABF8F" w:themeFill="accent6" w:themeFillTint="99"/>
          </w:tcPr>
          <w:p w:rsidR="00CE5B54" w:rsidRPr="000C6115" w:rsidRDefault="00CE5B54" w:rsidP="006412DA">
            <w:pPr>
              <w:spacing w:after="0"/>
              <w:rPr>
                <w:rFonts w:ascii="Calibri" w:hAnsi="Calibri" w:cs="Arial"/>
                <w:b/>
              </w:rPr>
            </w:pPr>
            <w:r>
              <w:rPr>
                <w:rFonts w:ascii="Calibri" w:hAnsi="Calibri" w:cs="Arial"/>
                <w:b/>
              </w:rPr>
              <w:t>Option (and legislative label)</w:t>
            </w:r>
          </w:p>
        </w:tc>
        <w:tc>
          <w:tcPr>
            <w:tcW w:w="6946" w:type="dxa"/>
            <w:shd w:val="clear" w:color="auto" w:fill="FABF8F" w:themeFill="accent6" w:themeFillTint="99"/>
          </w:tcPr>
          <w:p w:rsidR="00CE5B54" w:rsidRPr="000C6115" w:rsidRDefault="00CE5B54" w:rsidP="006412DA">
            <w:pPr>
              <w:spacing w:after="0"/>
              <w:rPr>
                <w:rFonts w:ascii="Calibri" w:hAnsi="Calibri" w:cs="Arial"/>
                <w:b/>
              </w:rPr>
            </w:pPr>
            <w:r>
              <w:rPr>
                <w:rFonts w:ascii="Calibri" w:hAnsi="Calibri" w:cs="Arial"/>
                <w:b/>
              </w:rPr>
              <w:t xml:space="preserve">Evidence in support of option </w:t>
            </w:r>
          </w:p>
        </w:tc>
      </w:tr>
      <w:tr w:rsidR="00CE5B54" w:rsidRPr="000C6115" w:rsidTr="006412DA">
        <w:tc>
          <w:tcPr>
            <w:tcW w:w="1951" w:type="dxa"/>
            <w:shd w:val="clear" w:color="auto" w:fill="auto"/>
          </w:tcPr>
          <w:p w:rsidR="00CE5B54" w:rsidRPr="000C6115" w:rsidRDefault="00CE5B54" w:rsidP="006412DA">
            <w:pPr>
              <w:spacing w:after="0"/>
              <w:jc w:val="center"/>
              <w:rPr>
                <w:rFonts w:ascii="Calibri" w:hAnsi="Calibri" w:cs="Arial"/>
              </w:rPr>
            </w:pPr>
            <w:r w:rsidRPr="00807960">
              <w:rPr>
                <w:rFonts w:cstheme="minorHAnsi"/>
              </w:rPr>
              <w:t>1. Regulation should remain as is (</w:t>
            </w:r>
            <w:r w:rsidRPr="00807960">
              <w:rPr>
                <w:rFonts w:cstheme="minorHAnsi"/>
                <w:b/>
              </w:rPr>
              <w:t>Renew</w:t>
            </w:r>
            <w:r w:rsidRPr="00807960">
              <w:rPr>
                <w:rFonts w:cstheme="minorHAnsi"/>
              </w:rPr>
              <w:t>)</w:t>
            </w:r>
          </w:p>
        </w:tc>
        <w:tc>
          <w:tcPr>
            <w:tcW w:w="6946" w:type="dxa"/>
            <w:shd w:val="clear" w:color="auto" w:fill="auto"/>
          </w:tcPr>
          <w:p w:rsidR="00CE5B54" w:rsidRPr="00807960" w:rsidRDefault="00CE5B54" w:rsidP="006412DA">
            <w:pPr>
              <w:spacing w:after="0"/>
              <w:rPr>
                <w:rFonts w:cstheme="minorHAnsi"/>
              </w:rPr>
            </w:pPr>
            <w:r w:rsidRPr="00807960">
              <w:rPr>
                <w:rFonts w:cstheme="minorHAnsi"/>
              </w:rPr>
              <w:t>Q1: To what extent is the existing regulation working?</w:t>
            </w:r>
          </w:p>
          <w:p w:rsidR="00CE5B54" w:rsidRPr="00807960" w:rsidRDefault="00CE5B54" w:rsidP="00CE5B54">
            <w:pPr>
              <w:pStyle w:val="ListParagraph"/>
              <w:numPr>
                <w:ilvl w:val="0"/>
                <w:numId w:val="44"/>
              </w:numPr>
              <w:spacing w:after="0" w:line="240" w:lineRule="auto"/>
              <w:rPr>
                <w:rFonts w:cstheme="minorHAnsi"/>
              </w:rPr>
            </w:pPr>
            <w:r w:rsidRPr="00807960">
              <w:rPr>
                <w:rFonts w:cstheme="minorHAnsi"/>
              </w:rPr>
              <w:t>The policy is on course to achieve most or all of its objectives and key success criteria have been met</w:t>
            </w:r>
          </w:p>
          <w:p w:rsidR="00CE5B54" w:rsidRPr="00807960" w:rsidRDefault="00CE5B54" w:rsidP="00CE5B54">
            <w:pPr>
              <w:pStyle w:val="ListParagraph"/>
              <w:numPr>
                <w:ilvl w:val="0"/>
                <w:numId w:val="44"/>
              </w:numPr>
              <w:spacing w:after="0" w:line="240" w:lineRule="auto"/>
              <w:rPr>
                <w:rFonts w:cstheme="minorHAnsi"/>
              </w:rPr>
            </w:pPr>
            <w:r w:rsidRPr="00807960">
              <w:rPr>
                <w:rFonts w:cstheme="minorHAnsi"/>
              </w:rPr>
              <w:t>Costs have been proportionate to benefits</w:t>
            </w:r>
          </w:p>
          <w:p w:rsidR="00CE5B54" w:rsidRPr="00807960" w:rsidRDefault="00CE5B54" w:rsidP="006412DA">
            <w:pPr>
              <w:pStyle w:val="ListParagraph"/>
              <w:rPr>
                <w:rFonts w:cstheme="minorHAnsi"/>
              </w:rPr>
            </w:pPr>
          </w:p>
          <w:p w:rsidR="00CE5B54" w:rsidRPr="00807960" w:rsidRDefault="00CE5B54" w:rsidP="006412DA">
            <w:pPr>
              <w:spacing w:after="0"/>
              <w:rPr>
                <w:rFonts w:cstheme="minorHAnsi"/>
              </w:rPr>
            </w:pPr>
            <w:r w:rsidRPr="00807960">
              <w:rPr>
                <w:rFonts w:cstheme="minorHAnsi"/>
              </w:rPr>
              <w:t>Q2: Is government intervention still required?</w:t>
            </w:r>
          </w:p>
          <w:p w:rsidR="00CE5B54" w:rsidRPr="00807960" w:rsidRDefault="00CE5B54" w:rsidP="00CE5B54">
            <w:pPr>
              <w:pStyle w:val="ListParagraph"/>
              <w:numPr>
                <w:ilvl w:val="0"/>
                <w:numId w:val="40"/>
              </w:numPr>
              <w:spacing w:after="0" w:line="240" w:lineRule="auto"/>
              <w:rPr>
                <w:rFonts w:cstheme="minorHAnsi"/>
              </w:rPr>
            </w:pPr>
            <w:proofErr w:type="gramStart"/>
            <w:r w:rsidRPr="00807960">
              <w:rPr>
                <w:rFonts w:cstheme="minorHAnsi"/>
              </w:rPr>
              <w:lastRenderedPageBreak/>
              <w:t>government</w:t>
            </w:r>
            <w:proofErr w:type="gramEnd"/>
            <w:r w:rsidRPr="00807960">
              <w:rPr>
                <w:rFonts w:cstheme="minorHAnsi"/>
              </w:rPr>
              <w:t xml:space="preserve"> intervention is still required. (If the policy were withdrawn, the problem would return.) </w:t>
            </w:r>
          </w:p>
          <w:p w:rsidR="00CE5B54" w:rsidRPr="00807960" w:rsidRDefault="00CE5B54" w:rsidP="006412DA">
            <w:pPr>
              <w:pStyle w:val="ListParagraph"/>
              <w:rPr>
                <w:rFonts w:cstheme="minorHAnsi"/>
              </w:rPr>
            </w:pPr>
          </w:p>
          <w:p w:rsidR="00CE5B54" w:rsidRPr="00807960" w:rsidRDefault="00CE5B54" w:rsidP="006412DA">
            <w:pPr>
              <w:spacing w:after="0"/>
              <w:rPr>
                <w:rFonts w:cstheme="minorHAnsi"/>
              </w:rPr>
            </w:pPr>
            <w:r w:rsidRPr="00807960">
              <w:rPr>
                <w:rFonts w:cstheme="minorHAnsi"/>
              </w:rPr>
              <w:t>Q3: Is the existing form of regulation still the most appropriate approach?</w:t>
            </w:r>
          </w:p>
          <w:p w:rsidR="00CE5B54" w:rsidRPr="00807960" w:rsidRDefault="00CE5B54" w:rsidP="00CE5B54">
            <w:pPr>
              <w:pStyle w:val="ListParagraph"/>
              <w:numPr>
                <w:ilvl w:val="0"/>
                <w:numId w:val="40"/>
              </w:numPr>
              <w:spacing w:after="0" w:line="240" w:lineRule="auto"/>
              <w:rPr>
                <w:rFonts w:cstheme="minorHAnsi"/>
              </w:rPr>
            </w:pPr>
            <w:r w:rsidRPr="00807960">
              <w:rPr>
                <w:rFonts w:cstheme="minorHAnsi"/>
              </w:rPr>
              <w:t>compliance levels are sufficient to support achievement of objectives</w:t>
            </w:r>
          </w:p>
          <w:p w:rsidR="00CE5B54" w:rsidRPr="000C6115" w:rsidRDefault="00CE5B54" w:rsidP="00CE5B54">
            <w:pPr>
              <w:numPr>
                <w:ilvl w:val="0"/>
                <w:numId w:val="21"/>
              </w:numPr>
              <w:spacing w:after="0"/>
              <w:contextualSpacing/>
              <w:rPr>
                <w:rFonts w:ascii="Calibri" w:hAnsi="Calibri"/>
              </w:rPr>
            </w:pPr>
            <w:r w:rsidRPr="00807960">
              <w:rPr>
                <w:rFonts w:cstheme="minorHAnsi"/>
              </w:rPr>
              <w:t>there are no alternatives that are less burdensome to business and/or overall</w:t>
            </w:r>
          </w:p>
        </w:tc>
      </w:tr>
      <w:tr w:rsidR="00CE5B54" w:rsidRPr="000C6115" w:rsidTr="006412DA">
        <w:tc>
          <w:tcPr>
            <w:tcW w:w="1951" w:type="dxa"/>
            <w:shd w:val="clear" w:color="auto" w:fill="auto"/>
          </w:tcPr>
          <w:p w:rsidR="00CE5B54" w:rsidRPr="000C6115" w:rsidRDefault="00CE5B54" w:rsidP="006412DA">
            <w:pPr>
              <w:spacing w:after="0"/>
              <w:jc w:val="center"/>
              <w:rPr>
                <w:rFonts w:ascii="Calibri" w:hAnsi="Calibri" w:cs="Arial"/>
              </w:rPr>
            </w:pPr>
            <w:r w:rsidRPr="00807960">
              <w:rPr>
                <w:rFonts w:cstheme="minorHAnsi"/>
              </w:rPr>
              <w:lastRenderedPageBreak/>
              <w:t>2. Regulation should remain but implementation should be revised or improved (</w:t>
            </w:r>
            <w:r w:rsidRPr="00807960">
              <w:rPr>
                <w:rFonts w:cstheme="minorHAnsi"/>
                <w:b/>
              </w:rPr>
              <w:t>Amend</w:t>
            </w:r>
            <w:r w:rsidRPr="00807960">
              <w:rPr>
                <w:rFonts w:cstheme="minorHAnsi"/>
              </w:rPr>
              <w:t>)</w:t>
            </w:r>
          </w:p>
        </w:tc>
        <w:tc>
          <w:tcPr>
            <w:tcW w:w="6946" w:type="dxa"/>
            <w:shd w:val="clear" w:color="auto" w:fill="auto"/>
          </w:tcPr>
          <w:p w:rsidR="00CE5B54" w:rsidRPr="00807960" w:rsidRDefault="00CE5B54" w:rsidP="006412DA">
            <w:pPr>
              <w:spacing w:after="0"/>
              <w:rPr>
                <w:rFonts w:cstheme="minorHAnsi"/>
              </w:rPr>
            </w:pPr>
            <w:r w:rsidRPr="00807960">
              <w:rPr>
                <w:rFonts w:cstheme="minorHAnsi"/>
              </w:rPr>
              <w:t>Q1: To what extent is the existing regulation working?</w:t>
            </w:r>
          </w:p>
          <w:p w:rsidR="00CE5B54" w:rsidRPr="00807960" w:rsidRDefault="00CE5B54" w:rsidP="00CE5B54">
            <w:pPr>
              <w:pStyle w:val="ListParagraph"/>
              <w:numPr>
                <w:ilvl w:val="0"/>
                <w:numId w:val="45"/>
              </w:numPr>
              <w:spacing w:after="0" w:line="240" w:lineRule="auto"/>
              <w:rPr>
                <w:rFonts w:cstheme="minorHAnsi"/>
              </w:rPr>
            </w:pPr>
            <w:r w:rsidRPr="00807960">
              <w:rPr>
                <w:rFonts w:cstheme="minorHAnsi"/>
              </w:rPr>
              <w:t>The policy is achieving most or all of its objectives, and success criteria have been met</w:t>
            </w:r>
          </w:p>
          <w:p w:rsidR="00CE5B54" w:rsidRPr="00807960" w:rsidRDefault="00CE5B54" w:rsidP="006412DA">
            <w:pPr>
              <w:pStyle w:val="ListParagraph"/>
              <w:rPr>
                <w:rFonts w:cstheme="minorHAnsi"/>
              </w:rPr>
            </w:pPr>
          </w:p>
          <w:p w:rsidR="00CE5B54" w:rsidRPr="00807960" w:rsidRDefault="00CE5B54" w:rsidP="006412DA">
            <w:pPr>
              <w:spacing w:after="0"/>
              <w:rPr>
                <w:rFonts w:cstheme="minorHAnsi"/>
              </w:rPr>
            </w:pPr>
            <w:r w:rsidRPr="00807960">
              <w:rPr>
                <w:rFonts w:cstheme="minorHAnsi"/>
              </w:rPr>
              <w:t>Q2: Is government intervention still required?</w:t>
            </w:r>
          </w:p>
          <w:p w:rsidR="00CE5B54" w:rsidRPr="00807960" w:rsidRDefault="00CE5B54" w:rsidP="00CE5B54">
            <w:pPr>
              <w:pStyle w:val="ListParagraph"/>
              <w:numPr>
                <w:ilvl w:val="0"/>
                <w:numId w:val="40"/>
              </w:numPr>
              <w:spacing w:after="0" w:line="240" w:lineRule="auto"/>
              <w:rPr>
                <w:rFonts w:cstheme="minorHAnsi"/>
              </w:rPr>
            </w:pPr>
            <w:proofErr w:type="gramStart"/>
            <w:r w:rsidRPr="00807960">
              <w:rPr>
                <w:rFonts w:cstheme="minorHAnsi"/>
              </w:rPr>
              <w:t>government</w:t>
            </w:r>
            <w:proofErr w:type="gramEnd"/>
            <w:r w:rsidRPr="00807960">
              <w:rPr>
                <w:rFonts w:cstheme="minorHAnsi"/>
              </w:rPr>
              <w:t xml:space="preserve"> intervention is still required. (If the policy were withdrawn, the problem would return.) </w:t>
            </w:r>
          </w:p>
          <w:p w:rsidR="00CE5B54" w:rsidRPr="00807960" w:rsidRDefault="00CE5B54" w:rsidP="006412DA">
            <w:pPr>
              <w:spacing w:after="0"/>
              <w:rPr>
                <w:rFonts w:cstheme="minorHAnsi"/>
              </w:rPr>
            </w:pPr>
          </w:p>
          <w:p w:rsidR="00CE5B54" w:rsidRPr="00807960" w:rsidRDefault="00CE5B54" w:rsidP="006412DA">
            <w:pPr>
              <w:spacing w:after="0"/>
              <w:rPr>
                <w:rFonts w:cstheme="minorHAnsi"/>
              </w:rPr>
            </w:pPr>
            <w:r w:rsidRPr="00807960">
              <w:rPr>
                <w:rFonts w:cstheme="minorHAnsi"/>
              </w:rPr>
              <w:t>Q3: Is the existing form of regulation still the most appropriate approach?</w:t>
            </w:r>
          </w:p>
          <w:p w:rsidR="00CE5B54" w:rsidRPr="00807960" w:rsidRDefault="00CE5B54" w:rsidP="006412DA">
            <w:pPr>
              <w:spacing w:after="0"/>
              <w:rPr>
                <w:rFonts w:cstheme="minorHAnsi"/>
              </w:rPr>
            </w:pPr>
            <w:r w:rsidRPr="00807960">
              <w:rPr>
                <w:rFonts w:cstheme="minorHAnsi"/>
              </w:rPr>
              <w:t>Amendments could help to:</w:t>
            </w:r>
          </w:p>
          <w:p w:rsidR="00CE5B54" w:rsidRPr="00807960" w:rsidRDefault="00CE5B54" w:rsidP="00CE5B54">
            <w:pPr>
              <w:pStyle w:val="ListParagraph"/>
              <w:numPr>
                <w:ilvl w:val="0"/>
                <w:numId w:val="40"/>
              </w:numPr>
              <w:spacing w:after="0" w:line="240" w:lineRule="auto"/>
              <w:rPr>
                <w:rFonts w:cstheme="minorHAnsi"/>
              </w:rPr>
            </w:pPr>
            <w:r w:rsidRPr="00807960">
              <w:rPr>
                <w:rFonts w:cstheme="minorHAnsi"/>
              </w:rPr>
              <w:t xml:space="preserve">achieve further benefits </w:t>
            </w:r>
          </w:p>
          <w:p w:rsidR="00CE5B54" w:rsidRPr="00807960" w:rsidRDefault="00CE5B54" w:rsidP="00CE5B54">
            <w:pPr>
              <w:pStyle w:val="ListParagraph"/>
              <w:numPr>
                <w:ilvl w:val="0"/>
                <w:numId w:val="41"/>
              </w:numPr>
              <w:spacing w:after="0" w:line="240" w:lineRule="auto"/>
              <w:rPr>
                <w:rFonts w:cstheme="minorHAnsi"/>
              </w:rPr>
            </w:pPr>
            <w:r w:rsidRPr="00807960">
              <w:rPr>
                <w:rFonts w:cstheme="minorHAnsi"/>
              </w:rPr>
              <w:t>reduce costs or burdens on business and/or overall</w:t>
            </w:r>
          </w:p>
          <w:p w:rsidR="00CE5B54" w:rsidRPr="00807960" w:rsidRDefault="00CE5B54" w:rsidP="00CE5B54">
            <w:pPr>
              <w:pStyle w:val="ListParagraph"/>
              <w:numPr>
                <w:ilvl w:val="0"/>
                <w:numId w:val="41"/>
              </w:numPr>
              <w:spacing w:after="0" w:line="240" w:lineRule="auto"/>
              <w:rPr>
                <w:rFonts w:cstheme="minorHAnsi"/>
              </w:rPr>
            </w:pPr>
            <w:r w:rsidRPr="00807960">
              <w:rPr>
                <w:rFonts w:cstheme="minorHAnsi"/>
              </w:rPr>
              <w:t xml:space="preserve">simplify the implementation processes </w:t>
            </w:r>
          </w:p>
          <w:p w:rsidR="00CE5B54" w:rsidRPr="00807960" w:rsidRDefault="00CE5B54" w:rsidP="00CE5B54">
            <w:pPr>
              <w:pStyle w:val="ListParagraph"/>
              <w:numPr>
                <w:ilvl w:val="0"/>
                <w:numId w:val="41"/>
              </w:numPr>
              <w:spacing w:after="0" w:line="240" w:lineRule="auto"/>
              <w:rPr>
                <w:rFonts w:cstheme="minorHAnsi"/>
              </w:rPr>
            </w:pPr>
            <w:r w:rsidRPr="00807960">
              <w:rPr>
                <w:rFonts w:cstheme="minorHAnsi"/>
              </w:rPr>
              <w:t>improve compliance</w:t>
            </w:r>
          </w:p>
          <w:p w:rsidR="00CE5B54" w:rsidRPr="000C6115" w:rsidRDefault="00CE5B54" w:rsidP="00CE5B54">
            <w:pPr>
              <w:numPr>
                <w:ilvl w:val="0"/>
                <w:numId w:val="21"/>
              </w:numPr>
              <w:spacing w:after="0"/>
              <w:contextualSpacing/>
              <w:rPr>
                <w:rFonts w:ascii="Calibri" w:hAnsi="Calibri" w:cs="Arial"/>
              </w:rPr>
            </w:pPr>
            <w:r w:rsidRPr="00807960">
              <w:rPr>
                <w:rFonts w:cstheme="minorHAnsi"/>
              </w:rPr>
              <w:t xml:space="preserve">reduce unintended or negative effects  </w:t>
            </w:r>
          </w:p>
        </w:tc>
      </w:tr>
      <w:tr w:rsidR="00CE5B54" w:rsidRPr="000C6115" w:rsidTr="006412DA">
        <w:tc>
          <w:tcPr>
            <w:tcW w:w="1951" w:type="dxa"/>
            <w:shd w:val="clear" w:color="auto" w:fill="auto"/>
          </w:tcPr>
          <w:p w:rsidR="00CE5B54" w:rsidRPr="00807960" w:rsidRDefault="00CE5B54" w:rsidP="006412DA">
            <w:pPr>
              <w:spacing w:after="0"/>
              <w:rPr>
                <w:rFonts w:cstheme="minorHAnsi"/>
              </w:rPr>
            </w:pPr>
            <w:r w:rsidRPr="00807960">
              <w:rPr>
                <w:rFonts w:cstheme="minorHAnsi"/>
              </w:rPr>
              <w:t>3. Regulation should be removed without replacement</w:t>
            </w:r>
          </w:p>
          <w:p w:rsidR="00CE5B54" w:rsidRPr="00807960" w:rsidRDefault="00CE5B54" w:rsidP="006412DA">
            <w:pPr>
              <w:spacing w:after="0"/>
              <w:rPr>
                <w:rFonts w:cstheme="minorHAnsi"/>
                <w:b/>
              </w:rPr>
            </w:pPr>
            <w:r w:rsidRPr="00807960">
              <w:rPr>
                <w:rFonts w:cstheme="minorHAnsi"/>
              </w:rPr>
              <w:t>(</w:t>
            </w:r>
            <w:r w:rsidRPr="00807960">
              <w:rPr>
                <w:rFonts w:cstheme="minorHAnsi"/>
                <w:b/>
              </w:rPr>
              <w:t>Remove or Expire</w:t>
            </w:r>
            <w:r w:rsidRPr="00807960">
              <w:rPr>
                <w:rFonts w:cstheme="minorHAnsi"/>
              </w:rPr>
              <w:t xml:space="preserve">) </w:t>
            </w:r>
          </w:p>
          <w:p w:rsidR="00CE5B54" w:rsidRPr="000C6115" w:rsidRDefault="00CE5B54" w:rsidP="006412DA">
            <w:pPr>
              <w:spacing w:after="0"/>
              <w:jc w:val="center"/>
              <w:rPr>
                <w:rFonts w:ascii="Calibri" w:hAnsi="Calibri" w:cs="Arial"/>
              </w:rPr>
            </w:pPr>
          </w:p>
        </w:tc>
        <w:tc>
          <w:tcPr>
            <w:tcW w:w="6946" w:type="dxa"/>
            <w:shd w:val="clear" w:color="auto" w:fill="auto"/>
          </w:tcPr>
          <w:p w:rsidR="00CE5B54" w:rsidRPr="00807960" w:rsidRDefault="00CE5B54" w:rsidP="006412DA">
            <w:pPr>
              <w:spacing w:after="0"/>
              <w:rPr>
                <w:rFonts w:cstheme="minorHAnsi"/>
              </w:rPr>
            </w:pPr>
            <w:r w:rsidRPr="00807960">
              <w:rPr>
                <w:rFonts w:cstheme="minorHAnsi"/>
                <w:i/>
              </w:rPr>
              <w:t>One or both of the following applies</w:t>
            </w:r>
            <w:r w:rsidRPr="00807960">
              <w:rPr>
                <w:rFonts w:cstheme="minorHAnsi"/>
              </w:rPr>
              <w:t>:</w:t>
            </w:r>
          </w:p>
          <w:p w:rsidR="00CE5B54" w:rsidRPr="00807960" w:rsidRDefault="00CE5B54" w:rsidP="00CE5B54">
            <w:pPr>
              <w:numPr>
                <w:ilvl w:val="0"/>
                <w:numId w:val="42"/>
              </w:numPr>
              <w:spacing w:after="0" w:line="240" w:lineRule="auto"/>
              <w:contextualSpacing/>
              <w:rPr>
                <w:rFonts w:eastAsia="Arial" w:cstheme="minorHAnsi"/>
              </w:rPr>
            </w:pPr>
            <w:r w:rsidRPr="00807960">
              <w:rPr>
                <w:rFonts w:eastAsia="Arial" w:cstheme="minorHAnsi"/>
              </w:rPr>
              <w:t>The policy is not, or is no longer</w:t>
            </w:r>
            <w:r>
              <w:rPr>
                <w:rFonts w:eastAsia="Arial" w:cstheme="minorHAnsi"/>
              </w:rPr>
              <w:t>,</w:t>
            </w:r>
            <w:r w:rsidRPr="00807960">
              <w:rPr>
                <w:rFonts w:eastAsia="Arial" w:cstheme="minorHAnsi"/>
              </w:rPr>
              <w:t xml:space="preserve"> achieving most of its objectives or key success criteria [Q1]</w:t>
            </w:r>
          </w:p>
          <w:p w:rsidR="00CE5B54" w:rsidRPr="00807960" w:rsidRDefault="00CE5B54" w:rsidP="00CE5B54">
            <w:pPr>
              <w:numPr>
                <w:ilvl w:val="0"/>
                <w:numId w:val="42"/>
              </w:numPr>
              <w:spacing w:after="0" w:line="240" w:lineRule="auto"/>
              <w:contextualSpacing/>
              <w:rPr>
                <w:rFonts w:eastAsia="Arial" w:cstheme="minorHAnsi"/>
              </w:rPr>
            </w:pPr>
            <w:r w:rsidRPr="00807960">
              <w:rPr>
                <w:rFonts w:eastAsia="Arial" w:cstheme="minorHAnsi"/>
              </w:rPr>
              <w:t>costs are disproportionate compared to benefits [Q1]</w:t>
            </w:r>
          </w:p>
          <w:p w:rsidR="00CE5B54" w:rsidRPr="00807960" w:rsidRDefault="00CE5B54" w:rsidP="006412DA">
            <w:pPr>
              <w:spacing w:after="0" w:line="240" w:lineRule="auto"/>
              <w:contextualSpacing/>
              <w:rPr>
                <w:rFonts w:eastAsia="Arial" w:cstheme="minorHAnsi"/>
              </w:rPr>
            </w:pPr>
          </w:p>
          <w:p w:rsidR="00CE5B54" w:rsidRPr="00807960" w:rsidRDefault="00CE5B54" w:rsidP="006412DA">
            <w:pPr>
              <w:spacing w:after="0"/>
              <w:rPr>
                <w:rFonts w:cstheme="minorHAnsi"/>
              </w:rPr>
            </w:pPr>
            <w:r w:rsidRPr="00807960">
              <w:rPr>
                <w:rFonts w:cstheme="minorHAnsi"/>
                <w:i/>
                <w:u w:val="single"/>
              </w:rPr>
              <w:t>AND</w:t>
            </w:r>
            <w:r w:rsidRPr="00807960">
              <w:rPr>
                <w:rFonts w:cstheme="minorHAnsi"/>
                <w:i/>
              </w:rPr>
              <w:t xml:space="preserve"> one of the following applies</w:t>
            </w:r>
            <w:r w:rsidRPr="00807960">
              <w:rPr>
                <w:rFonts w:cstheme="minorHAnsi"/>
              </w:rPr>
              <w:t>:</w:t>
            </w:r>
          </w:p>
          <w:p w:rsidR="00CE5B54" w:rsidRPr="00807960" w:rsidRDefault="00CE5B54" w:rsidP="00CE5B54">
            <w:pPr>
              <w:pStyle w:val="ListParagraph"/>
              <w:numPr>
                <w:ilvl w:val="0"/>
                <w:numId w:val="46"/>
              </w:numPr>
              <w:spacing w:after="0" w:line="240" w:lineRule="auto"/>
              <w:rPr>
                <w:rFonts w:cstheme="minorHAnsi"/>
              </w:rPr>
            </w:pPr>
            <w:r w:rsidRPr="00807960">
              <w:rPr>
                <w:rFonts w:cstheme="minorHAnsi"/>
              </w:rPr>
              <w:t xml:space="preserve">Government intervention is no longer required (the original policy objectives are no longer relevant </w:t>
            </w:r>
            <w:r w:rsidRPr="00807960">
              <w:rPr>
                <w:rFonts w:cstheme="minorHAnsi"/>
                <w:u w:val="single"/>
              </w:rPr>
              <w:t>or</w:t>
            </w:r>
            <w:r w:rsidRPr="00807960">
              <w:rPr>
                <w:rFonts w:cstheme="minorHAnsi"/>
              </w:rPr>
              <w:t xml:space="preserve"> it is clear that if the intervention was withdrawn the problem would not return)  [Q2]</w:t>
            </w:r>
          </w:p>
          <w:p w:rsidR="00CE5B54" w:rsidRPr="00807960" w:rsidRDefault="00CE5B54" w:rsidP="00CE5B54">
            <w:pPr>
              <w:pStyle w:val="ListParagraph"/>
              <w:numPr>
                <w:ilvl w:val="0"/>
                <w:numId w:val="46"/>
              </w:numPr>
              <w:spacing w:after="0" w:line="240" w:lineRule="auto"/>
              <w:rPr>
                <w:rFonts w:cstheme="minorHAnsi"/>
              </w:rPr>
            </w:pPr>
            <w:r w:rsidRPr="00807960">
              <w:rPr>
                <w:rFonts w:cstheme="minorHAnsi"/>
              </w:rPr>
              <w:t>compliance levels are insufficient to support achievement of its objectives and are unlikely to be improved [Q3]</w:t>
            </w:r>
          </w:p>
          <w:p w:rsidR="00CE5B54" w:rsidRPr="000C6115" w:rsidRDefault="00CE5B54" w:rsidP="00CE5B54">
            <w:pPr>
              <w:numPr>
                <w:ilvl w:val="0"/>
                <w:numId w:val="21"/>
              </w:numPr>
              <w:spacing w:after="0"/>
              <w:contextualSpacing/>
              <w:rPr>
                <w:rFonts w:ascii="Calibri" w:hAnsi="Calibri" w:cs="Arial"/>
              </w:rPr>
            </w:pPr>
            <w:r w:rsidRPr="00807960">
              <w:rPr>
                <w:rFonts w:cstheme="minorHAnsi"/>
              </w:rPr>
              <w:t>alternatives to regulation can now be considered to achieve the objectives [Q3]</w:t>
            </w:r>
          </w:p>
        </w:tc>
      </w:tr>
      <w:tr w:rsidR="00CE5B54" w:rsidRPr="000C6115" w:rsidTr="006412DA">
        <w:tc>
          <w:tcPr>
            <w:tcW w:w="1951" w:type="dxa"/>
            <w:shd w:val="clear" w:color="auto" w:fill="auto"/>
          </w:tcPr>
          <w:p w:rsidR="00CE5B54" w:rsidRPr="00807960" w:rsidRDefault="00CE5B54" w:rsidP="006412DA">
            <w:pPr>
              <w:spacing w:after="0"/>
              <w:rPr>
                <w:rFonts w:cstheme="minorHAnsi"/>
              </w:rPr>
            </w:pPr>
            <w:r w:rsidRPr="00807960">
              <w:rPr>
                <w:rFonts w:cstheme="minorHAnsi"/>
              </w:rPr>
              <w:t>4. Regulation should be replaced or redesigned (</w:t>
            </w:r>
            <w:r w:rsidRPr="00807960">
              <w:rPr>
                <w:rFonts w:cstheme="minorHAnsi"/>
                <w:b/>
              </w:rPr>
              <w:t>Replace</w:t>
            </w:r>
            <w:r w:rsidRPr="00807960">
              <w:rPr>
                <w:rFonts w:cstheme="minorHAnsi"/>
              </w:rPr>
              <w:t>)</w:t>
            </w:r>
          </w:p>
        </w:tc>
        <w:tc>
          <w:tcPr>
            <w:tcW w:w="6946" w:type="dxa"/>
            <w:shd w:val="clear" w:color="auto" w:fill="auto"/>
          </w:tcPr>
          <w:p w:rsidR="00CE5B54" w:rsidRPr="00807960" w:rsidRDefault="00CE5B54" w:rsidP="006412DA">
            <w:pPr>
              <w:spacing w:after="0"/>
              <w:rPr>
                <w:rFonts w:cstheme="minorHAnsi"/>
              </w:rPr>
            </w:pPr>
            <w:r w:rsidRPr="00807960">
              <w:rPr>
                <w:rFonts w:cstheme="minorHAnsi"/>
                <w:i/>
              </w:rPr>
              <w:t>One of the following applies</w:t>
            </w:r>
            <w:r w:rsidRPr="00807960">
              <w:rPr>
                <w:rFonts w:cstheme="minorHAnsi"/>
              </w:rPr>
              <w:t>:</w:t>
            </w:r>
          </w:p>
          <w:p w:rsidR="00CE5B54" w:rsidRPr="00807960" w:rsidRDefault="00CE5B54" w:rsidP="00CE5B54">
            <w:pPr>
              <w:numPr>
                <w:ilvl w:val="0"/>
                <w:numId w:val="42"/>
              </w:numPr>
              <w:spacing w:after="0" w:line="240" w:lineRule="auto"/>
              <w:contextualSpacing/>
              <w:rPr>
                <w:rFonts w:eastAsia="Arial" w:cstheme="minorHAnsi"/>
              </w:rPr>
            </w:pPr>
            <w:r w:rsidRPr="00807960">
              <w:rPr>
                <w:rFonts w:eastAsia="Arial" w:cstheme="minorHAnsi"/>
              </w:rPr>
              <w:t>The policy is not, or is no longer</w:t>
            </w:r>
            <w:r>
              <w:rPr>
                <w:rFonts w:eastAsia="Arial" w:cstheme="minorHAnsi"/>
              </w:rPr>
              <w:t>,</w:t>
            </w:r>
            <w:r w:rsidRPr="00807960">
              <w:rPr>
                <w:rFonts w:eastAsia="Arial" w:cstheme="minorHAnsi"/>
              </w:rPr>
              <w:t xml:space="preserve"> achieving most of its objectives or key success criteria [Q1]</w:t>
            </w:r>
          </w:p>
          <w:p w:rsidR="00CE5B54" w:rsidRPr="00807960" w:rsidRDefault="00CE5B54" w:rsidP="00CE5B54">
            <w:pPr>
              <w:numPr>
                <w:ilvl w:val="0"/>
                <w:numId w:val="42"/>
              </w:numPr>
              <w:spacing w:after="0" w:line="240" w:lineRule="auto"/>
              <w:contextualSpacing/>
              <w:rPr>
                <w:rFonts w:eastAsia="Arial" w:cstheme="minorHAnsi"/>
              </w:rPr>
            </w:pPr>
            <w:r w:rsidRPr="00807960">
              <w:rPr>
                <w:rFonts w:eastAsia="Arial" w:cstheme="minorHAnsi"/>
              </w:rPr>
              <w:t>costs are disproportionate compared to benefits [Q1]</w:t>
            </w:r>
          </w:p>
          <w:p w:rsidR="00CE5B54" w:rsidRPr="00807960" w:rsidRDefault="00CE5B54" w:rsidP="00CE5B54">
            <w:pPr>
              <w:pStyle w:val="ListParagraph"/>
              <w:numPr>
                <w:ilvl w:val="0"/>
                <w:numId w:val="46"/>
              </w:numPr>
              <w:spacing w:after="0" w:line="240" w:lineRule="auto"/>
              <w:rPr>
                <w:rFonts w:cstheme="minorHAnsi"/>
              </w:rPr>
            </w:pPr>
            <w:r w:rsidRPr="00807960">
              <w:rPr>
                <w:rFonts w:cstheme="minorHAnsi"/>
              </w:rPr>
              <w:t>compliance levels are insufficient to support achievement of its objectives and are unlikely to be improved [Q3]</w:t>
            </w:r>
          </w:p>
          <w:p w:rsidR="00CE5B54" w:rsidRPr="00807960" w:rsidRDefault="00CE5B54" w:rsidP="006412DA">
            <w:pPr>
              <w:spacing w:after="0"/>
              <w:rPr>
                <w:rFonts w:cstheme="minorHAnsi"/>
              </w:rPr>
            </w:pPr>
          </w:p>
          <w:p w:rsidR="00CE5B54" w:rsidRPr="00807960" w:rsidRDefault="00CE5B54" w:rsidP="006412DA">
            <w:pPr>
              <w:spacing w:after="0"/>
              <w:rPr>
                <w:rFonts w:cstheme="minorHAnsi"/>
                <w:i/>
              </w:rPr>
            </w:pPr>
            <w:r w:rsidRPr="00807960">
              <w:rPr>
                <w:rFonts w:cstheme="minorHAnsi"/>
                <w:i/>
                <w:u w:val="single"/>
              </w:rPr>
              <w:t>AND</w:t>
            </w:r>
            <w:r w:rsidRPr="00807960">
              <w:rPr>
                <w:rFonts w:cstheme="minorHAnsi"/>
                <w:i/>
              </w:rPr>
              <w:t xml:space="preserve">: </w:t>
            </w:r>
          </w:p>
          <w:p w:rsidR="00CE5B54" w:rsidRPr="00807960" w:rsidRDefault="00CE5B54" w:rsidP="00CE5B54">
            <w:pPr>
              <w:pStyle w:val="ListParagraph"/>
              <w:numPr>
                <w:ilvl w:val="0"/>
                <w:numId w:val="46"/>
              </w:numPr>
              <w:spacing w:after="0" w:line="240" w:lineRule="auto"/>
              <w:rPr>
                <w:rFonts w:cstheme="minorHAnsi"/>
              </w:rPr>
            </w:pPr>
            <w:r w:rsidRPr="00807960">
              <w:rPr>
                <w:rFonts w:cstheme="minorHAnsi"/>
              </w:rPr>
              <w:t>Government intervention is still required to address the problem [Q2]</w:t>
            </w:r>
          </w:p>
          <w:p w:rsidR="00CE5B54" w:rsidRPr="00807960" w:rsidRDefault="00CE5B54" w:rsidP="006412DA">
            <w:pPr>
              <w:pStyle w:val="ListParagraph"/>
              <w:rPr>
                <w:rFonts w:cstheme="minorHAnsi"/>
              </w:rPr>
            </w:pPr>
          </w:p>
          <w:p w:rsidR="00CE5B54" w:rsidRPr="00807960" w:rsidRDefault="00CE5B54" w:rsidP="006412DA">
            <w:pPr>
              <w:spacing w:after="0"/>
              <w:rPr>
                <w:rFonts w:cstheme="minorHAnsi"/>
                <w:i/>
              </w:rPr>
            </w:pPr>
            <w:r w:rsidRPr="00807960">
              <w:rPr>
                <w:rFonts w:cstheme="minorHAnsi"/>
                <w:i/>
                <w:u w:val="single"/>
              </w:rPr>
              <w:t>AND</w:t>
            </w:r>
            <w:r w:rsidRPr="00807960">
              <w:rPr>
                <w:rFonts w:cstheme="minorHAnsi"/>
                <w:i/>
              </w:rPr>
              <w:t xml:space="preserve">: </w:t>
            </w:r>
            <w:r w:rsidRPr="00807960">
              <w:rPr>
                <w:rFonts w:cstheme="minorHAnsi"/>
              </w:rPr>
              <w:t>The same or better performance could be achieved using a regulation</w:t>
            </w:r>
            <w:r w:rsidRPr="00807960">
              <w:rPr>
                <w:rFonts w:cstheme="minorHAnsi"/>
                <w:b/>
              </w:rPr>
              <w:t xml:space="preserve"> </w:t>
            </w:r>
            <w:r w:rsidRPr="00807960">
              <w:rPr>
                <w:rFonts w:cstheme="minorHAnsi"/>
              </w:rPr>
              <w:t xml:space="preserve">or alternative to regulation, which: </w:t>
            </w:r>
          </w:p>
          <w:p w:rsidR="00CE5B54" w:rsidRPr="00807960" w:rsidRDefault="00CE5B54" w:rsidP="00CE5B54">
            <w:pPr>
              <w:pStyle w:val="ListParagraph"/>
              <w:numPr>
                <w:ilvl w:val="0"/>
                <w:numId w:val="43"/>
              </w:numPr>
              <w:spacing w:after="0" w:line="240" w:lineRule="auto"/>
              <w:rPr>
                <w:rFonts w:cstheme="minorHAnsi"/>
              </w:rPr>
            </w:pPr>
            <w:r w:rsidRPr="00807960">
              <w:rPr>
                <w:rFonts w:cstheme="minorHAnsi"/>
              </w:rPr>
              <w:t>costs less [Q3]</w:t>
            </w:r>
          </w:p>
          <w:p w:rsidR="00CE5B54" w:rsidRPr="00807960" w:rsidRDefault="00CE5B54" w:rsidP="00CE5B54">
            <w:pPr>
              <w:pStyle w:val="ListParagraph"/>
              <w:numPr>
                <w:ilvl w:val="0"/>
                <w:numId w:val="43"/>
              </w:numPr>
              <w:spacing w:after="0" w:line="240" w:lineRule="auto"/>
              <w:rPr>
                <w:rFonts w:cstheme="minorHAnsi"/>
              </w:rPr>
            </w:pPr>
            <w:r w:rsidRPr="00807960">
              <w:rPr>
                <w:rFonts w:cstheme="minorHAnsi"/>
              </w:rPr>
              <w:t>creates less burden on business and/or overall [Q3]</w:t>
            </w:r>
          </w:p>
          <w:p w:rsidR="00CE5B54" w:rsidRPr="000F3F1C" w:rsidRDefault="00CE5B54" w:rsidP="00CE5B54">
            <w:pPr>
              <w:pStyle w:val="ListParagraph"/>
              <w:numPr>
                <w:ilvl w:val="0"/>
                <w:numId w:val="43"/>
              </w:numPr>
              <w:spacing w:after="0" w:line="240" w:lineRule="auto"/>
              <w:rPr>
                <w:rFonts w:cstheme="minorHAnsi"/>
                <w:i/>
              </w:rPr>
            </w:pPr>
            <w:r w:rsidRPr="00807960">
              <w:rPr>
                <w:rFonts w:cstheme="minorHAnsi"/>
              </w:rPr>
              <w:t>creates fewer negative impacts [Q3]</w:t>
            </w:r>
          </w:p>
          <w:p w:rsidR="00CE5B54" w:rsidRPr="000F3F1C" w:rsidRDefault="00CE5B54" w:rsidP="00CE5B54">
            <w:pPr>
              <w:pStyle w:val="ListParagraph"/>
              <w:numPr>
                <w:ilvl w:val="0"/>
                <w:numId w:val="43"/>
              </w:numPr>
              <w:spacing w:after="0" w:line="240" w:lineRule="auto"/>
              <w:rPr>
                <w:rFonts w:cstheme="minorHAnsi"/>
                <w:i/>
              </w:rPr>
            </w:pPr>
            <w:r w:rsidRPr="000F3F1C">
              <w:rPr>
                <w:rFonts w:cstheme="minorHAnsi"/>
              </w:rPr>
              <w:t>increases benefits [Q3]</w:t>
            </w:r>
          </w:p>
        </w:tc>
      </w:tr>
    </w:tbl>
    <w:p w:rsidR="00CE5B54" w:rsidRDefault="00CE5B54" w:rsidP="00CE5B54">
      <w:pPr>
        <w:pStyle w:val="ListParagraph"/>
        <w:rPr>
          <w:rFonts w:ascii="Calibri" w:hAnsi="Calibri" w:cs="Arial"/>
          <w:color w:val="000000"/>
        </w:rPr>
      </w:pPr>
    </w:p>
    <w:p w:rsidR="00CE5B54" w:rsidRPr="00807960" w:rsidRDefault="00CE5B54" w:rsidP="00CE5B54">
      <w:pPr>
        <w:autoSpaceDE w:val="0"/>
        <w:autoSpaceDN w:val="0"/>
        <w:adjustRightInd w:val="0"/>
        <w:spacing w:after="0" w:line="240" w:lineRule="auto"/>
        <w:rPr>
          <w:rFonts w:cstheme="minorHAnsi"/>
        </w:rPr>
      </w:pPr>
    </w:p>
    <w:p w:rsidR="00CE5B54" w:rsidRPr="00807960" w:rsidRDefault="00CE5B54" w:rsidP="00CE5B54">
      <w:pPr>
        <w:autoSpaceDE w:val="0"/>
        <w:autoSpaceDN w:val="0"/>
        <w:adjustRightInd w:val="0"/>
        <w:spacing w:after="0" w:line="240" w:lineRule="auto"/>
        <w:rPr>
          <w:rFonts w:cstheme="minorHAnsi"/>
          <w:color w:val="000000"/>
        </w:rPr>
      </w:pPr>
    </w:p>
    <w:p w:rsidR="00CE5B54" w:rsidRPr="00807960" w:rsidRDefault="00CE5B54" w:rsidP="00CE5B54">
      <w:pPr>
        <w:spacing w:after="0"/>
        <w:rPr>
          <w:rFonts w:cstheme="minorHAnsi"/>
          <w:i/>
        </w:rPr>
      </w:pPr>
    </w:p>
    <w:p w:rsidR="003C28F8" w:rsidRDefault="003C28F8" w:rsidP="00CE5B54">
      <w:pPr>
        <w:rPr>
          <w:b/>
          <w:color w:val="E36C0A" w:themeColor="accent6" w:themeShade="BF"/>
          <w:sz w:val="44"/>
          <w:szCs w:val="44"/>
        </w:rPr>
      </w:pPr>
    </w:p>
    <w:sectPr w:rsidR="003C28F8" w:rsidSect="00085949">
      <w:pgSz w:w="11906" w:h="16838" w:code="9"/>
      <w:pgMar w:top="1440"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A59" w:rsidRDefault="00C90A59" w:rsidP="00584A82">
      <w:pPr>
        <w:spacing w:after="0" w:line="240" w:lineRule="auto"/>
      </w:pPr>
      <w:r>
        <w:separator/>
      </w:r>
    </w:p>
  </w:endnote>
  <w:endnote w:type="continuationSeparator" w:id="0">
    <w:p w:rsidR="00C90A59" w:rsidRDefault="00C90A59" w:rsidP="00584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00"/>
    <w:family w:val="roman"/>
    <w:pitch w:val="variable"/>
    <w:sig w:usb0="04000687" w:usb1="000000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A59" w:rsidRDefault="00C90A59">
    <w:pPr>
      <w:pStyle w:val="Footer"/>
      <w:jc w:val="center"/>
    </w:pPr>
  </w:p>
  <w:p w:rsidR="00C90A59" w:rsidRDefault="00C90A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575963"/>
      <w:docPartObj>
        <w:docPartGallery w:val="Page Numbers (Bottom of Page)"/>
        <w:docPartUnique/>
      </w:docPartObj>
    </w:sdtPr>
    <w:sdtEndPr>
      <w:rPr>
        <w:noProof/>
      </w:rPr>
    </w:sdtEndPr>
    <w:sdtContent>
      <w:p w:rsidR="00C90A59" w:rsidRDefault="00C90A59">
        <w:pPr>
          <w:pStyle w:val="Footer"/>
          <w:jc w:val="center"/>
        </w:pPr>
        <w:r>
          <w:fldChar w:fldCharType="begin"/>
        </w:r>
        <w:r>
          <w:instrText xml:space="preserve"> PAGE   \* MERGEFORMAT </w:instrText>
        </w:r>
        <w:r>
          <w:fldChar w:fldCharType="separate"/>
        </w:r>
        <w:r w:rsidR="004F2E23">
          <w:rPr>
            <w:noProof/>
          </w:rPr>
          <w:t>22</w:t>
        </w:r>
        <w:r>
          <w:rPr>
            <w:noProof/>
          </w:rPr>
          <w:fldChar w:fldCharType="end"/>
        </w:r>
      </w:p>
    </w:sdtContent>
  </w:sdt>
  <w:p w:rsidR="00C90A59" w:rsidRDefault="00C90A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708503"/>
      <w:docPartObj>
        <w:docPartGallery w:val="Page Numbers (Bottom of Page)"/>
        <w:docPartUnique/>
      </w:docPartObj>
    </w:sdtPr>
    <w:sdtEndPr>
      <w:rPr>
        <w:noProof/>
      </w:rPr>
    </w:sdtEndPr>
    <w:sdtContent>
      <w:p w:rsidR="00C90A59" w:rsidRDefault="00C90A59">
        <w:pPr>
          <w:pStyle w:val="Footer"/>
          <w:jc w:val="center"/>
        </w:pPr>
        <w:r>
          <w:fldChar w:fldCharType="begin"/>
        </w:r>
        <w:r>
          <w:instrText xml:space="preserve"> PAGE   \* MERGEFORMAT </w:instrText>
        </w:r>
        <w:r>
          <w:fldChar w:fldCharType="separate"/>
        </w:r>
        <w:r w:rsidR="004F2E23">
          <w:rPr>
            <w:noProof/>
          </w:rPr>
          <w:t>7</w:t>
        </w:r>
        <w:r>
          <w:rPr>
            <w:noProof/>
          </w:rPr>
          <w:fldChar w:fldCharType="end"/>
        </w:r>
      </w:p>
    </w:sdtContent>
  </w:sdt>
  <w:p w:rsidR="00C90A59" w:rsidRDefault="00C90A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A59" w:rsidRDefault="00C90A59" w:rsidP="00584A82">
      <w:pPr>
        <w:spacing w:after="0" w:line="240" w:lineRule="auto"/>
      </w:pPr>
      <w:r>
        <w:separator/>
      </w:r>
    </w:p>
  </w:footnote>
  <w:footnote w:type="continuationSeparator" w:id="0">
    <w:p w:rsidR="00C90A59" w:rsidRDefault="00C90A59" w:rsidP="00584A82">
      <w:pPr>
        <w:spacing w:after="0" w:line="240" w:lineRule="auto"/>
      </w:pPr>
      <w:r>
        <w:continuationSeparator/>
      </w:r>
    </w:p>
  </w:footnote>
  <w:footnote w:id="1">
    <w:p w:rsidR="00C90A59" w:rsidRDefault="00C90A59" w:rsidP="0050231F">
      <w:pPr>
        <w:pStyle w:val="FootnoteText"/>
        <w:rPr>
          <w:rFonts w:cstheme="minorHAnsi"/>
          <w:color w:val="000000" w:themeColor="text1"/>
          <w:sz w:val="18"/>
          <w:szCs w:val="18"/>
        </w:rPr>
      </w:pPr>
      <w:r w:rsidRPr="001B0A23">
        <w:rPr>
          <w:rStyle w:val="FootnoteReference"/>
          <w:sz w:val="18"/>
          <w:szCs w:val="18"/>
        </w:rPr>
        <w:footnoteRef/>
      </w:r>
      <w:r w:rsidRPr="001B0A23">
        <w:rPr>
          <w:rFonts w:cstheme="minorHAnsi"/>
          <w:sz w:val="18"/>
          <w:szCs w:val="18"/>
        </w:rPr>
        <w:t xml:space="preserve"> Examples are agreements between employers and unions, </w:t>
      </w:r>
      <w:r w:rsidRPr="001B0A23">
        <w:rPr>
          <w:rFonts w:cstheme="minorHAnsi"/>
          <w:color w:val="000000" w:themeColor="text1"/>
          <w:sz w:val="18"/>
          <w:szCs w:val="18"/>
        </w:rPr>
        <w:t>where employment relations are largely achieved through agreement between the two parties, or similar more informal approaches in workplaces without unions. It appears that the principle of such agreements could be applied in other spheres.</w:t>
      </w:r>
    </w:p>
    <w:p w:rsidR="00C90A59" w:rsidRPr="001B0A23" w:rsidRDefault="00C90A59" w:rsidP="0050231F">
      <w:pPr>
        <w:pStyle w:val="FootnoteText"/>
        <w:rPr>
          <w:rFonts w:cstheme="minorHAnsi"/>
          <w:sz w:val="18"/>
          <w:szCs w:val="18"/>
        </w:rPr>
      </w:pPr>
    </w:p>
  </w:footnote>
  <w:footnote w:id="2">
    <w:p w:rsidR="00C90A59" w:rsidRDefault="00C90A59" w:rsidP="0050231F">
      <w:pPr>
        <w:pStyle w:val="FootnoteText"/>
        <w:rPr>
          <w:rFonts w:cstheme="minorHAnsi"/>
          <w:sz w:val="18"/>
          <w:szCs w:val="18"/>
        </w:rPr>
      </w:pPr>
      <w:r w:rsidRPr="001B0A23">
        <w:rPr>
          <w:rStyle w:val="FootnoteReference"/>
          <w:rFonts w:cstheme="minorHAnsi"/>
          <w:sz w:val="18"/>
          <w:szCs w:val="18"/>
        </w:rPr>
        <w:footnoteRef/>
      </w:r>
      <w:r w:rsidRPr="001B0A23">
        <w:rPr>
          <w:rFonts w:cstheme="minorHAnsi"/>
          <w:sz w:val="18"/>
          <w:szCs w:val="18"/>
        </w:rPr>
        <w:t xml:space="preserve"> The potential anti-competitive effect of both regulation and self-regulation if it favours incumbents at a cost to new entrants should be considered in impact assessments in general.</w:t>
      </w:r>
    </w:p>
    <w:p w:rsidR="00C90A59" w:rsidRPr="001B0A23" w:rsidRDefault="00C90A59" w:rsidP="0050231F">
      <w:pPr>
        <w:pStyle w:val="FootnoteText"/>
        <w:rPr>
          <w:rFonts w:cstheme="minorHAnsi"/>
          <w:sz w:val="18"/>
          <w:szCs w:val="18"/>
        </w:rPr>
      </w:pPr>
    </w:p>
  </w:footnote>
  <w:footnote w:id="3">
    <w:p w:rsidR="00C90A59" w:rsidRPr="001B0A23" w:rsidRDefault="00C90A59" w:rsidP="0050231F">
      <w:pPr>
        <w:pStyle w:val="FootnoteText"/>
        <w:rPr>
          <w:rFonts w:cstheme="minorHAnsi"/>
          <w:sz w:val="18"/>
          <w:szCs w:val="18"/>
        </w:rPr>
      </w:pPr>
      <w:r w:rsidRPr="001B0A23">
        <w:rPr>
          <w:rStyle w:val="FootnoteReference"/>
          <w:rFonts w:cstheme="minorHAnsi"/>
          <w:sz w:val="18"/>
          <w:szCs w:val="18"/>
        </w:rPr>
        <w:footnoteRef/>
      </w:r>
      <w:r w:rsidRPr="001B0A23">
        <w:rPr>
          <w:rFonts w:cstheme="minorHAnsi"/>
          <w:sz w:val="18"/>
          <w:szCs w:val="18"/>
        </w:rPr>
        <w:t xml:space="preserve"> The report “Regulatory Policy and Behavioural Economics” commissioned by the OECD provides a useful overview on the use of behavioural economics in regulatory policy: </w:t>
      </w:r>
      <w:hyperlink r:id="rId1" w:history="1">
        <w:r w:rsidRPr="001B0A23">
          <w:rPr>
            <w:rStyle w:val="Hyperlink"/>
            <w:rFonts w:cstheme="minorHAnsi"/>
            <w:sz w:val="18"/>
            <w:szCs w:val="18"/>
          </w:rPr>
          <w:t>http://www.oecd-ilibrary.org/governance/regulatory-policy-and-behavioural-economics_9789264207851-en</w:t>
        </w:r>
      </w:hyperlink>
    </w:p>
  </w:footnote>
  <w:footnote w:id="4">
    <w:p w:rsidR="00C90A59" w:rsidRPr="004534C8" w:rsidRDefault="00C90A59" w:rsidP="009D0BBE">
      <w:pPr>
        <w:spacing w:line="240" w:lineRule="auto"/>
        <w:rPr>
          <w:rFonts w:eastAsia="Times New Roman" w:cstheme="minorHAnsi"/>
          <w:sz w:val="18"/>
          <w:szCs w:val="18"/>
          <w:lang w:eastAsia="en-GB"/>
        </w:rPr>
      </w:pPr>
      <w:r w:rsidRPr="004534C8">
        <w:rPr>
          <w:rStyle w:val="FootnoteReference"/>
          <w:rFonts w:cstheme="minorHAnsi"/>
          <w:sz w:val="18"/>
          <w:szCs w:val="18"/>
        </w:rPr>
        <w:footnoteRef/>
      </w:r>
      <w:r w:rsidRPr="004534C8">
        <w:rPr>
          <w:rFonts w:cstheme="minorHAnsi"/>
          <w:sz w:val="18"/>
          <w:szCs w:val="18"/>
        </w:rPr>
        <w:t xml:space="preserve"> </w:t>
      </w:r>
      <w:r w:rsidRPr="004534C8">
        <w:rPr>
          <w:rFonts w:eastAsia="Times New Roman" w:cstheme="minorHAnsi"/>
          <w:sz w:val="18"/>
          <w:szCs w:val="18"/>
          <w:lang w:eastAsia="en-GB"/>
        </w:rPr>
        <w:t>This position is consistent with a failure to take available derogations that would reduce the costs to business being scored as an IN under OITO/BIT. Since an IN is, by definition, a measure that increases the cost to business, the counterfactual which results in this outcome is one where it is assumed that the derogation is taken up.</w:t>
      </w:r>
    </w:p>
    <w:p w:rsidR="00C90A59" w:rsidRDefault="00C90A59" w:rsidP="009D0BBE">
      <w:pPr>
        <w:pStyle w:val="FootnoteText"/>
      </w:pPr>
    </w:p>
  </w:footnote>
  <w:footnote w:id="5">
    <w:p w:rsidR="00C90A59" w:rsidRPr="00A97AFE" w:rsidRDefault="00C90A59" w:rsidP="009D0BBE">
      <w:pPr>
        <w:pStyle w:val="FootnoteText"/>
        <w:rPr>
          <w:sz w:val="18"/>
          <w:szCs w:val="18"/>
        </w:rPr>
      </w:pPr>
      <w:r w:rsidRPr="0018656B">
        <w:rPr>
          <w:rStyle w:val="FootnoteReference"/>
          <w:sz w:val="18"/>
          <w:szCs w:val="18"/>
        </w:rPr>
        <w:footnoteRef/>
      </w:r>
      <w:r w:rsidRPr="0018656B">
        <w:rPr>
          <w:sz w:val="18"/>
          <w:szCs w:val="18"/>
        </w:rPr>
        <w:t xml:space="preserve"> </w:t>
      </w:r>
      <w:r>
        <w:rPr>
          <w:sz w:val="18"/>
          <w:szCs w:val="18"/>
        </w:rPr>
        <w:t>Better Regulation Framework Manual</w:t>
      </w:r>
    </w:p>
  </w:footnote>
  <w:footnote w:id="6">
    <w:p w:rsidR="00C90A59" w:rsidRPr="00A97AFE" w:rsidRDefault="00C90A59" w:rsidP="009D0BBE">
      <w:pPr>
        <w:pStyle w:val="FootnoteText"/>
        <w:rPr>
          <w:sz w:val="18"/>
          <w:szCs w:val="18"/>
        </w:rPr>
      </w:pPr>
      <w:r w:rsidRPr="00A97AFE">
        <w:rPr>
          <w:rStyle w:val="FootnoteReference"/>
          <w:sz w:val="18"/>
          <w:szCs w:val="18"/>
        </w:rPr>
        <w:footnoteRef/>
      </w:r>
      <w:r w:rsidRPr="00A97AFE">
        <w:rPr>
          <w:sz w:val="18"/>
          <w:szCs w:val="18"/>
        </w:rPr>
        <w:t xml:space="preserve"> This effectively shifts part of the supply curve</w:t>
      </w:r>
      <w:r>
        <w:rPr>
          <w:sz w:val="18"/>
          <w:szCs w:val="18"/>
        </w:rPr>
        <w:t>.</w:t>
      </w:r>
    </w:p>
  </w:footnote>
  <w:footnote w:id="7">
    <w:p w:rsidR="00C90A59" w:rsidRPr="00E24FBE" w:rsidRDefault="00C90A59" w:rsidP="005C4054">
      <w:pPr>
        <w:pStyle w:val="FootnoteText"/>
        <w:rPr>
          <w:rFonts w:cstheme="minorHAnsi"/>
          <w:sz w:val="18"/>
          <w:szCs w:val="18"/>
        </w:rPr>
      </w:pPr>
      <w:r w:rsidRPr="00E24FBE">
        <w:rPr>
          <w:rStyle w:val="FootnoteReference"/>
          <w:rFonts w:cstheme="minorHAnsi"/>
          <w:sz w:val="18"/>
          <w:szCs w:val="18"/>
        </w:rPr>
        <w:footnoteRef/>
      </w:r>
      <w:r w:rsidRPr="00E24FBE">
        <w:rPr>
          <w:rFonts w:cstheme="minorHAnsi"/>
          <w:sz w:val="18"/>
          <w:szCs w:val="18"/>
        </w:rPr>
        <w:t xml:space="preserve"> For measures with a large impact on the market price, movements in price should also be taken into account wherever possible.</w:t>
      </w:r>
    </w:p>
  </w:footnote>
  <w:footnote w:id="8">
    <w:p w:rsidR="00C90A59" w:rsidRPr="003C2C2B" w:rsidRDefault="00C90A59" w:rsidP="00BC6B55">
      <w:pPr>
        <w:pStyle w:val="FootnoteText"/>
        <w:rPr>
          <w:sz w:val="18"/>
          <w:szCs w:val="18"/>
        </w:rPr>
      </w:pPr>
      <w:r w:rsidRPr="003C2C2B">
        <w:rPr>
          <w:rStyle w:val="FootnoteReference"/>
          <w:sz w:val="18"/>
          <w:szCs w:val="18"/>
        </w:rPr>
        <w:footnoteRef/>
      </w:r>
      <w:r w:rsidRPr="003C2C2B">
        <w:rPr>
          <w:sz w:val="18"/>
          <w:szCs w:val="18"/>
        </w:rPr>
        <w:t xml:space="preserve"> </w:t>
      </w:r>
      <w:r w:rsidRPr="003C2C2B">
        <w:rPr>
          <w:rFonts w:cstheme="minorHAnsi"/>
          <w:sz w:val="18"/>
          <w:szCs w:val="18"/>
        </w:rPr>
        <w:t>This is defined in the EU Transposition Guidance</w:t>
      </w:r>
      <w:r>
        <w:rPr>
          <w:rFonts w:cstheme="minorHAnsi"/>
          <w:sz w:val="18"/>
          <w:szCs w:val="18"/>
        </w:rPr>
        <w:t>.</w:t>
      </w:r>
    </w:p>
  </w:footnote>
  <w:footnote w:id="9">
    <w:p w:rsidR="00C90A59" w:rsidRPr="00330EF0" w:rsidRDefault="00C90A59" w:rsidP="00BC6B55">
      <w:pPr>
        <w:pStyle w:val="FootnoteText"/>
        <w:rPr>
          <w:rFonts w:cstheme="minorHAnsi"/>
          <w:sz w:val="18"/>
          <w:szCs w:val="18"/>
        </w:rPr>
      </w:pPr>
      <w:r w:rsidRPr="00330EF0">
        <w:rPr>
          <w:rStyle w:val="FootnoteReference"/>
          <w:rFonts w:cstheme="minorHAnsi"/>
          <w:sz w:val="18"/>
          <w:szCs w:val="18"/>
        </w:rPr>
        <w:footnoteRef/>
      </w:r>
      <w:r w:rsidRPr="00330EF0">
        <w:rPr>
          <w:rFonts w:cstheme="minorHAnsi"/>
          <w:sz w:val="18"/>
          <w:szCs w:val="18"/>
        </w:rPr>
        <w:t xml:space="preserve"> </w:t>
      </w:r>
      <w:r w:rsidRPr="00330EF0">
        <w:rPr>
          <w:rFonts w:cstheme="minorHAnsi"/>
          <w:color w:val="000000"/>
          <w:sz w:val="18"/>
          <w:szCs w:val="18"/>
        </w:rPr>
        <w:t>There is an argument that directly applicable EU regulation should be treated the same way as EU directives, i.e. the EU does nothing. This would be consistent with trying to identify the full impact of EU regulation. However, given that impact assessments are not usually carried out for directly applicable EU regulation, since there is no decision to inform, it would not be possible to provide anything near complete coverage of these measures.</w:t>
      </w:r>
    </w:p>
  </w:footnote>
  <w:footnote w:id="10">
    <w:p w:rsidR="00C90A59" w:rsidRDefault="00C90A59" w:rsidP="00CE5B54">
      <w:pPr>
        <w:pStyle w:val="FootnoteText"/>
      </w:pPr>
      <w:r>
        <w:rPr>
          <w:rStyle w:val="FootnoteReference"/>
        </w:rPr>
        <w:footnoteRef/>
      </w:r>
      <w:r>
        <w:t xml:space="preserve"> </w:t>
      </w:r>
      <w:r w:rsidRPr="00DF5BC9">
        <w:t>https://www.gov.uk/guidance/transport-analysis-guidance-webtag</w:t>
      </w:r>
    </w:p>
  </w:footnote>
  <w:footnote w:id="11">
    <w:p w:rsidR="00C90A59" w:rsidRDefault="00C90A59" w:rsidP="00CE5B54">
      <w:pPr>
        <w:pStyle w:val="FootnoteText"/>
      </w:pPr>
      <w:r>
        <w:rPr>
          <w:rStyle w:val="FootnoteReference"/>
        </w:rPr>
        <w:footnoteRef/>
      </w:r>
      <w:r>
        <w:t xml:space="preserve"> </w:t>
      </w:r>
      <w:r w:rsidRPr="00DF5BC9">
        <w:t>http://www.hse.gov.uk/economics/eauappraisal.htm</w:t>
      </w:r>
    </w:p>
  </w:footnote>
  <w:footnote w:id="12">
    <w:p w:rsidR="00C90A59" w:rsidRDefault="00C90A59" w:rsidP="00CE5B54">
      <w:pPr>
        <w:pStyle w:val="FootnoteText"/>
      </w:pPr>
      <w:r>
        <w:rPr>
          <w:rStyle w:val="FootnoteReference"/>
        </w:rPr>
        <w:footnoteRef/>
      </w:r>
      <w:r>
        <w:t xml:space="preserve"> </w:t>
      </w:r>
      <w:r w:rsidRPr="00F263B5">
        <w:rPr>
          <w:rFonts w:cstheme="minorHAnsi"/>
        </w:rPr>
        <w:t>Guide for Conducting Post Implementation Reviews, August 2015</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A59" w:rsidRPr="003764A9" w:rsidRDefault="00C90A59">
    <w:pPr>
      <w:pStyle w:val="Header"/>
      <w:rPr>
        <w:i/>
      </w:rPr>
    </w:pPr>
    <w:r>
      <w:rPr>
        <w:i/>
      </w:rPr>
      <w:t>RPC Case Histories                                                                                                                       December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7B1"/>
    <w:multiLevelType w:val="hybridMultilevel"/>
    <w:tmpl w:val="DE8E8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B314A3"/>
    <w:multiLevelType w:val="multilevel"/>
    <w:tmpl w:val="151E9F20"/>
    <w:lvl w:ilvl="0">
      <w:start w:val="1"/>
      <w:numFmt w:val="decimal"/>
      <w:lvlText w:val="%1."/>
      <w:lvlJc w:val="left"/>
      <w:pPr>
        <w:ind w:left="720" w:hanging="360"/>
      </w:pPr>
      <w:rPr>
        <w:rFonts w:hint="default"/>
        <w:b/>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2871A0D"/>
    <w:multiLevelType w:val="multilevel"/>
    <w:tmpl w:val="240641F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6F5743"/>
    <w:multiLevelType w:val="hybridMultilevel"/>
    <w:tmpl w:val="B0649344"/>
    <w:lvl w:ilvl="0" w:tplc="3F6202D0">
      <w:start w:val="1"/>
      <w:numFmt w:val="lowerLetter"/>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86299E"/>
    <w:multiLevelType w:val="hybridMultilevel"/>
    <w:tmpl w:val="FC84E608"/>
    <w:lvl w:ilvl="0" w:tplc="628028F6">
      <w:start w:val="1"/>
      <w:numFmt w:val="lowerRoman"/>
      <w:lvlText w:val="%1."/>
      <w:lvlJc w:val="right"/>
      <w:pPr>
        <w:ind w:left="720" w:hanging="360"/>
      </w:pPr>
      <w:rPr>
        <w:rFonts w:hint="default"/>
        <w:b/>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A32781"/>
    <w:multiLevelType w:val="hybridMultilevel"/>
    <w:tmpl w:val="7B3C1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2035C9"/>
    <w:multiLevelType w:val="multilevel"/>
    <w:tmpl w:val="37B45AC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D676C99"/>
    <w:multiLevelType w:val="multilevel"/>
    <w:tmpl w:val="E3ACDDE2"/>
    <w:lvl w:ilvl="0">
      <w:start w:val="1"/>
      <w:numFmt w:val="decimal"/>
      <w:lvlText w:val="%1."/>
      <w:lvlJc w:val="left"/>
      <w:pPr>
        <w:ind w:left="1080" w:hanging="360"/>
      </w:pPr>
      <w:rPr>
        <w:rFonts w:hint="default"/>
      </w:rPr>
    </w:lvl>
    <w:lvl w:ilvl="1">
      <w:start w:val="2"/>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0DE37FB1"/>
    <w:multiLevelType w:val="multilevel"/>
    <w:tmpl w:val="DCE040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FC12483"/>
    <w:multiLevelType w:val="hybridMultilevel"/>
    <w:tmpl w:val="D5DA9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DC53F3"/>
    <w:multiLevelType w:val="hybridMultilevel"/>
    <w:tmpl w:val="2A5E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AF789D"/>
    <w:multiLevelType w:val="multilevel"/>
    <w:tmpl w:val="DA9C17EE"/>
    <w:lvl w:ilvl="0">
      <w:start w:val="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1F327AAE"/>
    <w:multiLevelType w:val="hybridMultilevel"/>
    <w:tmpl w:val="7A4AF24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34A1717"/>
    <w:multiLevelType w:val="hybridMultilevel"/>
    <w:tmpl w:val="79308B0C"/>
    <w:lvl w:ilvl="0" w:tplc="EC18F372">
      <w:start w:val="1"/>
      <w:numFmt w:val="low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558589A"/>
    <w:multiLevelType w:val="multilevel"/>
    <w:tmpl w:val="F69A379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80F72D1"/>
    <w:multiLevelType w:val="hybridMultilevel"/>
    <w:tmpl w:val="BB50A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1DD1826"/>
    <w:multiLevelType w:val="hybridMultilevel"/>
    <w:tmpl w:val="B3507D22"/>
    <w:lvl w:ilvl="0" w:tplc="1C1CD6C0">
      <w:start w:val="1"/>
      <w:numFmt w:val="decimal"/>
      <w:lvlText w:val="%1)"/>
      <w:lvlJc w:val="left"/>
      <w:pPr>
        <w:ind w:left="720" w:hanging="360"/>
      </w:pPr>
      <w:rPr>
        <w:rFonts w:hint="default"/>
        <w:b/>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96022F"/>
    <w:multiLevelType w:val="hybridMultilevel"/>
    <w:tmpl w:val="3390A0C8"/>
    <w:lvl w:ilvl="0" w:tplc="830603E2">
      <w:start w:val="1"/>
      <w:numFmt w:val="low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8EB59FD"/>
    <w:multiLevelType w:val="hybridMultilevel"/>
    <w:tmpl w:val="6A32A0B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A0393E"/>
    <w:multiLevelType w:val="hybridMultilevel"/>
    <w:tmpl w:val="8FFAF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8B342D"/>
    <w:multiLevelType w:val="hybridMultilevel"/>
    <w:tmpl w:val="317CCA5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23F1C7D"/>
    <w:multiLevelType w:val="hybridMultilevel"/>
    <w:tmpl w:val="426C9008"/>
    <w:lvl w:ilvl="0" w:tplc="C7604FE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641B8B"/>
    <w:multiLevelType w:val="hybridMultilevel"/>
    <w:tmpl w:val="B52C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BA2553"/>
    <w:multiLevelType w:val="hybridMultilevel"/>
    <w:tmpl w:val="58A2C31E"/>
    <w:lvl w:ilvl="0" w:tplc="F77E5818">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7A6696"/>
    <w:multiLevelType w:val="multilevel"/>
    <w:tmpl w:val="83EC603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4DAF6809"/>
    <w:multiLevelType w:val="hybridMultilevel"/>
    <w:tmpl w:val="8AEE523C"/>
    <w:lvl w:ilvl="0" w:tplc="C0DA2362">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5A29BE"/>
    <w:multiLevelType w:val="hybridMultilevel"/>
    <w:tmpl w:val="10165A42"/>
    <w:lvl w:ilvl="0" w:tplc="C39A7892">
      <w:start w:val="3"/>
      <w:numFmt w:val="bullet"/>
      <w:lvlText w:val="-"/>
      <w:lvlJc w:val="left"/>
      <w:pPr>
        <w:ind w:left="2203" w:hanging="360"/>
      </w:pPr>
      <w:rPr>
        <w:rFonts w:ascii="Calibri" w:eastAsiaTheme="minorHAnsi" w:hAnsi="Calibri" w:cs="Calibri"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27">
    <w:nsid w:val="4E5D1D78"/>
    <w:multiLevelType w:val="multilevel"/>
    <w:tmpl w:val="F69A379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2751060"/>
    <w:multiLevelType w:val="multilevel"/>
    <w:tmpl w:val="F69A379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52996F58"/>
    <w:multiLevelType w:val="hybridMultilevel"/>
    <w:tmpl w:val="A8F8D9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43F4CB6"/>
    <w:multiLevelType w:val="multilevel"/>
    <w:tmpl w:val="5A74A3A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6651FC9"/>
    <w:multiLevelType w:val="hybridMultilevel"/>
    <w:tmpl w:val="5CBC1B2A"/>
    <w:lvl w:ilvl="0" w:tplc="AB5A44EC">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7576A51"/>
    <w:multiLevelType w:val="hybridMultilevel"/>
    <w:tmpl w:val="C400DE64"/>
    <w:lvl w:ilvl="0" w:tplc="5984A818">
      <w:start w:val="1"/>
      <w:numFmt w:val="lowerRoman"/>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8841326"/>
    <w:multiLevelType w:val="hybridMultilevel"/>
    <w:tmpl w:val="4348A53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8B30A7C"/>
    <w:multiLevelType w:val="hybridMultilevel"/>
    <w:tmpl w:val="F21E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9206308"/>
    <w:multiLevelType w:val="hybridMultilevel"/>
    <w:tmpl w:val="C5EA2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F016DA9"/>
    <w:multiLevelType w:val="multilevel"/>
    <w:tmpl w:val="83EC603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60653ABD"/>
    <w:multiLevelType w:val="multilevel"/>
    <w:tmpl w:val="4F3C20C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12173FC"/>
    <w:multiLevelType w:val="multilevel"/>
    <w:tmpl w:val="9918B05C"/>
    <w:lvl w:ilvl="0">
      <w:start w:val="3"/>
      <w:numFmt w:val="decimal"/>
      <w:lvlText w:val="%1"/>
      <w:lvlJc w:val="left"/>
      <w:pPr>
        <w:ind w:left="480" w:hanging="480"/>
      </w:pPr>
      <w:rPr>
        <w:rFonts w:cstheme="minorHAnsi" w:hint="default"/>
      </w:rPr>
    </w:lvl>
    <w:lvl w:ilvl="1">
      <w:start w:val="1"/>
      <w:numFmt w:val="decimal"/>
      <w:lvlText w:val="%1.%2"/>
      <w:lvlJc w:val="left"/>
      <w:pPr>
        <w:ind w:left="1401" w:hanging="480"/>
      </w:pPr>
      <w:rPr>
        <w:rFonts w:cstheme="minorHAnsi" w:hint="default"/>
      </w:rPr>
    </w:lvl>
    <w:lvl w:ilvl="2">
      <w:start w:val="4"/>
      <w:numFmt w:val="decimal"/>
      <w:lvlText w:val="%1.%2.%3"/>
      <w:lvlJc w:val="left"/>
      <w:pPr>
        <w:ind w:left="2562" w:hanging="720"/>
      </w:pPr>
      <w:rPr>
        <w:rFonts w:cstheme="minorHAnsi" w:hint="default"/>
      </w:rPr>
    </w:lvl>
    <w:lvl w:ilvl="3">
      <w:start w:val="1"/>
      <w:numFmt w:val="decimal"/>
      <w:lvlText w:val="%1.%2.%3.%4"/>
      <w:lvlJc w:val="left"/>
      <w:pPr>
        <w:ind w:left="3483" w:hanging="720"/>
      </w:pPr>
      <w:rPr>
        <w:rFonts w:cstheme="minorHAnsi" w:hint="default"/>
      </w:rPr>
    </w:lvl>
    <w:lvl w:ilvl="4">
      <w:start w:val="1"/>
      <w:numFmt w:val="decimal"/>
      <w:lvlText w:val="%1.%2.%3.%4.%5"/>
      <w:lvlJc w:val="left"/>
      <w:pPr>
        <w:ind w:left="4764" w:hanging="1080"/>
      </w:pPr>
      <w:rPr>
        <w:rFonts w:cstheme="minorHAnsi" w:hint="default"/>
      </w:rPr>
    </w:lvl>
    <w:lvl w:ilvl="5">
      <w:start w:val="1"/>
      <w:numFmt w:val="decimal"/>
      <w:lvlText w:val="%1.%2.%3.%4.%5.%6"/>
      <w:lvlJc w:val="left"/>
      <w:pPr>
        <w:ind w:left="5685" w:hanging="1080"/>
      </w:pPr>
      <w:rPr>
        <w:rFonts w:cstheme="minorHAnsi" w:hint="default"/>
      </w:rPr>
    </w:lvl>
    <w:lvl w:ilvl="6">
      <w:start w:val="1"/>
      <w:numFmt w:val="decimal"/>
      <w:lvlText w:val="%1.%2.%3.%4.%5.%6.%7"/>
      <w:lvlJc w:val="left"/>
      <w:pPr>
        <w:ind w:left="6966" w:hanging="1440"/>
      </w:pPr>
      <w:rPr>
        <w:rFonts w:cstheme="minorHAnsi" w:hint="default"/>
      </w:rPr>
    </w:lvl>
    <w:lvl w:ilvl="7">
      <w:start w:val="1"/>
      <w:numFmt w:val="decimal"/>
      <w:lvlText w:val="%1.%2.%3.%4.%5.%6.%7.%8"/>
      <w:lvlJc w:val="left"/>
      <w:pPr>
        <w:ind w:left="7887" w:hanging="1440"/>
      </w:pPr>
      <w:rPr>
        <w:rFonts w:cstheme="minorHAnsi" w:hint="default"/>
      </w:rPr>
    </w:lvl>
    <w:lvl w:ilvl="8">
      <w:start w:val="1"/>
      <w:numFmt w:val="decimal"/>
      <w:lvlText w:val="%1.%2.%3.%4.%5.%6.%7.%8.%9"/>
      <w:lvlJc w:val="left"/>
      <w:pPr>
        <w:ind w:left="9168" w:hanging="1800"/>
      </w:pPr>
      <w:rPr>
        <w:rFonts w:cstheme="minorHAnsi" w:hint="default"/>
      </w:rPr>
    </w:lvl>
  </w:abstractNum>
  <w:abstractNum w:abstractNumId="39">
    <w:nsid w:val="688B762F"/>
    <w:multiLevelType w:val="hybridMultilevel"/>
    <w:tmpl w:val="71BC947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95C3142"/>
    <w:multiLevelType w:val="hybridMultilevel"/>
    <w:tmpl w:val="C536285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nsid w:val="6ADE01CC"/>
    <w:multiLevelType w:val="hybridMultilevel"/>
    <w:tmpl w:val="0B9810EE"/>
    <w:lvl w:ilvl="0" w:tplc="C0DA2362">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6A8532A"/>
    <w:multiLevelType w:val="hybridMultilevel"/>
    <w:tmpl w:val="6C509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88562ED"/>
    <w:multiLevelType w:val="hybridMultilevel"/>
    <w:tmpl w:val="E7BA6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8DE32F1"/>
    <w:multiLevelType w:val="hybridMultilevel"/>
    <w:tmpl w:val="8A962374"/>
    <w:lvl w:ilvl="0" w:tplc="C206D3A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nsid w:val="7AD6477D"/>
    <w:multiLevelType w:val="hybridMultilevel"/>
    <w:tmpl w:val="C73A736E"/>
    <w:lvl w:ilvl="0" w:tplc="B4E0A0BA">
      <w:start w:val="1"/>
      <w:numFmt w:val="low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D3E0385"/>
    <w:multiLevelType w:val="hybridMultilevel"/>
    <w:tmpl w:val="B5FE461A"/>
    <w:lvl w:ilvl="0" w:tplc="C0CCF4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EF71A6C"/>
    <w:multiLevelType w:val="hybridMultilevel"/>
    <w:tmpl w:val="5804FB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F3B47C1"/>
    <w:multiLevelType w:val="hybridMultilevel"/>
    <w:tmpl w:val="F3280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F5C4684"/>
    <w:multiLevelType w:val="hybridMultilevel"/>
    <w:tmpl w:val="EB50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29"/>
  </w:num>
  <w:num w:numId="3">
    <w:abstractNumId w:val="16"/>
  </w:num>
  <w:num w:numId="4">
    <w:abstractNumId w:val="41"/>
  </w:num>
  <w:num w:numId="5">
    <w:abstractNumId w:val="19"/>
  </w:num>
  <w:num w:numId="6">
    <w:abstractNumId w:val="22"/>
  </w:num>
  <w:num w:numId="7">
    <w:abstractNumId w:val="7"/>
  </w:num>
  <w:num w:numId="8">
    <w:abstractNumId w:val="20"/>
  </w:num>
  <w:num w:numId="9">
    <w:abstractNumId w:val="12"/>
  </w:num>
  <w:num w:numId="10">
    <w:abstractNumId w:val="46"/>
  </w:num>
  <w:num w:numId="11">
    <w:abstractNumId w:val="8"/>
  </w:num>
  <w:num w:numId="12">
    <w:abstractNumId w:val="6"/>
  </w:num>
  <w:num w:numId="13">
    <w:abstractNumId w:val="2"/>
  </w:num>
  <w:num w:numId="14">
    <w:abstractNumId w:val="36"/>
  </w:num>
  <w:num w:numId="15">
    <w:abstractNumId w:val="24"/>
  </w:num>
  <w:num w:numId="16">
    <w:abstractNumId w:val="26"/>
  </w:num>
  <w:num w:numId="17">
    <w:abstractNumId w:val="11"/>
  </w:num>
  <w:num w:numId="18">
    <w:abstractNumId w:val="38"/>
  </w:num>
  <w:num w:numId="19">
    <w:abstractNumId w:val="14"/>
  </w:num>
  <w:num w:numId="20">
    <w:abstractNumId w:val="17"/>
  </w:num>
  <w:num w:numId="21">
    <w:abstractNumId w:val="9"/>
  </w:num>
  <w:num w:numId="22">
    <w:abstractNumId w:val="37"/>
  </w:num>
  <w:num w:numId="23">
    <w:abstractNumId w:val="4"/>
  </w:num>
  <w:num w:numId="24">
    <w:abstractNumId w:val="32"/>
  </w:num>
  <w:num w:numId="25">
    <w:abstractNumId w:val="45"/>
  </w:num>
  <w:num w:numId="26">
    <w:abstractNumId w:val="13"/>
  </w:num>
  <w:num w:numId="27">
    <w:abstractNumId w:val="40"/>
  </w:num>
  <w:num w:numId="28">
    <w:abstractNumId w:val="23"/>
  </w:num>
  <w:num w:numId="29">
    <w:abstractNumId w:val="25"/>
  </w:num>
  <w:num w:numId="30">
    <w:abstractNumId w:val="28"/>
  </w:num>
  <w:num w:numId="31">
    <w:abstractNumId w:val="27"/>
  </w:num>
  <w:num w:numId="32">
    <w:abstractNumId w:val="3"/>
  </w:num>
  <w:num w:numId="33">
    <w:abstractNumId w:val="21"/>
  </w:num>
  <w:num w:numId="34">
    <w:abstractNumId w:val="30"/>
  </w:num>
  <w:num w:numId="35">
    <w:abstractNumId w:val="48"/>
  </w:num>
  <w:num w:numId="36">
    <w:abstractNumId w:val="43"/>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1"/>
  </w:num>
  <w:num w:numId="40">
    <w:abstractNumId w:val="5"/>
  </w:num>
  <w:num w:numId="41">
    <w:abstractNumId w:val="42"/>
  </w:num>
  <w:num w:numId="42">
    <w:abstractNumId w:val="49"/>
  </w:num>
  <w:num w:numId="43">
    <w:abstractNumId w:val="35"/>
  </w:num>
  <w:num w:numId="44">
    <w:abstractNumId w:val="34"/>
  </w:num>
  <w:num w:numId="45">
    <w:abstractNumId w:val="0"/>
  </w:num>
  <w:num w:numId="46">
    <w:abstractNumId w:val="10"/>
  </w:num>
  <w:num w:numId="47">
    <w:abstractNumId w:val="15"/>
  </w:num>
  <w:num w:numId="48">
    <w:abstractNumId w:val="18"/>
  </w:num>
  <w:num w:numId="49">
    <w:abstractNumId w:val="39"/>
  </w:num>
  <w:num w:numId="50">
    <w:abstractNumId w:val="3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4CA"/>
    <w:rsid w:val="000029FB"/>
    <w:rsid w:val="00004281"/>
    <w:rsid w:val="0000487B"/>
    <w:rsid w:val="000143F4"/>
    <w:rsid w:val="00017D7E"/>
    <w:rsid w:val="000206CF"/>
    <w:rsid w:val="00021AE8"/>
    <w:rsid w:val="00021E8C"/>
    <w:rsid w:val="00024D69"/>
    <w:rsid w:val="00031089"/>
    <w:rsid w:val="00032862"/>
    <w:rsid w:val="000329B2"/>
    <w:rsid w:val="00040D6A"/>
    <w:rsid w:val="00041C20"/>
    <w:rsid w:val="000421D2"/>
    <w:rsid w:val="00043A82"/>
    <w:rsid w:val="00045FF8"/>
    <w:rsid w:val="00046255"/>
    <w:rsid w:val="00051784"/>
    <w:rsid w:val="0005276F"/>
    <w:rsid w:val="0005278D"/>
    <w:rsid w:val="00055F42"/>
    <w:rsid w:val="00057322"/>
    <w:rsid w:val="00062534"/>
    <w:rsid w:val="00066AB1"/>
    <w:rsid w:val="00070D0F"/>
    <w:rsid w:val="0007171C"/>
    <w:rsid w:val="00073C67"/>
    <w:rsid w:val="00074B63"/>
    <w:rsid w:val="00076491"/>
    <w:rsid w:val="00077822"/>
    <w:rsid w:val="000815CB"/>
    <w:rsid w:val="00083DFA"/>
    <w:rsid w:val="00084EC7"/>
    <w:rsid w:val="00085949"/>
    <w:rsid w:val="000868C1"/>
    <w:rsid w:val="0008713A"/>
    <w:rsid w:val="000879AB"/>
    <w:rsid w:val="000916B0"/>
    <w:rsid w:val="00093082"/>
    <w:rsid w:val="000972B9"/>
    <w:rsid w:val="00097D90"/>
    <w:rsid w:val="000A0F3D"/>
    <w:rsid w:val="000A3296"/>
    <w:rsid w:val="000B12AE"/>
    <w:rsid w:val="000B1904"/>
    <w:rsid w:val="000B408A"/>
    <w:rsid w:val="000B6068"/>
    <w:rsid w:val="000B7054"/>
    <w:rsid w:val="000C3254"/>
    <w:rsid w:val="000C6115"/>
    <w:rsid w:val="000C7970"/>
    <w:rsid w:val="000D1295"/>
    <w:rsid w:val="000D15FA"/>
    <w:rsid w:val="000D4983"/>
    <w:rsid w:val="000E5A76"/>
    <w:rsid w:val="000E6907"/>
    <w:rsid w:val="000E7D1C"/>
    <w:rsid w:val="000F09C3"/>
    <w:rsid w:val="000F682C"/>
    <w:rsid w:val="00104852"/>
    <w:rsid w:val="00105320"/>
    <w:rsid w:val="0010568D"/>
    <w:rsid w:val="00110CE5"/>
    <w:rsid w:val="00112B33"/>
    <w:rsid w:val="00112B5F"/>
    <w:rsid w:val="00114D66"/>
    <w:rsid w:val="001161D4"/>
    <w:rsid w:val="00116CA5"/>
    <w:rsid w:val="00117FCC"/>
    <w:rsid w:val="00125B98"/>
    <w:rsid w:val="0012724F"/>
    <w:rsid w:val="0013337A"/>
    <w:rsid w:val="00133B33"/>
    <w:rsid w:val="00133FD1"/>
    <w:rsid w:val="001424E9"/>
    <w:rsid w:val="001437AA"/>
    <w:rsid w:val="0014583B"/>
    <w:rsid w:val="0015079D"/>
    <w:rsid w:val="00150C44"/>
    <w:rsid w:val="00150EA1"/>
    <w:rsid w:val="00153DD1"/>
    <w:rsid w:val="001570F0"/>
    <w:rsid w:val="001614B8"/>
    <w:rsid w:val="00165996"/>
    <w:rsid w:val="00165D14"/>
    <w:rsid w:val="00167A1A"/>
    <w:rsid w:val="00171279"/>
    <w:rsid w:val="001748E8"/>
    <w:rsid w:val="001815DA"/>
    <w:rsid w:val="00183953"/>
    <w:rsid w:val="0018656B"/>
    <w:rsid w:val="00192054"/>
    <w:rsid w:val="00192CE5"/>
    <w:rsid w:val="00194656"/>
    <w:rsid w:val="0019540D"/>
    <w:rsid w:val="00195E6C"/>
    <w:rsid w:val="00196196"/>
    <w:rsid w:val="00197334"/>
    <w:rsid w:val="001A0C9D"/>
    <w:rsid w:val="001A4D3D"/>
    <w:rsid w:val="001B074F"/>
    <w:rsid w:val="001B0A23"/>
    <w:rsid w:val="001B316F"/>
    <w:rsid w:val="001B3524"/>
    <w:rsid w:val="001B3BF1"/>
    <w:rsid w:val="001C1B5B"/>
    <w:rsid w:val="001C1D92"/>
    <w:rsid w:val="001C2F14"/>
    <w:rsid w:val="001D0769"/>
    <w:rsid w:val="001D2DA2"/>
    <w:rsid w:val="001D64D3"/>
    <w:rsid w:val="001D6F63"/>
    <w:rsid w:val="001D7920"/>
    <w:rsid w:val="001E1839"/>
    <w:rsid w:val="001E4A83"/>
    <w:rsid w:val="001F0DB2"/>
    <w:rsid w:val="001F4ED5"/>
    <w:rsid w:val="0020010C"/>
    <w:rsid w:val="0020149D"/>
    <w:rsid w:val="002020A3"/>
    <w:rsid w:val="00202A98"/>
    <w:rsid w:val="00202E8B"/>
    <w:rsid w:val="0021660D"/>
    <w:rsid w:val="00220CDD"/>
    <w:rsid w:val="00222362"/>
    <w:rsid w:val="0022243F"/>
    <w:rsid w:val="002229EC"/>
    <w:rsid w:val="00222A78"/>
    <w:rsid w:val="002329DB"/>
    <w:rsid w:val="00233494"/>
    <w:rsid w:val="00240004"/>
    <w:rsid w:val="00242A7A"/>
    <w:rsid w:val="00242A80"/>
    <w:rsid w:val="0024440E"/>
    <w:rsid w:val="00244711"/>
    <w:rsid w:val="00245F64"/>
    <w:rsid w:val="00246145"/>
    <w:rsid w:val="002468F2"/>
    <w:rsid w:val="00253B6D"/>
    <w:rsid w:val="002547BD"/>
    <w:rsid w:val="00256288"/>
    <w:rsid w:val="002574C8"/>
    <w:rsid w:val="00262613"/>
    <w:rsid w:val="00263A9A"/>
    <w:rsid w:val="00271E8B"/>
    <w:rsid w:val="00277F7E"/>
    <w:rsid w:val="00280563"/>
    <w:rsid w:val="00287E31"/>
    <w:rsid w:val="00287E72"/>
    <w:rsid w:val="002908CE"/>
    <w:rsid w:val="00293A7D"/>
    <w:rsid w:val="002960B7"/>
    <w:rsid w:val="002963D1"/>
    <w:rsid w:val="002A3D84"/>
    <w:rsid w:val="002A76BD"/>
    <w:rsid w:val="002B5E9E"/>
    <w:rsid w:val="002B6D21"/>
    <w:rsid w:val="002B70FD"/>
    <w:rsid w:val="002B7EBA"/>
    <w:rsid w:val="002D123A"/>
    <w:rsid w:val="002D2E21"/>
    <w:rsid w:val="002D333A"/>
    <w:rsid w:val="002D53B6"/>
    <w:rsid w:val="002D67F2"/>
    <w:rsid w:val="002D739E"/>
    <w:rsid w:val="002E1BAA"/>
    <w:rsid w:val="002E2863"/>
    <w:rsid w:val="002E56C2"/>
    <w:rsid w:val="002F3308"/>
    <w:rsid w:val="003032B3"/>
    <w:rsid w:val="00304BD3"/>
    <w:rsid w:val="00306CFB"/>
    <w:rsid w:val="0030722E"/>
    <w:rsid w:val="003134B9"/>
    <w:rsid w:val="00314DA6"/>
    <w:rsid w:val="003173C3"/>
    <w:rsid w:val="00320682"/>
    <w:rsid w:val="003213FB"/>
    <w:rsid w:val="00326221"/>
    <w:rsid w:val="00330EF0"/>
    <w:rsid w:val="003352AF"/>
    <w:rsid w:val="003448C3"/>
    <w:rsid w:val="00345D7A"/>
    <w:rsid w:val="0034748C"/>
    <w:rsid w:val="00352FE6"/>
    <w:rsid w:val="00353358"/>
    <w:rsid w:val="003537BE"/>
    <w:rsid w:val="00357EA5"/>
    <w:rsid w:val="00360506"/>
    <w:rsid w:val="00362BFE"/>
    <w:rsid w:val="00365785"/>
    <w:rsid w:val="003662CD"/>
    <w:rsid w:val="00366607"/>
    <w:rsid w:val="003674AE"/>
    <w:rsid w:val="00370D8E"/>
    <w:rsid w:val="00371A0C"/>
    <w:rsid w:val="003764A9"/>
    <w:rsid w:val="00376659"/>
    <w:rsid w:val="003823D3"/>
    <w:rsid w:val="00383DBD"/>
    <w:rsid w:val="003842FD"/>
    <w:rsid w:val="003914F2"/>
    <w:rsid w:val="003C2606"/>
    <w:rsid w:val="003C27D7"/>
    <w:rsid w:val="003C28F8"/>
    <w:rsid w:val="003C2C2B"/>
    <w:rsid w:val="003C3574"/>
    <w:rsid w:val="003C4B65"/>
    <w:rsid w:val="003C4C3C"/>
    <w:rsid w:val="003C6364"/>
    <w:rsid w:val="003D2144"/>
    <w:rsid w:val="003D3B6A"/>
    <w:rsid w:val="003D633A"/>
    <w:rsid w:val="003D6900"/>
    <w:rsid w:val="003E0985"/>
    <w:rsid w:val="003E3582"/>
    <w:rsid w:val="003E4800"/>
    <w:rsid w:val="003E4940"/>
    <w:rsid w:val="003F0C45"/>
    <w:rsid w:val="003F292D"/>
    <w:rsid w:val="003F79BB"/>
    <w:rsid w:val="0040157A"/>
    <w:rsid w:val="00403287"/>
    <w:rsid w:val="00406297"/>
    <w:rsid w:val="004071E7"/>
    <w:rsid w:val="00412F7F"/>
    <w:rsid w:val="004169E2"/>
    <w:rsid w:val="004269DE"/>
    <w:rsid w:val="00432649"/>
    <w:rsid w:val="00433243"/>
    <w:rsid w:val="004378C1"/>
    <w:rsid w:val="004409D4"/>
    <w:rsid w:val="00443716"/>
    <w:rsid w:val="00444591"/>
    <w:rsid w:val="00446FF3"/>
    <w:rsid w:val="004534C8"/>
    <w:rsid w:val="0045365B"/>
    <w:rsid w:val="00454D41"/>
    <w:rsid w:val="00454F42"/>
    <w:rsid w:val="00455391"/>
    <w:rsid w:val="004554E3"/>
    <w:rsid w:val="00455751"/>
    <w:rsid w:val="00461D5F"/>
    <w:rsid w:val="0046296B"/>
    <w:rsid w:val="00462DEF"/>
    <w:rsid w:val="00462F6B"/>
    <w:rsid w:val="00466472"/>
    <w:rsid w:val="00466E79"/>
    <w:rsid w:val="004705BE"/>
    <w:rsid w:val="00471E2D"/>
    <w:rsid w:val="00477FD1"/>
    <w:rsid w:val="004814B5"/>
    <w:rsid w:val="004838AF"/>
    <w:rsid w:val="00485807"/>
    <w:rsid w:val="00487CAD"/>
    <w:rsid w:val="00490F32"/>
    <w:rsid w:val="00491E52"/>
    <w:rsid w:val="0049287B"/>
    <w:rsid w:val="004A2D88"/>
    <w:rsid w:val="004A5019"/>
    <w:rsid w:val="004B6C24"/>
    <w:rsid w:val="004B7DAC"/>
    <w:rsid w:val="004B7E6F"/>
    <w:rsid w:val="004C1B12"/>
    <w:rsid w:val="004C540C"/>
    <w:rsid w:val="004C6859"/>
    <w:rsid w:val="004C6B79"/>
    <w:rsid w:val="004D0525"/>
    <w:rsid w:val="004D1F49"/>
    <w:rsid w:val="004D4B74"/>
    <w:rsid w:val="004E050F"/>
    <w:rsid w:val="004E36F5"/>
    <w:rsid w:val="004E5BBC"/>
    <w:rsid w:val="004F2E23"/>
    <w:rsid w:val="004F6667"/>
    <w:rsid w:val="004F69FE"/>
    <w:rsid w:val="0050105A"/>
    <w:rsid w:val="005017DD"/>
    <w:rsid w:val="0050231F"/>
    <w:rsid w:val="00504C1D"/>
    <w:rsid w:val="00504F62"/>
    <w:rsid w:val="00507177"/>
    <w:rsid w:val="00507D7A"/>
    <w:rsid w:val="0051126F"/>
    <w:rsid w:val="005155EC"/>
    <w:rsid w:val="00515BAC"/>
    <w:rsid w:val="0052151F"/>
    <w:rsid w:val="00523D47"/>
    <w:rsid w:val="00524045"/>
    <w:rsid w:val="00525254"/>
    <w:rsid w:val="00525ABA"/>
    <w:rsid w:val="00527684"/>
    <w:rsid w:val="005335BB"/>
    <w:rsid w:val="00534307"/>
    <w:rsid w:val="00537CE5"/>
    <w:rsid w:val="00540462"/>
    <w:rsid w:val="00541F6D"/>
    <w:rsid w:val="00544924"/>
    <w:rsid w:val="00545432"/>
    <w:rsid w:val="00546D32"/>
    <w:rsid w:val="00550D1A"/>
    <w:rsid w:val="00553A14"/>
    <w:rsid w:val="00560C88"/>
    <w:rsid w:val="00561401"/>
    <w:rsid w:val="00565C52"/>
    <w:rsid w:val="00565D13"/>
    <w:rsid w:val="00565F63"/>
    <w:rsid w:val="005709C4"/>
    <w:rsid w:val="00571835"/>
    <w:rsid w:val="005761CA"/>
    <w:rsid w:val="005821BF"/>
    <w:rsid w:val="00582229"/>
    <w:rsid w:val="00583EF0"/>
    <w:rsid w:val="00584672"/>
    <w:rsid w:val="00584A82"/>
    <w:rsid w:val="00590E12"/>
    <w:rsid w:val="00591542"/>
    <w:rsid w:val="00594067"/>
    <w:rsid w:val="00595D80"/>
    <w:rsid w:val="005A0FA7"/>
    <w:rsid w:val="005A3B59"/>
    <w:rsid w:val="005A41F1"/>
    <w:rsid w:val="005A78F4"/>
    <w:rsid w:val="005B0922"/>
    <w:rsid w:val="005B0B78"/>
    <w:rsid w:val="005B18B9"/>
    <w:rsid w:val="005B1F19"/>
    <w:rsid w:val="005B3051"/>
    <w:rsid w:val="005C4054"/>
    <w:rsid w:val="005C5730"/>
    <w:rsid w:val="005D24CC"/>
    <w:rsid w:val="005D2726"/>
    <w:rsid w:val="005D4CF7"/>
    <w:rsid w:val="005E0909"/>
    <w:rsid w:val="005E1706"/>
    <w:rsid w:val="005F14CD"/>
    <w:rsid w:val="005F1C94"/>
    <w:rsid w:val="005F1FCA"/>
    <w:rsid w:val="005F464C"/>
    <w:rsid w:val="005F6558"/>
    <w:rsid w:val="00602270"/>
    <w:rsid w:val="006040C6"/>
    <w:rsid w:val="00606A0F"/>
    <w:rsid w:val="006078A2"/>
    <w:rsid w:val="00611713"/>
    <w:rsid w:val="00613BA3"/>
    <w:rsid w:val="006145DA"/>
    <w:rsid w:val="006208FB"/>
    <w:rsid w:val="00622EF5"/>
    <w:rsid w:val="00624A7F"/>
    <w:rsid w:val="00625430"/>
    <w:rsid w:val="00625BC7"/>
    <w:rsid w:val="00627EB7"/>
    <w:rsid w:val="00633F9B"/>
    <w:rsid w:val="00634DE0"/>
    <w:rsid w:val="00636207"/>
    <w:rsid w:val="00640FB1"/>
    <w:rsid w:val="006412DA"/>
    <w:rsid w:val="00642CAD"/>
    <w:rsid w:val="00645118"/>
    <w:rsid w:val="00645493"/>
    <w:rsid w:val="006458ED"/>
    <w:rsid w:val="006459D1"/>
    <w:rsid w:val="00650582"/>
    <w:rsid w:val="00652086"/>
    <w:rsid w:val="00654DE9"/>
    <w:rsid w:val="00655058"/>
    <w:rsid w:val="006567A4"/>
    <w:rsid w:val="006571E5"/>
    <w:rsid w:val="00662B61"/>
    <w:rsid w:val="0066373D"/>
    <w:rsid w:val="00663D24"/>
    <w:rsid w:val="0066731D"/>
    <w:rsid w:val="00667633"/>
    <w:rsid w:val="00670AD1"/>
    <w:rsid w:val="00677600"/>
    <w:rsid w:val="00683CDA"/>
    <w:rsid w:val="00686495"/>
    <w:rsid w:val="006922F0"/>
    <w:rsid w:val="00695C67"/>
    <w:rsid w:val="006A3983"/>
    <w:rsid w:val="006A4F96"/>
    <w:rsid w:val="006A52DE"/>
    <w:rsid w:val="006A5432"/>
    <w:rsid w:val="006A70D8"/>
    <w:rsid w:val="006B0767"/>
    <w:rsid w:val="006B0EFE"/>
    <w:rsid w:val="006B3DB3"/>
    <w:rsid w:val="006B3EFF"/>
    <w:rsid w:val="006B4EFE"/>
    <w:rsid w:val="006B6946"/>
    <w:rsid w:val="006C0DF5"/>
    <w:rsid w:val="006C111F"/>
    <w:rsid w:val="006C50BC"/>
    <w:rsid w:val="006C6F3C"/>
    <w:rsid w:val="006D0BDA"/>
    <w:rsid w:val="006D2EA7"/>
    <w:rsid w:val="006D4696"/>
    <w:rsid w:val="006D677C"/>
    <w:rsid w:val="006E04F0"/>
    <w:rsid w:val="006E1402"/>
    <w:rsid w:val="006E1549"/>
    <w:rsid w:val="006E4B78"/>
    <w:rsid w:val="006F3631"/>
    <w:rsid w:val="006F408A"/>
    <w:rsid w:val="006F6046"/>
    <w:rsid w:val="00700BBC"/>
    <w:rsid w:val="00702C8A"/>
    <w:rsid w:val="007078EA"/>
    <w:rsid w:val="00710663"/>
    <w:rsid w:val="00711B78"/>
    <w:rsid w:val="00712F8E"/>
    <w:rsid w:val="0071323A"/>
    <w:rsid w:val="007235B7"/>
    <w:rsid w:val="007278E0"/>
    <w:rsid w:val="007335EC"/>
    <w:rsid w:val="00733DF8"/>
    <w:rsid w:val="007348F2"/>
    <w:rsid w:val="00741B06"/>
    <w:rsid w:val="00741F38"/>
    <w:rsid w:val="00745A85"/>
    <w:rsid w:val="00746A8F"/>
    <w:rsid w:val="00746CC1"/>
    <w:rsid w:val="00750E17"/>
    <w:rsid w:val="00753694"/>
    <w:rsid w:val="0076228A"/>
    <w:rsid w:val="007630CA"/>
    <w:rsid w:val="00763C28"/>
    <w:rsid w:val="00767551"/>
    <w:rsid w:val="00767898"/>
    <w:rsid w:val="0077290C"/>
    <w:rsid w:val="00775532"/>
    <w:rsid w:val="00781998"/>
    <w:rsid w:val="00784615"/>
    <w:rsid w:val="00784F61"/>
    <w:rsid w:val="00794AE5"/>
    <w:rsid w:val="00795B47"/>
    <w:rsid w:val="007A0C25"/>
    <w:rsid w:val="007A60F3"/>
    <w:rsid w:val="007B0A63"/>
    <w:rsid w:val="007B3891"/>
    <w:rsid w:val="007B54AC"/>
    <w:rsid w:val="007B5EBA"/>
    <w:rsid w:val="007B65BC"/>
    <w:rsid w:val="007C4EAB"/>
    <w:rsid w:val="007C76DE"/>
    <w:rsid w:val="007C7D13"/>
    <w:rsid w:val="007D24DF"/>
    <w:rsid w:val="007D3DA2"/>
    <w:rsid w:val="007D5373"/>
    <w:rsid w:val="007D54B5"/>
    <w:rsid w:val="007E0053"/>
    <w:rsid w:val="007E06C5"/>
    <w:rsid w:val="007E1114"/>
    <w:rsid w:val="007E18CE"/>
    <w:rsid w:val="007E2009"/>
    <w:rsid w:val="007E5510"/>
    <w:rsid w:val="007E638A"/>
    <w:rsid w:val="007E6A36"/>
    <w:rsid w:val="007F145A"/>
    <w:rsid w:val="007F14F2"/>
    <w:rsid w:val="007F1CF0"/>
    <w:rsid w:val="0080445B"/>
    <w:rsid w:val="00812C5B"/>
    <w:rsid w:val="00813339"/>
    <w:rsid w:val="008157E8"/>
    <w:rsid w:val="008158A4"/>
    <w:rsid w:val="008271F5"/>
    <w:rsid w:val="0083160F"/>
    <w:rsid w:val="00832A3E"/>
    <w:rsid w:val="00833335"/>
    <w:rsid w:val="00834328"/>
    <w:rsid w:val="00834F2E"/>
    <w:rsid w:val="00836B8B"/>
    <w:rsid w:val="00846423"/>
    <w:rsid w:val="0085039B"/>
    <w:rsid w:val="0085126B"/>
    <w:rsid w:val="008512BB"/>
    <w:rsid w:val="00852C9B"/>
    <w:rsid w:val="00853EC5"/>
    <w:rsid w:val="00857DC6"/>
    <w:rsid w:val="0086076D"/>
    <w:rsid w:val="008669B5"/>
    <w:rsid w:val="008766AC"/>
    <w:rsid w:val="00877635"/>
    <w:rsid w:val="0088388A"/>
    <w:rsid w:val="00885094"/>
    <w:rsid w:val="00887138"/>
    <w:rsid w:val="008908DC"/>
    <w:rsid w:val="00892724"/>
    <w:rsid w:val="00896DB5"/>
    <w:rsid w:val="008A0184"/>
    <w:rsid w:val="008A0419"/>
    <w:rsid w:val="008A0F3D"/>
    <w:rsid w:val="008A16D0"/>
    <w:rsid w:val="008A498B"/>
    <w:rsid w:val="008A667A"/>
    <w:rsid w:val="008A7265"/>
    <w:rsid w:val="008B21DC"/>
    <w:rsid w:val="008B4F40"/>
    <w:rsid w:val="008B5344"/>
    <w:rsid w:val="008B774C"/>
    <w:rsid w:val="008C0095"/>
    <w:rsid w:val="008C4489"/>
    <w:rsid w:val="008C4B9D"/>
    <w:rsid w:val="008C7558"/>
    <w:rsid w:val="008E026B"/>
    <w:rsid w:val="008E065C"/>
    <w:rsid w:val="008E2594"/>
    <w:rsid w:val="008F325C"/>
    <w:rsid w:val="008F6E01"/>
    <w:rsid w:val="008F79B8"/>
    <w:rsid w:val="00903A04"/>
    <w:rsid w:val="009041FC"/>
    <w:rsid w:val="009056B0"/>
    <w:rsid w:val="00905873"/>
    <w:rsid w:val="009133AD"/>
    <w:rsid w:val="00914187"/>
    <w:rsid w:val="00922E32"/>
    <w:rsid w:val="009251C5"/>
    <w:rsid w:val="00935FED"/>
    <w:rsid w:val="009362C0"/>
    <w:rsid w:val="009423BE"/>
    <w:rsid w:val="00944E83"/>
    <w:rsid w:val="0094587B"/>
    <w:rsid w:val="00960951"/>
    <w:rsid w:val="00960A3E"/>
    <w:rsid w:val="00962C22"/>
    <w:rsid w:val="00967791"/>
    <w:rsid w:val="00967BB4"/>
    <w:rsid w:val="0097130C"/>
    <w:rsid w:val="00972DE9"/>
    <w:rsid w:val="0097370E"/>
    <w:rsid w:val="00973B15"/>
    <w:rsid w:val="00976D3F"/>
    <w:rsid w:val="009778FE"/>
    <w:rsid w:val="00981C5A"/>
    <w:rsid w:val="00982F66"/>
    <w:rsid w:val="00985A68"/>
    <w:rsid w:val="00985B08"/>
    <w:rsid w:val="009A2245"/>
    <w:rsid w:val="009A3C55"/>
    <w:rsid w:val="009A4387"/>
    <w:rsid w:val="009A4680"/>
    <w:rsid w:val="009A5D7E"/>
    <w:rsid w:val="009B10C3"/>
    <w:rsid w:val="009B242A"/>
    <w:rsid w:val="009B68D0"/>
    <w:rsid w:val="009C0B79"/>
    <w:rsid w:val="009C4A4B"/>
    <w:rsid w:val="009C4CED"/>
    <w:rsid w:val="009D0BBE"/>
    <w:rsid w:val="009D5CDB"/>
    <w:rsid w:val="009D5EC3"/>
    <w:rsid w:val="009E1B67"/>
    <w:rsid w:val="009E5966"/>
    <w:rsid w:val="009E6A0C"/>
    <w:rsid w:val="009E7B14"/>
    <w:rsid w:val="009F112D"/>
    <w:rsid w:val="009F197B"/>
    <w:rsid w:val="009F6F03"/>
    <w:rsid w:val="00A0546E"/>
    <w:rsid w:val="00A056E1"/>
    <w:rsid w:val="00A05B1E"/>
    <w:rsid w:val="00A06E43"/>
    <w:rsid w:val="00A14C6C"/>
    <w:rsid w:val="00A1501F"/>
    <w:rsid w:val="00A161A5"/>
    <w:rsid w:val="00A2062E"/>
    <w:rsid w:val="00A209D5"/>
    <w:rsid w:val="00A23053"/>
    <w:rsid w:val="00A3015E"/>
    <w:rsid w:val="00A30DE9"/>
    <w:rsid w:val="00A31F5C"/>
    <w:rsid w:val="00A50BB1"/>
    <w:rsid w:val="00A54D86"/>
    <w:rsid w:val="00A60808"/>
    <w:rsid w:val="00A60A97"/>
    <w:rsid w:val="00A66BB4"/>
    <w:rsid w:val="00A83B04"/>
    <w:rsid w:val="00A85191"/>
    <w:rsid w:val="00A864AC"/>
    <w:rsid w:val="00A8782A"/>
    <w:rsid w:val="00A9184C"/>
    <w:rsid w:val="00A97A9C"/>
    <w:rsid w:val="00A97AFE"/>
    <w:rsid w:val="00AA06D2"/>
    <w:rsid w:val="00AA0D25"/>
    <w:rsid w:val="00AA4C62"/>
    <w:rsid w:val="00AB0114"/>
    <w:rsid w:val="00AB273E"/>
    <w:rsid w:val="00AB31CF"/>
    <w:rsid w:val="00AC10F6"/>
    <w:rsid w:val="00AC21C4"/>
    <w:rsid w:val="00AC676A"/>
    <w:rsid w:val="00AC7B3E"/>
    <w:rsid w:val="00AD056C"/>
    <w:rsid w:val="00AD0B7B"/>
    <w:rsid w:val="00AD22B3"/>
    <w:rsid w:val="00AD5065"/>
    <w:rsid w:val="00AD5792"/>
    <w:rsid w:val="00AD61B6"/>
    <w:rsid w:val="00AE07FD"/>
    <w:rsid w:val="00AE110F"/>
    <w:rsid w:val="00AE1304"/>
    <w:rsid w:val="00AE31C6"/>
    <w:rsid w:val="00AE709C"/>
    <w:rsid w:val="00AF50DB"/>
    <w:rsid w:val="00AF53D8"/>
    <w:rsid w:val="00AF5CC6"/>
    <w:rsid w:val="00AF6629"/>
    <w:rsid w:val="00B004F0"/>
    <w:rsid w:val="00B04CBD"/>
    <w:rsid w:val="00B04E4D"/>
    <w:rsid w:val="00B05D76"/>
    <w:rsid w:val="00B07C97"/>
    <w:rsid w:val="00B12096"/>
    <w:rsid w:val="00B13B3E"/>
    <w:rsid w:val="00B20040"/>
    <w:rsid w:val="00B2278C"/>
    <w:rsid w:val="00B23FEA"/>
    <w:rsid w:val="00B2460D"/>
    <w:rsid w:val="00B253B2"/>
    <w:rsid w:val="00B25ACA"/>
    <w:rsid w:val="00B25E18"/>
    <w:rsid w:val="00B30582"/>
    <w:rsid w:val="00B3646A"/>
    <w:rsid w:val="00B41783"/>
    <w:rsid w:val="00B41FF2"/>
    <w:rsid w:val="00B427D6"/>
    <w:rsid w:val="00B44982"/>
    <w:rsid w:val="00B53F52"/>
    <w:rsid w:val="00B54D06"/>
    <w:rsid w:val="00B558BE"/>
    <w:rsid w:val="00B55D81"/>
    <w:rsid w:val="00B64062"/>
    <w:rsid w:val="00B652E4"/>
    <w:rsid w:val="00B65AB3"/>
    <w:rsid w:val="00B70F30"/>
    <w:rsid w:val="00B74459"/>
    <w:rsid w:val="00B77CF3"/>
    <w:rsid w:val="00B81C84"/>
    <w:rsid w:val="00B87291"/>
    <w:rsid w:val="00B87B19"/>
    <w:rsid w:val="00B906CA"/>
    <w:rsid w:val="00B908C0"/>
    <w:rsid w:val="00B915C0"/>
    <w:rsid w:val="00B91C15"/>
    <w:rsid w:val="00B928E5"/>
    <w:rsid w:val="00B978C5"/>
    <w:rsid w:val="00BA448D"/>
    <w:rsid w:val="00BA6D02"/>
    <w:rsid w:val="00BB0884"/>
    <w:rsid w:val="00BB2E91"/>
    <w:rsid w:val="00BB61F5"/>
    <w:rsid w:val="00BC0049"/>
    <w:rsid w:val="00BC4BDC"/>
    <w:rsid w:val="00BC6B55"/>
    <w:rsid w:val="00BC738A"/>
    <w:rsid w:val="00BD05CB"/>
    <w:rsid w:val="00BD54B9"/>
    <w:rsid w:val="00BE0D24"/>
    <w:rsid w:val="00BE2266"/>
    <w:rsid w:val="00BE3268"/>
    <w:rsid w:val="00BE73D2"/>
    <w:rsid w:val="00BF6A5F"/>
    <w:rsid w:val="00BF741A"/>
    <w:rsid w:val="00C03E31"/>
    <w:rsid w:val="00C054A3"/>
    <w:rsid w:val="00C05AE0"/>
    <w:rsid w:val="00C07C71"/>
    <w:rsid w:val="00C1003A"/>
    <w:rsid w:val="00C11970"/>
    <w:rsid w:val="00C15BD7"/>
    <w:rsid w:val="00C15C60"/>
    <w:rsid w:val="00C1711B"/>
    <w:rsid w:val="00C24375"/>
    <w:rsid w:val="00C2787C"/>
    <w:rsid w:val="00C306DE"/>
    <w:rsid w:val="00C30BC6"/>
    <w:rsid w:val="00C339DA"/>
    <w:rsid w:val="00C340D1"/>
    <w:rsid w:val="00C3680D"/>
    <w:rsid w:val="00C36A0E"/>
    <w:rsid w:val="00C37C0C"/>
    <w:rsid w:val="00C43296"/>
    <w:rsid w:val="00C439A6"/>
    <w:rsid w:val="00C5002B"/>
    <w:rsid w:val="00C51E10"/>
    <w:rsid w:val="00C53004"/>
    <w:rsid w:val="00C557BE"/>
    <w:rsid w:val="00C55D5E"/>
    <w:rsid w:val="00C630A5"/>
    <w:rsid w:val="00C671F3"/>
    <w:rsid w:val="00C6736C"/>
    <w:rsid w:val="00C720F0"/>
    <w:rsid w:val="00C74CD8"/>
    <w:rsid w:val="00C75AB7"/>
    <w:rsid w:val="00C80237"/>
    <w:rsid w:val="00C81D99"/>
    <w:rsid w:val="00C85417"/>
    <w:rsid w:val="00C86925"/>
    <w:rsid w:val="00C8692C"/>
    <w:rsid w:val="00C90A59"/>
    <w:rsid w:val="00C9148E"/>
    <w:rsid w:val="00C91E51"/>
    <w:rsid w:val="00C93DFE"/>
    <w:rsid w:val="00C95AF9"/>
    <w:rsid w:val="00C96724"/>
    <w:rsid w:val="00C97F8D"/>
    <w:rsid w:val="00CA25E0"/>
    <w:rsid w:val="00CB0A0D"/>
    <w:rsid w:val="00CB18B5"/>
    <w:rsid w:val="00CC3536"/>
    <w:rsid w:val="00CD0042"/>
    <w:rsid w:val="00CD10DA"/>
    <w:rsid w:val="00CD6AF5"/>
    <w:rsid w:val="00CD7DED"/>
    <w:rsid w:val="00CE0E93"/>
    <w:rsid w:val="00CE2A6B"/>
    <w:rsid w:val="00CE4CD6"/>
    <w:rsid w:val="00CE5B54"/>
    <w:rsid w:val="00CF2F36"/>
    <w:rsid w:val="00D07CA0"/>
    <w:rsid w:val="00D127F0"/>
    <w:rsid w:val="00D15D6D"/>
    <w:rsid w:val="00D268D8"/>
    <w:rsid w:val="00D30C1C"/>
    <w:rsid w:val="00D32B05"/>
    <w:rsid w:val="00D32EF8"/>
    <w:rsid w:val="00D33138"/>
    <w:rsid w:val="00D33A22"/>
    <w:rsid w:val="00D36123"/>
    <w:rsid w:val="00D43446"/>
    <w:rsid w:val="00D435AD"/>
    <w:rsid w:val="00D5534F"/>
    <w:rsid w:val="00D60499"/>
    <w:rsid w:val="00D61FF3"/>
    <w:rsid w:val="00D622F0"/>
    <w:rsid w:val="00D625E0"/>
    <w:rsid w:val="00D63846"/>
    <w:rsid w:val="00D64FE3"/>
    <w:rsid w:val="00D660AB"/>
    <w:rsid w:val="00D66D5E"/>
    <w:rsid w:val="00D71479"/>
    <w:rsid w:val="00D74BBD"/>
    <w:rsid w:val="00D75604"/>
    <w:rsid w:val="00D75CB5"/>
    <w:rsid w:val="00D76058"/>
    <w:rsid w:val="00D76FBD"/>
    <w:rsid w:val="00D7709F"/>
    <w:rsid w:val="00D8174D"/>
    <w:rsid w:val="00D834F3"/>
    <w:rsid w:val="00D8523C"/>
    <w:rsid w:val="00D870A6"/>
    <w:rsid w:val="00D91407"/>
    <w:rsid w:val="00D92A4C"/>
    <w:rsid w:val="00D94503"/>
    <w:rsid w:val="00D95982"/>
    <w:rsid w:val="00D963E8"/>
    <w:rsid w:val="00D97C7A"/>
    <w:rsid w:val="00DA3490"/>
    <w:rsid w:val="00DA5674"/>
    <w:rsid w:val="00DA6094"/>
    <w:rsid w:val="00DA7103"/>
    <w:rsid w:val="00DB09A4"/>
    <w:rsid w:val="00DB0DD3"/>
    <w:rsid w:val="00DB59F0"/>
    <w:rsid w:val="00DC544A"/>
    <w:rsid w:val="00DD1455"/>
    <w:rsid w:val="00DD7A64"/>
    <w:rsid w:val="00DE410F"/>
    <w:rsid w:val="00DE5902"/>
    <w:rsid w:val="00DF1E28"/>
    <w:rsid w:val="00DF264A"/>
    <w:rsid w:val="00DF3AFA"/>
    <w:rsid w:val="00DF520D"/>
    <w:rsid w:val="00DF5501"/>
    <w:rsid w:val="00DF6441"/>
    <w:rsid w:val="00E17DE3"/>
    <w:rsid w:val="00E17FFA"/>
    <w:rsid w:val="00E20C28"/>
    <w:rsid w:val="00E21EBA"/>
    <w:rsid w:val="00E221C4"/>
    <w:rsid w:val="00E236A5"/>
    <w:rsid w:val="00E2498D"/>
    <w:rsid w:val="00E24FBE"/>
    <w:rsid w:val="00E2739D"/>
    <w:rsid w:val="00E31093"/>
    <w:rsid w:val="00E323DC"/>
    <w:rsid w:val="00E326F6"/>
    <w:rsid w:val="00E32A47"/>
    <w:rsid w:val="00E3469B"/>
    <w:rsid w:val="00E372E3"/>
    <w:rsid w:val="00E374CA"/>
    <w:rsid w:val="00E4223A"/>
    <w:rsid w:val="00E44C38"/>
    <w:rsid w:val="00E64D49"/>
    <w:rsid w:val="00E65A91"/>
    <w:rsid w:val="00E71394"/>
    <w:rsid w:val="00E726EE"/>
    <w:rsid w:val="00E729E8"/>
    <w:rsid w:val="00E74957"/>
    <w:rsid w:val="00E80B0C"/>
    <w:rsid w:val="00E831EE"/>
    <w:rsid w:val="00E8452B"/>
    <w:rsid w:val="00E851AD"/>
    <w:rsid w:val="00E86AC4"/>
    <w:rsid w:val="00E91192"/>
    <w:rsid w:val="00E9191B"/>
    <w:rsid w:val="00E91BD7"/>
    <w:rsid w:val="00E92A75"/>
    <w:rsid w:val="00E94363"/>
    <w:rsid w:val="00E94B22"/>
    <w:rsid w:val="00E94E4B"/>
    <w:rsid w:val="00E96C4C"/>
    <w:rsid w:val="00EA0E63"/>
    <w:rsid w:val="00EA0F0E"/>
    <w:rsid w:val="00EA3AF7"/>
    <w:rsid w:val="00EA3BF0"/>
    <w:rsid w:val="00EA561F"/>
    <w:rsid w:val="00EB2402"/>
    <w:rsid w:val="00EB2F10"/>
    <w:rsid w:val="00EB6EFC"/>
    <w:rsid w:val="00EB736D"/>
    <w:rsid w:val="00EB767D"/>
    <w:rsid w:val="00EB7B0D"/>
    <w:rsid w:val="00EC0EFF"/>
    <w:rsid w:val="00EC1B78"/>
    <w:rsid w:val="00EC1E6F"/>
    <w:rsid w:val="00EC2C50"/>
    <w:rsid w:val="00EC7F3E"/>
    <w:rsid w:val="00ED3256"/>
    <w:rsid w:val="00ED4443"/>
    <w:rsid w:val="00ED44A5"/>
    <w:rsid w:val="00ED65B4"/>
    <w:rsid w:val="00EE09A9"/>
    <w:rsid w:val="00EE0C9F"/>
    <w:rsid w:val="00EE1897"/>
    <w:rsid w:val="00EE1F0E"/>
    <w:rsid w:val="00EE20DC"/>
    <w:rsid w:val="00EE368F"/>
    <w:rsid w:val="00EE54FF"/>
    <w:rsid w:val="00EE5F58"/>
    <w:rsid w:val="00EE61E0"/>
    <w:rsid w:val="00EF1287"/>
    <w:rsid w:val="00EF2755"/>
    <w:rsid w:val="00F0149E"/>
    <w:rsid w:val="00F050E6"/>
    <w:rsid w:val="00F05C8D"/>
    <w:rsid w:val="00F07E38"/>
    <w:rsid w:val="00F1675A"/>
    <w:rsid w:val="00F17F78"/>
    <w:rsid w:val="00F20082"/>
    <w:rsid w:val="00F217CA"/>
    <w:rsid w:val="00F23F6B"/>
    <w:rsid w:val="00F2606D"/>
    <w:rsid w:val="00F306D6"/>
    <w:rsid w:val="00F33799"/>
    <w:rsid w:val="00F34E6B"/>
    <w:rsid w:val="00F3504F"/>
    <w:rsid w:val="00F36BA7"/>
    <w:rsid w:val="00F37AB8"/>
    <w:rsid w:val="00F40FAC"/>
    <w:rsid w:val="00F40FE3"/>
    <w:rsid w:val="00F467F0"/>
    <w:rsid w:val="00F46C32"/>
    <w:rsid w:val="00F46DB7"/>
    <w:rsid w:val="00F504BE"/>
    <w:rsid w:val="00F523F4"/>
    <w:rsid w:val="00F526E0"/>
    <w:rsid w:val="00F55ED5"/>
    <w:rsid w:val="00F62370"/>
    <w:rsid w:val="00F6465A"/>
    <w:rsid w:val="00F657F1"/>
    <w:rsid w:val="00F72D88"/>
    <w:rsid w:val="00F73A84"/>
    <w:rsid w:val="00F74C21"/>
    <w:rsid w:val="00F75699"/>
    <w:rsid w:val="00F7609B"/>
    <w:rsid w:val="00F8574B"/>
    <w:rsid w:val="00F90578"/>
    <w:rsid w:val="00F9261A"/>
    <w:rsid w:val="00F92AAD"/>
    <w:rsid w:val="00F93EC6"/>
    <w:rsid w:val="00F95D77"/>
    <w:rsid w:val="00F96F94"/>
    <w:rsid w:val="00F97169"/>
    <w:rsid w:val="00FA2FA3"/>
    <w:rsid w:val="00FA40AD"/>
    <w:rsid w:val="00FA4DBB"/>
    <w:rsid w:val="00FA7154"/>
    <w:rsid w:val="00FA7217"/>
    <w:rsid w:val="00FA7E8E"/>
    <w:rsid w:val="00FB135A"/>
    <w:rsid w:val="00FB2550"/>
    <w:rsid w:val="00FB280E"/>
    <w:rsid w:val="00FB5039"/>
    <w:rsid w:val="00FB608D"/>
    <w:rsid w:val="00FB7496"/>
    <w:rsid w:val="00FC09EC"/>
    <w:rsid w:val="00FC1E4F"/>
    <w:rsid w:val="00FC400E"/>
    <w:rsid w:val="00FC5D60"/>
    <w:rsid w:val="00FC5FA4"/>
    <w:rsid w:val="00FD1F83"/>
    <w:rsid w:val="00FD3DAD"/>
    <w:rsid w:val="00FE0F4C"/>
    <w:rsid w:val="00FE2160"/>
    <w:rsid w:val="00FE2745"/>
    <w:rsid w:val="00FE58B1"/>
    <w:rsid w:val="00FE704D"/>
    <w:rsid w:val="00FE7497"/>
    <w:rsid w:val="00FF5935"/>
    <w:rsid w:val="00FF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71C"/>
  </w:style>
  <w:style w:type="paragraph" w:styleId="Heading1">
    <w:name w:val="heading 1"/>
    <w:basedOn w:val="Normal"/>
    <w:next w:val="Normal"/>
    <w:link w:val="Heading1Char"/>
    <w:uiPriority w:val="9"/>
    <w:qFormat/>
    <w:rsid w:val="00116C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6C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4A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7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5D7E"/>
    <w:pPr>
      <w:ind w:left="720"/>
      <w:contextualSpacing/>
    </w:pPr>
  </w:style>
  <w:style w:type="character" w:customStyle="1" w:styleId="Heading1Char">
    <w:name w:val="Heading 1 Char"/>
    <w:basedOn w:val="DefaultParagraphFont"/>
    <w:link w:val="Heading1"/>
    <w:uiPriority w:val="9"/>
    <w:rsid w:val="00116C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6CA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16CA5"/>
    <w:rPr>
      <w:color w:val="0000FF" w:themeColor="hyperlink"/>
      <w:u w:val="single"/>
    </w:rPr>
  </w:style>
  <w:style w:type="character" w:styleId="FollowedHyperlink">
    <w:name w:val="FollowedHyperlink"/>
    <w:basedOn w:val="DefaultParagraphFont"/>
    <w:uiPriority w:val="99"/>
    <w:semiHidden/>
    <w:unhideWhenUsed/>
    <w:rsid w:val="00116CA5"/>
    <w:rPr>
      <w:color w:val="800080" w:themeColor="followedHyperlink"/>
      <w:u w:val="single"/>
    </w:rPr>
  </w:style>
  <w:style w:type="paragraph" w:styleId="Header">
    <w:name w:val="header"/>
    <w:basedOn w:val="Normal"/>
    <w:link w:val="HeaderChar"/>
    <w:uiPriority w:val="99"/>
    <w:unhideWhenUsed/>
    <w:rsid w:val="00584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A82"/>
  </w:style>
  <w:style w:type="paragraph" w:styleId="Footer">
    <w:name w:val="footer"/>
    <w:basedOn w:val="Normal"/>
    <w:link w:val="FooterChar"/>
    <w:uiPriority w:val="99"/>
    <w:unhideWhenUsed/>
    <w:rsid w:val="00584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A82"/>
  </w:style>
  <w:style w:type="character" w:customStyle="1" w:styleId="Heading3Char">
    <w:name w:val="Heading 3 Char"/>
    <w:basedOn w:val="DefaultParagraphFont"/>
    <w:link w:val="Heading3"/>
    <w:uiPriority w:val="9"/>
    <w:rsid w:val="00584A8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D0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042"/>
    <w:rPr>
      <w:rFonts w:ascii="Tahoma" w:hAnsi="Tahoma" w:cs="Tahoma"/>
      <w:sz w:val="16"/>
      <w:szCs w:val="16"/>
    </w:rPr>
  </w:style>
  <w:style w:type="paragraph" w:customStyle="1" w:styleId="IATableLabel">
    <w:name w:val="IATableLabel"/>
    <w:basedOn w:val="Normal"/>
    <w:link w:val="IATableLabelCharChar"/>
    <w:rsid w:val="0007171C"/>
    <w:pPr>
      <w:spacing w:before="50" w:after="50" w:line="240" w:lineRule="auto"/>
      <w:ind w:left="113" w:right="113"/>
    </w:pPr>
    <w:rPr>
      <w:rFonts w:ascii="Arial" w:eastAsia="SimSun" w:hAnsi="Arial" w:cs="Times New Roman"/>
      <w:b/>
      <w:color w:val="000000"/>
      <w:spacing w:val="-5"/>
      <w:sz w:val="20"/>
      <w:szCs w:val="20"/>
      <w:lang w:eastAsia="zh-CN"/>
    </w:rPr>
  </w:style>
  <w:style w:type="character" w:customStyle="1" w:styleId="IATableLabelCharChar">
    <w:name w:val="IATableLabel Char Char"/>
    <w:basedOn w:val="DefaultParagraphFont"/>
    <w:link w:val="IATableLabel"/>
    <w:rsid w:val="0007171C"/>
    <w:rPr>
      <w:rFonts w:ascii="Arial" w:eastAsia="SimSun" w:hAnsi="Arial" w:cs="Times New Roman"/>
      <w:b/>
      <w:color w:val="000000"/>
      <w:spacing w:val="-5"/>
      <w:sz w:val="20"/>
      <w:szCs w:val="20"/>
      <w:lang w:eastAsia="zh-CN"/>
    </w:rPr>
  </w:style>
  <w:style w:type="paragraph" w:customStyle="1" w:styleId="IAHeadLabel">
    <w:name w:val="IAHeadLabel"/>
    <w:basedOn w:val="IATableLabel"/>
    <w:link w:val="IAHeadLabelChar"/>
    <w:rsid w:val="0007171C"/>
    <w:pPr>
      <w:spacing w:before="110"/>
      <w:ind w:left="0" w:right="0"/>
    </w:pPr>
  </w:style>
  <w:style w:type="character" w:customStyle="1" w:styleId="IAHeadLabelChar">
    <w:name w:val="IAHeadLabel Char"/>
    <w:basedOn w:val="IATableLabelCharChar"/>
    <w:link w:val="IAHeadLabel"/>
    <w:rsid w:val="0007171C"/>
    <w:rPr>
      <w:rFonts w:ascii="Arial" w:eastAsia="SimSun" w:hAnsi="Arial" w:cs="Times New Roman"/>
      <w:b/>
      <w:color w:val="000000"/>
      <w:spacing w:val="-5"/>
      <w:sz w:val="20"/>
      <w:szCs w:val="20"/>
      <w:lang w:eastAsia="zh-CN"/>
    </w:rPr>
  </w:style>
  <w:style w:type="paragraph" w:customStyle="1" w:styleId="IATableNotes">
    <w:name w:val="IATableNotes"/>
    <w:basedOn w:val="Normal"/>
    <w:link w:val="IATableNotesChar"/>
    <w:rsid w:val="0007171C"/>
    <w:pPr>
      <w:spacing w:before="60" w:after="60" w:line="240" w:lineRule="auto"/>
      <w:ind w:left="113" w:right="113"/>
    </w:pPr>
    <w:rPr>
      <w:rFonts w:ascii="Arial" w:eastAsia="SimSun" w:hAnsi="Arial" w:cs="Times New Roman"/>
      <w:sz w:val="18"/>
      <w:szCs w:val="20"/>
      <w:lang w:eastAsia="zh-CN"/>
    </w:rPr>
  </w:style>
  <w:style w:type="character" w:customStyle="1" w:styleId="IATableNotesChar">
    <w:name w:val="IATableNotes Char"/>
    <w:basedOn w:val="DefaultParagraphFont"/>
    <w:link w:val="IATableNotes"/>
    <w:rsid w:val="0007171C"/>
    <w:rPr>
      <w:rFonts w:ascii="Arial" w:eastAsia="SimSun" w:hAnsi="Arial" w:cs="Times New Roman"/>
      <w:sz w:val="18"/>
      <w:szCs w:val="20"/>
      <w:lang w:eastAsia="zh-CN"/>
    </w:rPr>
  </w:style>
  <w:style w:type="table" w:customStyle="1" w:styleId="TableIABox">
    <w:name w:val="Table_IABox"/>
    <w:basedOn w:val="TableNormal"/>
    <w:rsid w:val="0007171C"/>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customStyle="1" w:styleId="POPBY">
    <w:name w:val="POPBY"/>
    <w:basedOn w:val="IATableLabel"/>
    <w:rsid w:val="0007171C"/>
  </w:style>
  <w:style w:type="paragraph" w:customStyle="1" w:styleId="POPVBY">
    <w:name w:val="POPVBY"/>
    <w:basedOn w:val="IATableLabel"/>
    <w:rsid w:val="0007171C"/>
  </w:style>
  <w:style w:type="paragraph" w:customStyle="1" w:styleId="POTPY">
    <w:name w:val="POTPY"/>
    <w:basedOn w:val="IATableLabel"/>
    <w:rsid w:val="0007171C"/>
  </w:style>
  <w:style w:type="paragraph" w:customStyle="1" w:styleId="PONBLow">
    <w:name w:val="PONBLow"/>
    <w:basedOn w:val="IATableLabel"/>
    <w:link w:val="PONBLowCharChar"/>
    <w:rsid w:val="0007171C"/>
    <w:rPr>
      <w:b w:val="0"/>
    </w:rPr>
  </w:style>
  <w:style w:type="character" w:customStyle="1" w:styleId="PONBLowCharChar">
    <w:name w:val="PONBLow Char Char"/>
    <w:basedOn w:val="IATableLabelCharChar"/>
    <w:link w:val="PONBLow"/>
    <w:rsid w:val="0007171C"/>
    <w:rPr>
      <w:rFonts w:ascii="Arial" w:eastAsia="SimSun" w:hAnsi="Arial" w:cs="Times New Roman"/>
      <w:b w:val="0"/>
      <w:color w:val="000000"/>
      <w:spacing w:val="-5"/>
      <w:sz w:val="20"/>
      <w:szCs w:val="20"/>
      <w:lang w:eastAsia="zh-CN"/>
    </w:rPr>
  </w:style>
  <w:style w:type="paragraph" w:customStyle="1" w:styleId="PONBHigh">
    <w:name w:val="PONBHigh"/>
    <w:basedOn w:val="IATableLabel"/>
    <w:link w:val="PONBHighChar"/>
    <w:rsid w:val="0007171C"/>
    <w:rPr>
      <w:b w:val="0"/>
    </w:rPr>
  </w:style>
  <w:style w:type="character" w:customStyle="1" w:styleId="PONBHighChar">
    <w:name w:val="PONBHigh Char"/>
    <w:basedOn w:val="IATableLabelCharChar"/>
    <w:link w:val="PONBHigh"/>
    <w:rsid w:val="0007171C"/>
    <w:rPr>
      <w:rFonts w:ascii="Arial" w:eastAsia="SimSun" w:hAnsi="Arial" w:cs="Times New Roman"/>
      <w:b w:val="0"/>
      <w:color w:val="000000"/>
      <w:spacing w:val="-5"/>
      <w:sz w:val="20"/>
      <w:szCs w:val="20"/>
      <w:lang w:eastAsia="zh-CN"/>
    </w:rPr>
  </w:style>
  <w:style w:type="paragraph" w:customStyle="1" w:styleId="PONBBestEst">
    <w:name w:val="PONBBestEst"/>
    <w:basedOn w:val="IATableLabel"/>
    <w:link w:val="PONBBestEstChar"/>
    <w:rsid w:val="0007171C"/>
    <w:rPr>
      <w:b w:val="0"/>
    </w:rPr>
  </w:style>
  <w:style w:type="character" w:customStyle="1" w:styleId="PONBBestEstChar">
    <w:name w:val="PONBBestEst Char"/>
    <w:basedOn w:val="IATableLabelCharChar"/>
    <w:link w:val="PONBBestEst"/>
    <w:rsid w:val="0007171C"/>
    <w:rPr>
      <w:rFonts w:ascii="Arial" w:eastAsia="SimSun" w:hAnsi="Arial" w:cs="Times New Roman"/>
      <w:b w:val="0"/>
      <w:color w:val="000000"/>
      <w:spacing w:val="-5"/>
      <w:sz w:val="20"/>
      <w:szCs w:val="20"/>
      <w:lang w:eastAsia="zh-CN"/>
    </w:rPr>
  </w:style>
  <w:style w:type="paragraph" w:customStyle="1" w:styleId="IAPODICost">
    <w:name w:val="IAPODICost"/>
    <w:basedOn w:val="IATableLabel"/>
    <w:link w:val="IAPODICostChar"/>
    <w:rsid w:val="0007171C"/>
    <w:rPr>
      <w:b w:val="0"/>
    </w:rPr>
  </w:style>
  <w:style w:type="character" w:customStyle="1" w:styleId="IAPODICostChar">
    <w:name w:val="IAPODICost Char"/>
    <w:basedOn w:val="IATableLabelCharChar"/>
    <w:link w:val="IAPODICost"/>
    <w:rsid w:val="0007171C"/>
    <w:rPr>
      <w:rFonts w:ascii="Arial" w:eastAsia="SimSun" w:hAnsi="Arial" w:cs="Times New Roman"/>
      <w:b w:val="0"/>
      <w:color w:val="000000"/>
      <w:spacing w:val="-5"/>
      <w:sz w:val="20"/>
      <w:szCs w:val="20"/>
      <w:lang w:eastAsia="zh-CN"/>
    </w:rPr>
  </w:style>
  <w:style w:type="paragraph" w:customStyle="1" w:styleId="IAPODIBen">
    <w:name w:val="IAPODIBen"/>
    <w:basedOn w:val="IATableLabel"/>
    <w:link w:val="IAPODIBenChar"/>
    <w:rsid w:val="0007171C"/>
    <w:rPr>
      <w:b w:val="0"/>
    </w:rPr>
  </w:style>
  <w:style w:type="paragraph" w:customStyle="1" w:styleId="IAPODINet">
    <w:name w:val="IAPODINet"/>
    <w:basedOn w:val="IATableLabel"/>
    <w:link w:val="IAPODINetChar"/>
    <w:rsid w:val="0007171C"/>
    <w:rPr>
      <w:b w:val="0"/>
    </w:rPr>
  </w:style>
  <w:style w:type="paragraph" w:customStyle="1" w:styleId="IAPODIOIOO">
    <w:name w:val="IAPODIOIOO"/>
    <w:basedOn w:val="IATableLabel"/>
    <w:rsid w:val="0007171C"/>
    <w:rPr>
      <w:b w:val="0"/>
      <w:sz w:val="22"/>
      <w:szCs w:val="22"/>
    </w:rPr>
  </w:style>
  <w:style w:type="character" w:customStyle="1" w:styleId="IAPODINetChar">
    <w:name w:val="IAPODINet Char"/>
    <w:basedOn w:val="IATableLabelCharChar"/>
    <w:link w:val="IAPODINet"/>
    <w:rsid w:val="0007171C"/>
    <w:rPr>
      <w:rFonts w:ascii="Arial" w:eastAsia="SimSun" w:hAnsi="Arial" w:cs="Times New Roman"/>
      <w:b w:val="0"/>
      <w:color w:val="000000"/>
      <w:spacing w:val="-5"/>
      <w:sz w:val="20"/>
      <w:szCs w:val="20"/>
      <w:lang w:eastAsia="zh-CN"/>
    </w:rPr>
  </w:style>
  <w:style w:type="character" w:customStyle="1" w:styleId="IAPODIBenChar">
    <w:name w:val="IAPODIBen Char"/>
    <w:basedOn w:val="IATableLabelCharChar"/>
    <w:link w:val="IAPODIBen"/>
    <w:rsid w:val="0007171C"/>
    <w:rPr>
      <w:rFonts w:ascii="Arial" w:eastAsia="SimSun" w:hAnsi="Arial" w:cs="Times New Roman"/>
      <w:b w:val="0"/>
      <w:color w:val="000000"/>
      <w:spacing w:val="-5"/>
      <w:sz w:val="20"/>
      <w:szCs w:val="20"/>
      <w:lang w:eastAsia="zh-CN"/>
    </w:rPr>
  </w:style>
  <w:style w:type="paragraph" w:customStyle="1" w:styleId="IAPODIMQ">
    <w:name w:val="IAPODIMQ"/>
    <w:basedOn w:val="Normal"/>
    <w:rsid w:val="0007171C"/>
    <w:pPr>
      <w:spacing w:before="50" w:after="50" w:line="240" w:lineRule="auto"/>
      <w:ind w:left="113" w:right="113"/>
    </w:pPr>
    <w:rPr>
      <w:rFonts w:ascii="Arial" w:eastAsia="SimSun" w:hAnsi="Arial" w:cs="Times New Roman"/>
      <w:color w:val="000000"/>
      <w:spacing w:val="-5"/>
      <w:sz w:val="20"/>
      <w:szCs w:val="20"/>
      <w:lang w:eastAsia="zh-CN"/>
    </w:rPr>
  </w:style>
  <w:style w:type="paragraph" w:customStyle="1" w:styleId="Default">
    <w:name w:val="Default"/>
    <w:rsid w:val="000B408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aliases w:val="Footnote,Schriftart: 9 pt,Schriftart: 10 pt,Schriftart: 8 pt,o,Testo nota a piè di pagina Carattere,Footnote text,Fußnote,Char Char Car,Fußnotentextf,Note de bas de page Car Car Car Car Car Car Car Car Car Car,ft,fn"/>
    <w:basedOn w:val="Normal"/>
    <w:link w:val="FootnoteTextChar"/>
    <w:uiPriority w:val="99"/>
    <w:unhideWhenUsed/>
    <w:rsid w:val="00246145"/>
    <w:pPr>
      <w:spacing w:after="0" w:line="240" w:lineRule="auto"/>
    </w:pPr>
    <w:rPr>
      <w:sz w:val="20"/>
      <w:szCs w:val="20"/>
    </w:rPr>
  </w:style>
  <w:style w:type="character" w:customStyle="1" w:styleId="FootnoteTextChar">
    <w:name w:val="Footnote Text Char"/>
    <w:aliases w:val="Footnote Char,Schriftart: 9 pt Char,Schriftart: 10 pt Char,Schriftart: 8 pt Char,o Char,Testo nota a piè di pagina Carattere Char,Footnote text Char,Fußnote Char,Char Char Car Char,Fußnotentextf Char,ft Char,fn Char"/>
    <w:basedOn w:val="DefaultParagraphFont"/>
    <w:link w:val="FootnoteText"/>
    <w:uiPriority w:val="99"/>
    <w:rsid w:val="00246145"/>
    <w:rPr>
      <w:sz w:val="20"/>
      <w:szCs w:val="20"/>
    </w:rPr>
  </w:style>
  <w:style w:type="character" w:styleId="FootnoteReference">
    <w:name w:val="footnote reference"/>
    <w:aliases w:val="Footnote Reference Superscript,Footnote symbol,Footnote Reference/,BVI fnr,EN Footnote Reference,number,SUPERS,-E Fußnotenzeichen,Footnote reference number,note TESI,stylish,Source Reference,Times 10 Point,Exposant 3 Point,Ref,No"/>
    <w:basedOn w:val="DefaultParagraphFont"/>
    <w:uiPriority w:val="99"/>
    <w:unhideWhenUsed/>
    <w:rsid w:val="00246145"/>
    <w:rPr>
      <w:vertAlign w:val="superscript"/>
    </w:rPr>
  </w:style>
  <w:style w:type="paragraph" w:customStyle="1" w:styleId="EBBodyPara">
    <w:name w:val="EBBodyPara"/>
    <w:basedOn w:val="BodyText"/>
    <w:rsid w:val="00545432"/>
    <w:pPr>
      <w:spacing w:line="240" w:lineRule="auto"/>
    </w:pPr>
    <w:rPr>
      <w:rFonts w:ascii="Arial" w:eastAsia="Times New Roman" w:hAnsi="Arial" w:cs="Arial"/>
      <w:bCs/>
      <w:color w:val="000000"/>
      <w:lang w:eastAsia="en-GB"/>
    </w:rPr>
  </w:style>
  <w:style w:type="paragraph" w:styleId="BodyText">
    <w:name w:val="Body Text"/>
    <w:basedOn w:val="Normal"/>
    <w:link w:val="BodyTextChar"/>
    <w:uiPriority w:val="99"/>
    <w:semiHidden/>
    <w:unhideWhenUsed/>
    <w:rsid w:val="00545432"/>
    <w:pPr>
      <w:spacing w:after="120"/>
    </w:pPr>
  </w:style>
  <w:style w:type="character" w:customStyle="1" w:styleId="BodyTextChar">
    <w:name w:val="Body Text Char"/>
    <w:basedOn w:val="DefaultParagraphFont"/>
    <w:link w:val="BodyText"/>
    <w:uiPriority w:val="99"/>
    <w:semiHidden/>
    <w:rsid w:val="00545432"/>
  </w:style>
  <w:style w:type="paragraph" w:styleId="NoSpacing">
    <w:name w:val="No Spacing"/>
    <w:uiPriority w:val="1"/>
    <w:qFormat/>
    <w:rsid w:val="00F74C21"/>
    <w:pPr>
      <w:spacing w:after="0" w:line="240" w:lineRule="auto"/>
    </w:pPr>
  </w:style>
  <w:style w:type="table" w:styleId="MediumShading1-Accent6">
    <w:name w:val="Medium Shading 1 Accent 6"/>
    <w:basedOn w:val="TableNormal"/>
    <w:uiPriority w:val="63"/>
    <w:rsid w:val="00BB088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BB0884"/>
    <w:rPr>
      <w:sz w:val="16"/>
      <w:szCs w:val="16"/>
    </w:rPr>
  </w:style>
  <w:style w:type="paragraph" w:styleId="CommentText">
    <w:name w:val="annotation text"/>
    <w:basedOn w:val="Normal"/>
    <w:link w:val="CommentTextChar"/>
    <w:uiPriority w:val="99"/>
    <w:unhideWhenUsed/>
    <w:rsid w:val="00BB0884"/>
    <w:pPr>
      <w:spacing w:line="240" w:lineRule="auto"/>
    </w:pPr>
    <w:rPr>
      <w:sz w:val="20"/>
      <w:szCs w:val="20"/>
    </w:rPr>
  </w:style>
  <w:style w:type="character" w:customStyle="1" w:styleId="CommentTextChar">
    <w:name w:val="Comment Text Char"/>
    <w:basedOn w:val="DefaultParagraphFont"/>
    <w:link w:val="CommentText"/>
    <w:uiPriority w:val="99"/>
    <w:rsid w:val="00BB0884"/>
    <w:rPr>
      <w:sz w:val="20"/>
      <w:szCs w:val="20"/>
    </w:rPr>
  </w:style>
  <w:style w:type="paragraph" w:styleId="Title">
    <w:name w:val="Title"/>
    <w:basedOn w:val="Normal"/>
    <w:next w:val="Normal"/>
    <w:link w:val="TitleChar"/>
    <w:uiPriority w:val="10"/>
    <w:qFormat/>
    <w:rsid w:val="00C720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C720F0"/>
    <w:rPr>
      <w:rFonts w:asciiTheme="majorHAnsi" w:eastAsiaTheme="majorEastAsia" w:hAnsiTheme="majorHAnsi" w:cstheme="majorBidi"/>
      <w:color w:val="17365D" w:themeColor="text2" w:themeShade="BF"/>
      <w:spacing w:val="5"/>
      <w:kern w:val="28"/>
      <w:sz w:val="52"/>
      <w:szCs w:val="52"/>
      <w:lang w:eastAsia="en-GB"/>
    </w:rPr>
  </w:style>
  <w:style w:type="paragraph" w:styleId="Subtitle">
    <w:name w:val="Subtitle"/>
    <w:basedOn w:val="Normal"/>
    <w:next w:val="Normal"/>
    <w:link w:val="SubtitleChar"/>
    <w:uiPriority w:val="11"/>
    <w:qFormat/>
    <w:rsid w:val="00C720F0"/>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en-GB"/>
    </w:rPr>
  </w:style>
  <w:style w:type="character" w:customStyle="1" w:styleId="SubtitleChar">
    <w:name w:val="Subtitle Char"/>
    <w:basedOn w:val="DefaultParagraphFont"/>
    <w:link w:val="Subtitle"/>
    <w:uiPriority w:val="11"/>
    <w:rsid w:val="00C720F0"/>
    <w:rPr>
      <w:rFonts w:asciiTheme="majorHAnsi" w:eastAsiaTheme="majorEastAsia" w:hAnsiTheme="majorHAnsi" w:cstheme="majorBidi"/>
      <w:i/>
      <w:iCs/>
      <w:color w:val="4F81BD" w:themeColor="accent1"/>
      <w:spacing w:val="15"/>
      <w:sz w:val="24"/>
      <w:szCs w:val="24"/>
      <w:lang w:eastAsia="en-GB"/>
    </w:rPr>
  </w:style>
  <w:style w:type="paragraph" w:styleId="NormalWeb">
    <w:name w:val="Normal (Web)"/>
    <w:basedOn w:val="Normal"/>
    <w:rsid w:val="00C6736C"/>
    <w:pPr>
      <w:spacing w:before="100" w:beforeAutospacing="1" w:after="100" w:afterAutospacing="1" w:line="240" w:lineRule="auto"/>
    </w:pPr>
    <w:rPr>
      <w:rFonts w:ascii="Arial" w:eastAsia="Times New Roman" w:hAnsi="Arial" w:cs="Arial"/>
      <w:sz w:val="24"/>
      <w:szCs w:val="24"/>
      <w:lang w:eastAsia="en-GB"/>
    </w:rPr>
  </w:style>
  <w:style w:type="table" w:styleId="LightShading-Accent6">
    <w:name w:val="Light Shading Accent 6"/>
    <w:basedOn w:val="TableNormal"/>
    <w:uiPriority w:val="60"/>
    <w:rsid w:val="00C2787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6">
    <w:name w:val="Light List Accent 6"/>
    <w:basedOn w:val="TableNormal"/>
    <w:uiPriority w:val="61"/>
    <w:rsid w:val="00C2787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Grid3-Accent6">
    <w:name w:val="Medium Grid 3 Accent 6"/>
    <w:basedOn w:val="TableNormal"/>
    <w:uiPriority w:val="69"/>
    <w:rsid w:val="00C278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CommentSubject">
    <w:name w:val="annotation subject"/>
    <w:basedOn w:val="CommentText"/>
    <w:next w:val="CommentText"/>
    <w:link w:val="CommentSubjectChar"/>
    <w:uiPriority w:val="99"/>
    <w:semiHidden/>
    <w:unhideWhenUsed/>
    <w:rsid w:val="00B004F0"/>
    <w:rPr>
      <w:b/>
      <w:bCs/>
    </w:rPr>
  </w:style>
  <w:style w:type="character" w:customStyle="1" w:styleId="CommentSubjectChar">
    <w:name w:val="Comment Subject Char"/>
    <w:basedOn w:val="CommentTextChar"/>
    <w:link w:val="CommentSubject"/>
    <w:uiPriority w:val="99"/>
    <w:semiHidden/>
    <w:rsid w:val="00B004F0"/>
    <w:rPr>
      <w:b/>
      <w:bCs/>
      <w:sz w:val="20"/>
      <w:szCs w:val="20"/>
    </w:rPr>
  </w:style>
  <w:style w:type="paragraph" w:styleId="EndnoteText">
    <w:name w:val="endnote text"/>
    <w:basedOn w:val="Normal"/>
    <w:link w:val="EndnoteTextChar"/>
    <w:uiPriority w:val="99"/>
    <w:semiHidden/>
    <w:unhideWhenUsed/>
    <w:rsid w:val="008133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3339"/>
    <w:rPr>
      <w:sz w:val="20"/>
      <w:szCs w:val="20"/>
    </w:rPr>
  </w:style>
  <w:style w:type="character" w:styleId="EndnoteReference">
    <w:name w:val="endnote reference"/>
    <w:basedOn w:val="DefaultParagraphFont"/>
    <w:uiPriority w:val="99"/>
    <w:semiHidden/>
    <w:unhideWhenUsed/>
    <w:rsid w:val="00813339"/>
    <w:rPr>
      <w:vertAlign w:val="superscript"/>
    </w:rPr>
  </w:style>
  <w:style w:type="table" w:customStyle="1" w:styleId="TableGrid1">
    <w:name w:val="Table Grid1"/>
    <w:basedOn w:val="TableNormal"/>
    <w:next w:val="TableGrid"/>
    <w:uiPriority w:val="59"/>
    <w:rsid w:val="00C80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E5902"/>
    <w:pPr>
      <w:outlineLvl w:val="9"/>
    </w:pPr>
    <w:rPr>
      <w:lang w:val="en-US" w:eastAsia="ja-JP"/>
    </w:rPr>
  </w:style>
  <w:style w:type="paragraph" w:styleId="TOC2">
    <w:name w:val="toc 2"/>
    <w:basedOn w:val="Normal"/>
    <w:next w:val="Normal"/>
    <w:autoRedefine/>
    <w:uiPriority w:val="39"/>
    <w:unhideWhenUsed/>
    <w:qFormat/>
    <w:rsid w:val="00DE5902"/>
    <w:pPr>
      <w:spacing w:after="100"/>
      <w:ind w:left="220"/>
    </w:pPr>
  </w:style>
  <w:style w:type="paragraph" w:styleId="TOC3">
    <w:name w:val="toc 3"/>
    <w:basedOn w:val="Normal"/>
    <w:next w:val="Normal"/>
    <w:autoRedefine/>
    <w:uiPriority w:val="39"/>
    <w:unhideWhenUsed/>
    <w:qFormat/>
    <w:rsid w:val="00DE5902"/>
    <w:pPr>
      <w:spacing w:after="100"/>
      <w:ind w:left="440"/>
    </w:pPr>
  </w:style>
  <w:style w:type="paragraph" w:styleId="TOC1">
    <w:name w:val="toc 1"/>
    <w:basedOn w:val="Normal"/>
    <w:next w:val="Normal"/>
    <w:autoRedefine/>
    <w:uiPriority w:val="39"/>
    <w:unhideWhenUsed/>
    <w:qFormat/>
    <w:rsid w:val="006C50BC"/>
    <w:pPr>
      <w:spacing w:after="100"/>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71C"/>
  </w:style>
  <w:style w:type="paragraph" w:styleId="Heading1">
    <w:name w:val="heading 1"/>
    <w:basedOn w:val="Normal"/>
    <w:next w:val="Normal"/>
    <w:link w:val="Heading1Char"/>
    <w:uiPriority w:val="9"/>
    <w:qFormat/>
    <w:rsid w:val="00116C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6C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4A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7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5D7E"/>
    <w:pPr>
      <w:ind w:left="720"/>
      <w:contextualSpacing/>
    </w:pPr>
  </w:style>
  <w:style w:type="character" w:customStyle="1" w:styleId="Heading1Char">
    <w:name w:val="Heading 1 Char"/>
    <w:basedOn w:val="DefaultParagraphFont"/>
    <w:link w:val="Heading1"/>
    <w:uiPriority w:val="9"/>
    <w:rsid w:val="00116C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6CA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16CA5"/>
    <w:rPr>
      <w:color w:val="0000FF" w:themeColor="hyperlink"/>
      <w:u w:val="single"/>
    </w:rPr>
  </w:style>
  <w:style w:type="character" w:styleId="FollowedHyperlink">
    <w:name w:val="FollowedHyperlink"/>
    <w:basedOn w:val="DefaultParagraphFont"/>
    <w:uiPriority w:val="99"/>
    <w:semiHidden/>
    <w:unhideWhenUsed/>
    <w:rsid w:val="00116CA5"/>
    <w:rPr>
      <w:color w:val="800080" w:themeColor="followedHyperlink"/>
      <w:u w:val="single"/>
    </w:rPr>
  </w:style>
  <w:style w:type="paragraph" w:styleId="Header">
    <w:name w:val="header"/>
    <w:basedOn w:val="Normal"/>
    <w:link w:val="HeaderChar"/>
    <w:uiPriority w:val="99"/>
    <w:unhideWhenUsed/>
    <w:rsid w:val="00584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A82"/>
  </w:style>
  <w:style w:type="paragraph" w:styleId="Footer">
    <w:name w:val="footer"/>
    <w:basedOn w:val="Normal"/>
    <w:link w:val="FooterChar"/>
    <w:uiPriority w:val="99"/>
    <w:unhideWhenUsed/>
    <w:rsid w:val="00584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A82"/>
  </w:style>
  <w:style w:type="character" w:customStyle="1" w:styleId="Heading3Char">
    <w:name w:val="Heading 3 Char"/>
    <w:basedOn w:val="DefaultParagraphFont"/>
    <w:link w:val="Heading3"/>
    <w:uiPriority w:val="9"/>
    <w:rsid w:val="00584A8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D0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042"/>
    <w:rPr>
      <w:rFonts w:ascii="Tahoma" w:hAnsi="Tahoma" w:cs="Tahoma"/>
      <w:sz w:val="16"/>
      <w:szCs w:val="16"/>
    </w:rPr>
  </w:style>
  <w:style w:type="paragraph" w:customStyle="1" w:styleId="IATableLabel">
    <w:name w:val="IATableLabel"/>
    <w:basedOn w:val="Normal"/>
    <w:link w:val="IATableLabelCharChar"/>
    <w:rsid w:val="0007171C"/>
    <w:pPr>
      <w:spacing w:before="50" w:after="50" w:line="240" w:lineRule="auto"/>
      <w:ind w:left="113" w:right="113"/>
    </w:pPr>
    <w:rPr>
      <w:rFonts w:ascii="Arial" w:eastAsia="SimSun" w:hAnsi="Arial" w:cs="Times New Roman"/>
      <w:b/>
      <w:color w:val="000000"/>
      <w:spacing w:val="-5"/>
      <w:sz w:val="20"/>
      <w:szCs w:val="20"/>
      <w:lang w:eastAsia="zh-CN"/>
    </w:rPr>
  </w:style>
  <w:style w:type="character" w:customStyle="1" w:styleId="IATableLabelCharChar">
    <w:name w:val="IATableLabel Char Char"/>
    <w:basedOn w:val="DefaultParagraphFont"/>
    <w:link w:val="IATableLabel"/>
    <w:rsid w:val="0007171C"/>
    <w:rPr>
      <w:rFonts w:ascii="Arial" w:eastAsia="SimSun" w:hAnsi="Arial" w:cs="Times New Roman"/>
      <w:b/>
      <w:color w:val="000000"/>
      <w:spacing w:val="-5"/>
      <w:sz w:val="20"/>
      <w:szCs w:val="20"/>
      <w:lang w:eastAsia="zh-CN"/>
    </w:rPr>
  </w:style>
  <w:style w:type="paragraph" w:customStyle="1" w:styleId="IAHeadLabel">
    <w:name w:val="IAHeadLabel"/>
    <w:basedOn w:val="IATableLabel"/>
    <w:link w:val="IAHeadLabelChar"/>
    <w:rsid w:val="0007171C"/>
    <w:pPr>
      <w:spacing w:before="110"/>
      <w:ind w:left="0" w:right="0"/>
    </w:pPr>
  </w:style>
  <w:style w:type="character" w:customStyle="1" w:styleId="IAHeadLabelChar">
    <w:name w:val="IAHeadLabel Char"/>
    <w:basedOn w:val="IATableLabelCharChar"/>
    <w:link w:val="IAHeadLabel"/>
    <w:rsid w:val="0007171C"/>
    <w:rPr>
      <w:rFonts w:ascii="Arial" w:eastAsia="SimSun" w:hAnsi="Arial" w:cs="Times New Roman"/>
      <w:b/>
      <w:color w:val="000000"/>
      <w:spacing w:val="-5"/>
      <w:sz w:val="20"/>
      <w:szCs w:val="20"/>
      <w:lang w:eastAsia="zh-CN"/>
    </w:rPr>
  </w:style>
  <w:style w:type="paragraph" w:customStyle="1" w:styleId="IATableNotes">
    <w:name w:val="IATableNotes"/>
    <w:basedOn w:val="Normal"/>
    <w:link w:val="IATableNotesChar"/>
    <w:rsid w:val="0007171C"/>
    <w:pPr>
      <w:spacing w:before="60" w:after="60" w:line="240" w:lineRule="auto"/>
      <w:ind w:left="113" w:right="113"/>
    </w:pPr>
    <w:rPr>
      <w:rFonts w:ascii="Arial" w:eastAsia="SimSun" w:hAnsi="Arial" w:cs="Times New Roman"/>
      <w:sz w:val="18"/>
      <w:szCs w:val="20"/>
      <w:lang w:eastAsia="zh-CN"/>
    </w:rPr>
  </w:style>
  <w:style w:type="character" w:customStyle="1" w:styleId="IATableNotesChar">
    <w:name w:val="IATableNotes Char"/>
    <w:basedOn w:val="DefaultParagraphFont"/>
    <w:link w:val="IATableNotes"/>
    <w:rsid w:val="0007171C"/>
    <w:rPr>
      <w:rFonts w:ascii="Arial" w:eastAsia="SimSun" w:hAnsi="Arial" w:cs="Times New Roman"/>
      <w:sz w:val="18"/>
      <w:szCs w:val="20"/>
      <w:lang w:eastAsia="zh-CN"/>
    </w:rPr>
  </w:style>
  <w:style w:type="table" w:customStyle="1" w:styleId="TableIABox">
    <w:name w:val="Table_IABox"/>
    <w:basedOn w:val="TableNormal"/>
    <w:rsid w:val="0007171C"/>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customStyle="1" w:styleId="POPBY">
    <w:name w:val="POPBY"/>
    <w:basedOn w:val="IATableLabel"/>
    <w:rsid w:val="0007171C"/>
  </w:style>
  <w:style w:type="paragraph" w:customStyle="1" w:styleId="POPVBY">
    <w:name w:val="POPVBY"/>
    <w:basedOn w:val="IATableLabel"/>
    <w:rsid w:val="0007171C"/>
  </w:style>
  <w:style w:type="paragraph" w:customStyle="1" w:styleId="POTPY">
    <w:name w:val="POTPY"/>
    <w:basedOn w:val="IATableLabel"/>
    <w:rsid w:val="0007171C"/>
  </w:style>
  <w:style w:type="paragraph" w:customStyle="1" w:styleId="PONBLow">
    <w:name w:val="PONBLow"/>
    <w:basedOn w:val="IATableLabel"/>
    <w:link w:val="PONBLowCharChar"/>
    <w:rsid w:val="0007171C"/>
    <w:rPr>
      <w:b w:val="0"/>
    </w:rPr>
  </w:style>
  <w:style w:type="character" w:customStyle="1" w:styleId="PONBLowCharChar">
    <w:name w:val="PONBLow Char Char"/>
    <w:basedOn w:val="IATableLabelCharChar"/>
    <w:link w:val="PONBLow"/>
    <w:rsid w:val="0007171C"/>
    <w:rPr>
      <w:rFonts w:ascii="Arial" w:eastAsia="SimSun" w:hAnsi="Arial" w:cs="Times New Roman"/>
      <w:b w:val="0"/>
      <w:color w:val="000000"/>
      <w:spacing w:val="-5"/>
      <w:sz w:val="20"/>
      <w:szCs w:val="20"/>
      <w:lang w:eastAsia="zh-CN"/>
    </w:rPr>
  </w:style>
  <w:style w:type="paragraph" w:customStyle="1" w:styleId="PONBHigh">
    <w:name w:val="PONBHigh"/>
    <w:basedOn w:val="IATableLabel"/>
    <w:link w:val="PONBHighChar"/>
    <w:rsid w:val="0007171C"/>
    <w:rPr>
      <w:b w:val="0"/>
    </w:rPr>
  </w:style>
  <w:style w:type="character" w:customStyle="1" w:styleId="PONBHighChar">
    <w:name w:val="PONBHigh Char"/>
    <w:basedOn w:val="IATableLabelCharChar"/>
    <w:link w:val="PONBHigh"/>
    <w:rsid w:val="0007171C"/>
    <w:rPr>
      <w:rFonts w:ascii="Arial" w:eastAsia="SimSun" w:hAnsi="Arial" w:cs="Times New Roman"/>
      <w:b w:val="0"/>
      <w:color w:val="000000"/>
      <w:spacing w:val="-5"/>
      <w:sz w:val="20"/>
      <w:szCs w:val="20"/>
      <w:lang w:eastAsia="zh-CN"/>
    </w:rPr>
  </w:style>
  <w:style w:type="paragraph" w:customStyle="1" w:styleId="PONBBestEst">
    <w:name w:val="PONBBestEst"/>
    <w:basedOn w:val="IATableLabel"/>
    <w:link w:val="PONBBestEstChar"/>
    <w:rsid w:val="0007171C"/>
    <w:rPr>
      <w:b w:val="0"/>
    </w:rPr>
  </w:style>
  <w:style w:type="character" w:customStyle="1" w:styleId="PONBBestEstChar">
    <w:name w:val="PONBBestEst Char"/>
    <w:basedOn w:val="IATableLabelCharChar"/>
    <w:link w:val="PONBBestEst"/>
    <w:rsid w:val="0007171C"/>
    <w:rPr>
      <w:rFonts w:ascii="Arial" w:eastAsia="SimSun" w:hAnsi="Arial" w:cs="Times New Roman"/>
      <w:b w:val="0"/>
      <w:color w:val="000000"/>
      <w:spacing w:val="-5"/>
      <w:sz w:val="20"/>
      <w:szCs w:val="20"/>
      <w:lang w:eastAsia="zh-CN"/>
    </w:rPr>
  </w:style>
  <w:style w:type="paragraph" w:customStyle="1" w:styleId="IAPODICost">
    <w:name w:val="IAPODICost"/>
    <w:basedOn w:val="IATableLabel"/>
    <w:link w:val="IAPODICostChar"/>
    <w:rsid w:val="0007171C"/>
    <w:rPr>
      <w:b w:val="0"/>
    </w:rPr>
  </w:style>
  <w:style w:type="character" w:customStyle="1" w:styleId="IAPODICostChar">
    <w:name w:val="IAPODICost Char"/>
    <w:basedOn w:val="IATableLabelCharChar"/>
    <w:link w:val="IAPODICost"/>
    <w:rsid w:val="0007171C"/>
    <w:rPr>
      <w:rFonts w:ascii="Arial" w:eastAsia="SimSun" w:hAnsi="Arial" w:cs="Times New Roman"/>
      <w:b w:val="0"/>
      <w:color w:val="000000"/>
      <w:spacing w:val="-5"/>
      <w:sz w:val="20"/>
      <w:szCs w:val="20"/>
      <w:lang w:eastAsia="zh-CN"/>
    </w:rPr>
  </w:style>
  <w:style w:type="paragraph" w:customStyle="1" w:styleId="IAPODIBen">
    <w:name w:val="IAPODIBen"/>
    <w:basedOn w:val="IATableLabel"/>
    <w:link w:val="IAPODIBenChar"/>
    <w:rsid w:val="0007171C"/>
    <w:rPr>
      <w:b w:val="0"/>
    </w:rPr>
  </w:style>
  <w:style w:type="paragraph" w:customStyle="1" w:styleId="IAPODINet">
    <w:name w:val="IAPODINet"/>
    <w:basedOn w:val="IATableLabel"/>
    <w:link w:val="IAPODINetChar"/>
    <w:rsid w:val="0007171C"/>
    <w:rPr>
      <w:b w:val="0"/>
    </w:rPr>
  </w:style>
  <w:style w:type="paragraph" w:customStyle="1" w:styleId="IAPODIOIOO">
    <w:name w:val="IAPODIOIOO"/>
    <w:basedOn w:val="IATableLabel"/>
    <w:rsid w:val="0007171C"/>
    <w:rPr>
      <w:b w:val="0"/>
      <w:sz w:val="22"/>
      <w:szCs w:val="22"/>
    </w:rPr>
  </w:style>
  <w:style w:type="character" w:customStyle="1" w:styleId="IAPODINetChar">
    <w:name w:val="IAPODINet Char"/>
    <w:basedOn w:val="IATableLabelCharChar"/>
    <w:link w:val="IAPODINet"/>
    <w:rsid w:val="0007171C"/>
    <w:rPr>
      <w:rFonts w:ascii="Arial" w:eastAsia="SimSun" w:hAnsi="Arial" w:cs="Times New Roman"/>
      <w:b w:val="0"/>
      <w:color w:val="000000"/>
      <w:spacing w:val="-5"/>
      <w:sz w:val="20"/>
      <w:szCs w:val="20"/>
      <w:lang w:eastAsia="zh-CN"/>
    </w:rPr>
  </w:style>
  <w:style w:type="character" w:customStyle="1" w:styleId="IAPODIBenChar">
    <w:name w:val="IAPODIBen Char"/>
    <w:basedOn w:val="IATableLabelCharChar"/>
    <w:link w:val="IAPODIBen"/>
    <w:rsid w:val="0007171C"/>
    <w:rPr>
      <w:rFonts w:ascii="Arial" w:eastAsia="SimSun" w:hAnsi="Arial" w:cs="Times New Roman"/>
      <w:b w:val="0"/>
      <w:color w:val="000000"/>
      <w:spacing w:val="-5"/>
      <w:sz w:val="20"/>
      <w:szCs w:val="20"/>
      <w:lang w:eastAsia="zh-CN"/>
    </w:rPr>
  </w:style>
  <w:style w:type="paragraph" w:customStyle="1" w:styleId="IAPODIMQ">
    <w:name w:val="IAPODIMQ"/>
    <w:basedOn w:val="Normal"/>
    <w:rsid w:val="0007171C"/>
    <w:pPr>
      <w:spacing w:before="50" w:after="50" w:line="240" w:lineRule="auto"/>
      <w:ind w:left="113" w:right="113"/>
    </w:pPr>
    <w:rPr>
      <w:rFonts w:ascii="Arial" w:eastAsia="SimSun" w:hAnsi="Arial" w:cs="Times New Roman"/>
      <w:color w:val="000000"/>
      <w:spacing w:val="-5"/>
      <w:sz w:val="20"/>
      <w:szCs w:val="20"/>
      <w:lang w:eastAsia="zh-CN"/>
    </w:rPr>
  </w:style>
  <w:style w:type="paragraph" w:customStyle="1" w:styleId="Default">
    <w:name w:val="Default"/>
    <w:rsid w:val="000B408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aliases w:val="Footnote,Schriftart: 9 pt,Schriftart: 10 pt,Schriftart: 8 pt,o,Testo nota a piè di pagina Carattere,Footnote text,Fußnote,Char Char Car,Fußnotentextf,Note de bas de page Car Car Car Car Car Car Car Car Car Car,ft,fn"/>
    <w:basedOn w:val="Normal"/>
    <w:link w:val="FootnoteTextChar"/>
    <w:uiPriority w:val="99"/>
    <w:unhideWhenUsed/>
    <w:rsid w:val="00246145"/>
    <w:pPr>
      <w:spacing w:after="0" w:line="240" w:lineRule="auto"/>
    </w:pPr>
    <w:rPr>
      <w:sz w:val="20"/>
      <w:szCs w:val="20"/>
    </w:rPr>
  </w:style>
  <w:style w:type="character" w:customStyle="1" w:styleId="FootnoteTextChar">
    <w:name w:val="Footnote Text Char"/>
    <w:aliases w:val="Footnote Char,Schriftart: 9 pt Char,Schriftart: 10 pt Char,Schriftart: 8 pt Char,o Char,Testo nota a piè di pagina Carattere Char,Footnote text Char,Fußnote Char,Char Char Car Char,Fußnotentextf Char,ft Char,fn Char"/>
    <w:basedOn w:val="DefaultParagraphFont"/>
    <w:link w:val="FootnoteText"/>
    <w:uiPriority w:val="99"/>
    <w:rsid w:val="00246145"/>
    <w:rPr>
      <w:sz w:val="20"/>
      <w:szCs w:val="20"/>
    </w:rPr>
  </w:style>
  <w:style w:type="character" w:styleId="FootnoteReference">
    <w:name w:val="footnote reference"/>
    <w:aliases w:val="Footnote Reference Superscript,Footnote symbol,Footnote Reference/,BVI fnr,EN Footnote Reference,number,SUPERS,-E Fußnotenzeichen,Footnote reference number,note TESI,stylish,Source Reference,Times 10 Point,Exposant 3 Point,Ref,No"/>
    <w:basedOn w:val="DefaultParagraphFont"/>
    <w:uiPriority w:val="99"/>
    <w:unhideWhenUsed/>
    <w:rsid w:val="00246145"/>
    <w:rPr>
      <w:vertAlign w:val="superscript"/>
    </w:rPr>
  </w:style>
  <w:style w:type="paragraph" w:customStyle="1" w:styleId="EBBodyPara">
    <w:name w:val="EBBodyPara"/>
    <w:basedOn w:val="BodyText"/>
    <w:rsid w:val="00545432"/>
    <w:pPr>
      <w:spacing w:line="240" w:lineRule="auto"/>
    </w:pPr>
    <w:rPr>
      <w:rFonts w:ascii="Arial" w:eastAsia="Times New Roman" w:hAnsi="Arial" w:cs="Arial"/>
      <w:bCs/>
      <w:color w:val="000000"/>
      <w:lang w:eastAsia="en-GB"/>
    </w:rPr>
  </w:style>
  <w:style w:type="paragraph" w:styleId="BodyText">
    <w:name w:val="Body Text"/>
    <w:basedOn w:val="Normal"/>
    <w:link w:val="BodyTextChar"/>
    <w:uiPriority w:val="99"/>
    <w:semiHidden/>
    <w:unhideWhenUsed/>
    <w:rsid w:val="00545432"/>
    <w:pPr>
      <w:spacing w:after="120"/>
    </w:pPr>
  </w:style>
  <w:style w:type="character" w:customStyle="1" w:styleId="BodyTextChar">
    <w:name w:val="Body Text Char"/>
    <w:basedOn w:val="DefaultParagraphFont"/>
    <w:link w:val="BodyText"/>
    <w:uiPriority w:val="99"/>
    <w:semiHidden/>
    <w:rsid w:val="00545432"/>
  </w:style>
  <w:style w:type="paragraph" w:styleId="NoSpacing">
    <w:name w:val="No Spacing"/>
    <w:uiPriority w:val="1"/>
    <w:qFormat/>
    <w:rsid w:val="00F74C21"/>
    <w:pPr>
      <w:spacing w:after="0" w:line="240" w:lineRule="auto"/>
    </w:pPr>
  </w:style>
  <w:style w:type="table" w:styleId="MediumShading1-Accent6">
    <w:name w:val="Medium Shading 1 Accent 6"/>
    <w:basedOn w:val="TableNormal"/>
    <w:uiPriority w:val="63"/>
    <w:rsid w:val="00BB088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BB0884"/>
    <w:rPr>
      <w:sz w:val="16"/>
      <w:szCs w:val="16"/>
    </w:rPr>
  </w:style>
  <w:style w:type="paragraph" w:styleId="CommentText">
    <w:name w:val="annotation text"/>
    <w:basedOn w:val="Normal"/>
    <w:link w:val="CommentTextChar"/>
    <w:uiPriority w:val="99"/>
    <w:unhideWhenUsed/>
    <w:rsid w:val="00BB0884"/>
    <w:pPr>
      <w:spacing w:line="240" w:lineRule="auto"/>
    </w:pPr>
    <w:rPr>
      <w:sz w:val="20"/>
      <w:szCs w:val="20"/>
    </w:rPr>
  </w:style>
  <w:style w:type="character" w:customStyle="1" w:styleId="CommentTextChar">
    <w:name w:val="Comment Text Char"/>
    <w:basedOn w:val="DefaultParagraphFont"/>
    <w:link w:val="CommentText"/>
    <w:uiPriority w:val="99"/>
    <w:rsid w:val="00BB0884"/>
    <w:rPr>
      <w:sz w:val="20"/>
      <w:szCs w:val="20"/>
    </w:rPr>
  </w:style>
  <w:style w:type="paragraph" w:styleId="Title">
    <w:name w:val="Title"/>
    <w:basedOn w:val="Normal"/>
    <w:next w:val="Normal"/>
    <w:link w:val="TitleChar"/>
    <w:uiPriority w:val="10"/>
    <w:qFormat/>
    <w:rsid w:val="00C720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C720F0"/>
    <w:rPr>
      <w:rFonts w:asciiTheme="majorHAnsi" w:eastAsiaTheme="majorEastAsia" w:hAnsiTheme="majorHAnsi" w:cstheme="majorBidi"/>
      <w:color w:val="17365D" w:themeColor="text2" w:themeShade="BF"/>
      <w:spacing w:val="5"/>
      <w:kern w:val="28"/>
      <w:sz w:val="52"/>
      <w:szCs w:val="52"/>
      <w:lang w:eastAsia="en-GB"/>
    </w:rPr>
  </w:style>
  <w:style w:type="paragraph" w:styleId="Subtitle">
    <w:name w:val="Subtitle"/>
    <w:basedOn w:val="Normal"/>
    <w:next w:val="Normal"/>
    <w:link w:val="SubtitleChar"/>
    <w:uiPriority w:val="11"/>
    <w:qFormat/>
    <w:rsid w:val="00C720F0"/>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en-GB"/>
    </w:rPr>
  </w:style>
  <w:style w:type="character" w:customStyle="1" w:styleId="SubtitleChar">
    <w:name w:val="Subtitle Char"/>
    <w:basedOn w:val="DefaultParagraphFont"/>
    <w:link w:val="Subtitle"/>
    <w:uiPriority w:val="11"/>
    <w:rsid w:val="00C720F0"/>
    <w:rPr>
      <w:rFonts w:asciiTheme="majorHAnsi" w:eastAsiaTheme="majorEastAsia" w:hAnsiTheme="majorHAnsi" w:cstheme="majorBidi"/>
      <w:i/>
      <w:iCs/>
      <w:color w:val="4F81BD" w:themeColor="accent1"/>
      <w:spacing w:val="15"/>
      <w:sz w:val="24"/>
      <w:szCs w:val="24"/>
      <w:lang w:eastAsia="en-GB"/>
    </w:rPr>
  </w:style>
  <w:style w:type="paragraph" w:styleId="NormalWeb">
    <w:name w:val="Normal (Web)"/>
    <w:basedOn w:val="Normal"/>
    <w:rsid w:val="00C6736C"/>
    <w:pPr>
      <w:spacing w:before="100" w:beforeAutospacing="1" w:after="100" w:afterAutospacing="1" w:line="240" w:lineRule="auto"/>
    </w:pPr>
    <w:rPr>
      <w:rFonts w:ascii="Arial" w:eastAsia="Times New Roman" w:hAnsi="Arial" w:cs="Arial"/>
      <w:sz w:val="24"/>
      <w:szCs w:val="24"/>
      <w:lang w:eastAsia="en-GB"/>
    </w:rPr>
  </w:style>
  <w:style w:type="table" w:styleId="LightShading-Accent6">
    <w:name w:val="Light Shading Accent 6"/>
    <w:basedOn w:val="TableNormal"/>
    <w:uiPriority w:val="60"/>
    <w:rsid w:val="00C2787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6">
    <w:name w:val="Light List Accent 6"/>
    <w:basedOn w:val="TableNormal"/>
    <w:uiPriority w:val="61"/>
    <w:rsid w:val="00C2787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Grid3-Accent6">
    <w:name w:val="Medium Grid 3 Accent 6"/>
    <w:basedOn w:val="TableNormal"/>
    <w:uiPriority w:val="69"/>
    <w:rsid w:val="00C278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CommentSubject">
    <w:name w:val="annotation subject"/>
    <w:basedOn w:val="CommentText"/>
    <w:next w:val="CommentText"/>
    <w:link w:val="CommentSubjectChar"/>
    <w:uiPriority w:val="99"/>
    <w:semiHidden/>
    <w:unhideWhenUsed/>
    <w:rsid w:val="00B004F0"/>
    <w:rPr>
      <w:b/>
      <w:bCs/>
    </w:rPr>
  </w:style>
  <w:style w:type="character" w:customStyle="1" w:styleId="CommentSubjectChar">
    <w:name w:val="Comment Subject Char"/>
    <w:basedOn w:val="CommentTextChar"/>
    <w:link w:val="CommentSubject"/>
    <w:uiPriority w:val="99"/>
    <w:semiHidden/>
    <w:rsid w:val="00B004F0"/>
    <w:rPr>
      <w:b/>
      <w:bCs/>
      <w:sz w:val="20"/>
      <w:szCs w:val="20"/>
    </w:rPr>
  </w:style>
  <w:style w:type="paragraph" w:styleId="EndnoteText">
    <w:name w:val="endnote text"/>
    <w:basedOn w:val="Normal"/>
    <w:link w:val="EndnoteTextChar"/>
    <w:uiPriority w:val="99"/>
    <w:semiHidden/>
    <w:unhideWhenUsed/>
    <w:rsid w:val="008133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3339"/>
    <w:rPr>
      <w:sz w:val="20"/>
      <w:szCs w:val="20"/>
    </w:rPr>
  </w:style>
  <w:style w:type="character" w:styleId="EndnoteReference">
    <w:name w:val="endnote reference"/>
    <w:basedOn w:val="DefaultParagraphFont"/>
    <w:uiPriority w:val="99"/>
    <w:semiHidden/>
    <w:unhideWhenUsed/>
    <w:rsid w:val="00813339"/>
    <w:rPr>
      <w:vertAlign w:val="superscript"/>
    </w:rPr>
  </w:style>
  <w:style w:type="table" w:customStyle="1" w:styleId="TableGrid1">
    <w:name w:val="Table Grid1"/>
    <w:basedOn w:val="TableNormal"/>
    <w:next w:val="TableGrid"/>
    <w:uiPriority w:val="59"/>
    <w:rsid w:val="00C80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E5902"/>
    <w:pPr>
      <w:outlineLvl w:val="9"/>
    </w:pPr>
    <w:rPr>
      <w:lang w:val="en-US" w:eastAsia="ja-JP"/>
    </w:rPr>
  </w:style>
  <w:style w:type="paragraph" w:styleId="TOC2">
    <w:name w:val="toc 2"/>
    <w:basedOn w:val="Normal"/>
    <w:next w:val="Normal"/>
    <w:autoRedefine/>
    <w:uiPriority w:val="39"/>
    <w:unhideWhenUsed/>
    <w:qFormat/>
    <w:rsid w:val="00DE5902"/>
    <w:pPr>
      <w:spacing w:after="100"/>
      <w:ind w:left="220"/>
    </w:pPr>
  </w:style>
  <w:style w:type="paragraph" w:styleId="TOC3">
    <w:name w:val="toc 3"/>
    <w:basedOn w:val="Normal"/>
    <w:next w:val="Normal"/>
    <w:autoRedefine/>
    <w:uiPriority w:val="39"/>
    <w:unhideWhenUsed/>
    <w:qFormat/>
    <w:rsid w:val="00DE5902"/>
    <w:pPr>
      <w:spacing w:after="100"/>
      <w:ind w:left="440"/>
    </w:pPr>
  </w:style>
  <w:style w:type="paragraph" w:styleId="TOC1">
    <w:name w:val="toc 1"/>
    <w:basedOn w:val="Normal"/>
    <w:next w:val="Normal"/>
    <w:autoRedefine/>
    <w:uiPriority w:val="39"/>
    <w:unhideWhenUsed/>
    <w:qFormat/>
    <w:rsid w:val="006C50BC"/>
    <w:pPr>
      <w:spacing w:after="10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3415">
      <w:bodyDiv w:val="1"/>
      <w:marLeft w:val="0"/>
      <w:marRight w:val="0"/>
      <w:marTop w:val="0"/>
      <w:marBottom w:val="0"/>
      <w:divBdr>
        <w:top w:val="none" w:sz="0" w:space="0" w:color="auto"/>
        <w:left w:val="none" w:sz="0" w:space="0" w:color="auto"/>
        <w:bottom w:val="none" w:sz="0" w:space="0" w:color="auto"/>
        <w:right w:val="none" w:sz="0" w:space="0" w:color="auto"/>
      </w:divBdr>
      <w:divsChild>
        <w:div w:id="1601646652">
          <w:marLeft w:val="547"/>
          <w:marRight w:val="0"/>
          <w:marTop w:val="0"/>
          <w:marBottom w:val="0"/>
          <w:divBdr>
            <w:top w:val="none" w:sz="0" w:space="0" w:color="auto"/>
            <w:left w:val="none" w:sz="0" w:space="0" w:color="auto"/>
            <w:bottom w:val="none" w:sz="0" w:space="0" w:color="auto"/>
            <w:right w:val="none" w:sz="0" w:space="0" w:color="auto"/>
          </w:divBdr>
        </w:div>
      </w:divsChild>
    </w:div>
    <w:div w:id="76100229">
      <w:bodyDiv w:val="1"/>
      <w:marLeft w:val="0"/>
      <w:marRight w:val="0"/>
      <w:marTop w:val="0"/>
      <w:marBottom w:val="0"/>
      <w:divBdr>
        <w:top w:val="none" w:sz="0" w:space="0" w:color="auto"/>
        <w:left w:val="none" w:sz="0" w:space="0" w:color="auto"/>
        <w:bottom w:val="none" w:sz="0" w:space="0" w:color="auto"/>
        <w:right w:val="none" w:sz="0" w:space="0" w:color="auto"/>
      </w:divBdr>
      <w:divsChild>
        <w:div w:id="1650207223">
          <w:marLeft w:val="547"/>
          <w:marRight w:val="0"/>
          <w:marTop w:val="58"/>
          <w:marBottom w:val="0"/>
          <w:divBdr>
            <w:top w:val="none" w:sz="0" w:space="0" w:color="auto"/>
            <w:left w:val="none" w:sz="0" w:space="0" w:color="auto"/>
            <w:bottom w:val="none" w:sz="0" w:space="0" w:color="auto"/>
            <w:right w:val="none" w:sz="0" w:space="0" w:color="auto"/>
          </w:divBdr>
        </w:div>
      </w:divsChild>
    </w:div>
    <w:div w:id="267469973">
      <w:bodyDiv w:val="1"/>
      <w:marLeft w:val="0"/>
      <w:marRight w:val="0"/>
      <w:marTop w:val="0"/>
      <w:marBottom w:val="0"/>
      <w:divBdr>
        <w:top w:val="none" w:sz="0" w:space="0" w:color="auto"/>
        <w:left w:val="none" w:sz="0" w:space="0" w:color="auto"/>
        <w:bottom w:val="none" w:sz="0" w:space="0" w:color="auto"/>
        <w:right w:val="none" w:sz="0" w:space="0" w:color="auto"/>
      </w:divBdr>
    </w:div>
    <w:div w:id="333798513">
      <w:bodyDiv w:val="1"/>
      <w:marLeft w:val="0"/>
      <w:marRight w:val="0"/>
      <w:marTop w:val="0"/>
      <w:marBottom w:val="0"/>
      <w:divBdr>
        <w:top w:val="none" w:sz="0" w:space="0" w:color="auto"/>
        <w:left w:val="none" w:sz="0" w:space="0" w:color="auto"/>
        <w:bottom w:val="none" w:sz="0" w:space="0" w:color="auto"/>
        <w:right w:val="none" w:sz="0" w:space="0" w:color="auto"/>
      </w:divBdr>
    </w:div>
    <w:div w:id="336346001">
      <w:bodyDiv w:val="1"/>
      <w:marLeft w:val="0"/>
      <w:marRight w:val="0"/>
      <w:marTop w:val="0"/>
      <w:marBottom w:val="0"/>
      <w:divBdr>
        <w:top w:val="none" w:sz="0" w:space="0" w:color="auto"/>
        <w:left w:val="none" w:sz="0" w:space="0" w:color="auto"/>
        <w:bottom w:val="none" w:sz="0" w:space="0" w:color="auto"/>
        <w:right w:val="none" w:sz="0" w:space="0" w:color="auto"/>
      </w:divBdr>
      <w:divsChild>
        <w:div w:id="37632571">
          <w:marLeft w:val="446"/>
          <w:marRight w:val="0"/>
          <w:marTop w:val="0"/>
          <w:marBottom w:val="0"/>
          <w:divBdr>
            <w:top w:val="none" w:sz="0" w:space="0" w:color="auto"/>
            <w:left w:val="none" w:sz="0" w:space="0" w:color="auto"/>
            <w:bottom w:val="none" w:sz="0" w:space="0" w:color="auto"/>
            <w:right w:val="none" w:sz="0" w:space="0" w:color="auto"/>
          </w:divBdr>
        </w:div>
        <w:div w:id="357896633">
          <w:marLeft w:val="446"/>
          <w:marRight w:val="0"/>
          <w:marTop w:val="0"/>
          <w:marBottom w:val="0"/>
          <w:divBdr>
            <w:top w:val="none" w:sz="0" w:space="0" w:color="auto"/>
            <w:left w:val="none" w:sz="0" w:space="0" w:color="auto"/>
            <w:bottom w:val="none" w:sz="0" w:space="0" w:color="auto"/>
            <w:right w:val="none" w:sz="0" w:space="0" w:color="auto"/>
          </w:divBdr>
        </w:div>
        <w:div w:id="383722263">
          <w:marLeft w:val="446"/>
          <w:marRight w:val="0"/>
          <w:marTop w:val="0"/>
          <w:marBottom w:val="0"/>
          <w:divBdr>
            <w:top w:val="none" w:sz="0" w:space="0" w:color="auto"/>
            <w:left w:val="none" w:sz="0" w:space="0" w:color="auto"/>
            <w:bottom w:val="none" w:sz="0" w:space="0" w:color="auto"/>
            <w:right w:val="none" w:sz="0" w:space="0" w:color="auto"/>
          </w:divBdr>
        </w:div>
        <w:div w:id="1126043311">
          <w:marLeft w:val="446"/>
          <w:marRight w:val="0"/>
          <w:marTop w:val="0"/>
          <w:marBottom w:val="0"/>
          <w:divBdr>
            <w:top w:val="none" w:sz="0" w:space="0" w:color="auto"/>
            <w:left w:val="none" w:sz="0" w:space="0" w:color="auto"/>
            <w:bottom w:val="none" w:sz="0" w:space="0" w:color="auto"/>
            <w:right w:val="none" w:sz="0" w:space="0" w:color="auto"/>
          </w:divBdr>
        </w:div>
        <w:div w:id="1207912013">
          <w:marLeft w:val="446"/>
          <w:marRight w:val="0"/>
          <w:marTop w:val="0"/>
          <w:marBottom w:val="0"/>
          <w:divBdr>
            <w:top w:val="none" w:sz="0" w:space="0" w:color="auto"/>
            <w:left w:val="none" w:sz="0" w:space="0" w:color="auto"/>
            <w:bottom w:val="none" w:sz="0" w:space="0" w:color="auto"/>
            <w:right w:val="none" w:sz="0" w:space="0" w:color="auto"/>
          </w:divBdr>
        </w:div>
        <w:div w:id="1776703665">
          <w:marLeft w:val="446"/>
          <w:marRight w:val="0"/>
          <w:marTop w:val="0"/>
          <w:marBottom w:val="0"/>
          <w:divBdr>
            <w:top w:val="none" w:sz="0" w:space="0" w:color="auto"/>
            <w:left w:val="none" w:sz="0" w:space="0" w:color="auto"/>
            <w:bottom w:val="none" w:sz="0" w:space="0" w:color="auto"/>
            <w:right w:val="none" w:sz="0" w:space="0" w:color="auto"/>
          </w:divBdr>
        </w:div>
      </w:divsChild>
    </w:div>
    <w:div w:id="416825225">
      <w:bodyDiv w:val="1"/>
      <w:marLeft w:val="0"/>
      <w:marRight w:val="0"/>
      <w:marTop w:val="0"/>
      <w:marBottom w:val="0"/>
      <w:divBdr>
        <w:top w:val="none" w:sz="0" w:space="0" w:color="auto"/>
        <w:left w:val="none" w:sz="0" w:space="0" w:color="auto"/>
        <w:bottom w:val="none" w:sz="0" w:space="0" w:color="auto"/>
        <w:right w:val="none" w:sz="0" w:space="0" w:color="auto"/>
      </w:divBdr>
      <w:divsChild>
        <w:div w:id="932934271">
          <w:marLeft w:val="547"/>
          <w:marRight w:val="0"/>
          <w:marTop w:val="0"/>
          <w:marBottom w:val="0"/>
          <w:divBdr>
            <w:top w:val="none" w:sz="0" w:space="0" w:color="auto"/>
            <w:left w:val="none" w:sz="0" w:space="0" w:color="auto"/>
            <w:bottom w:val="none" w:sz="0" w:space="0" w:color="auto"/>
            <w:right w:val="none" w:sz="0" w:space="0" w:color="auto"/>
          </w:divBdr>
        </w:div>
      </w:divsChild>
    </w:div>
    <w:div w:id="423763372">
      <w:bodyDiv w:val="1"/>
      <w:marLeft w:val="0"/>
      <w:marRight w:val="0"/>
      <w:marTop w:val="0"/>
      <w:marBottom w:val="0"/>
      <w:divBdr>
        <w:top w:val="none" w:sz="0" w:space="0" w:color="auto"/>
        <w:left w:val="none" w:sz="0" w:space="0" w:color="auto"/>
        <w:bottom w:val="none" w:sz="0" w:space="0" w:color="auto"/>
        <w:right w:val="none" w:sz="0" w:space="0" w:color="auto"/>
      </w:divBdr>
    </w:div>
    <w:div w:id="439374911">
      <w:bodyDiv w:val="1"/>
      <w:marLeft w:val="0"/>
      <w:marRight w:val="0"/>
      <w:marTop w:val="0"/>
      <w:marBottom w:val="0"/>
      <w:divBdr>
        <w:top w:val="none" w:sz="0" w:space="0" w:color="auto"/>
        <w:left w:val="none" w:sz="0" w:space="0" w:color="auto"/>
        <w:bottom w:val="none" w:sz="0" w:space="0" w:color="auto"/>
        <w:right w:val="none" w:sz="0" w:space="0" w:color="auto"/>
      </w:divBdr>
      <w:divsChild>
        <w:div w:id="295992669">
          <w:marLeft w:val="446"/>
          <w:marRight w:val="0"/>
          <w:marTop w:val="0"/>
          <w:marBottom w:val="0"/>
          <w:divBdr>
            <w:top w:val="none" w:sz="0" w:space="0" w:color="auto"/>
            <w:left w:val="none" w:sz="0" w:space="0" w:color="auto"/>
            <w:bottom w:val="none" w:sz="0" w:space="0" w:color="auto"/>
            <w:right w:val="none" w:sz="0" w:space="0" w:color="auto"/>
          </w:divBdr>
        </w:div>
        <w:div w:id="352607423">
          <w:marLeft w:val="446"/>
          <w:marRight w:val="0"/>
          <w:marTop w:val="0"/>
          <w:marBottom w:val="0"/>
          <w:divBdr>
            <w:top w:val="none" w:sz="0" w:space="0" w:color="auto"/>
            <w:left w:val="none" w:sz="0" w:space="0" w:color="auto"/>
            <w:bottom w:val="none" w:sz="0" w:space="0" w:color="auto"/>
            <w:right w:val="none" w:sz="0" w:space="0" w:color="auto"/>
          </w:divBdr>
        </w:div>
        <w:div w:id="411201431">
          <w:marLeft w:val="446"/>
          <w:marRight w:val="0"/>
          <w:marTop w:val="0"/>
          <w:marBottom w:val="0"/>
          <w:divBdr>
            <w:top w:val="none" w:sz="0" w:space="0" w:color="auto"/>
            <w:left w:val="none" w:sz="0" w:space="0" w:color="auto"/>
            <w:bottom w:val="none" w:sz="0" w:space="0" w:color="auto"/>
            <w:right w:val="none" w:sz="0" w:space="0" w:color="auto"/>
          </w:divBdr>
        </w:div>
        <w:div w:id="1467968462">
          <w:marLeft w:val="446"/>
          <w:marRight w:val="0"/>
          <w:marTop w:val="0"/>
          <w:marBottom w:val="0"/>
          <w:divBdr>
            <w:top w:val="none" w:sz="0" w:space="0" w:color="auto"/>
            <w:left w:val="none" w:sz="0" w:space="0" w:color="auto"/>
            <w:bottom w:val="none" w:sz="0" w:space="0" w:color="auto"/>
            <w:right w:val="none" w:sz="0" w:space="0" w:color="auto"/>
          </w:divBdr>
        </w:div>
        <w:div w:id="1668360966">
          <w:marLeft w:val="446"/>
          <w:marRight w:val="0"/>
          <w:marTop w:val="0"/>
          <w:marBottom w:val="0"/>
          <w:divBdr>
            <w:top w:val="none" w:sz="0" w:space="0" w:color="auto"/>
            <w:left w:val="none" w:sz="0" w:space="0" w:color="auto"/>
            <w:bottom w:val="none" w:sz="0" w:space="0" w:color="auto"/>
            <w:right w:val="none" w:sz="0" w:space="0" w:color="auto"/>
          </w:divBdr>
        </w:div>
        <w:div w:id="2033023624">
          <w:marLeft w:val="446"/>
          <w:marRight w:val="0"/>
          <w:marTop w:val="0"/>
          <w:marBottom w:val="0"/>
          <w:divBdr>
            <w:top w:val="none" w:sz="0" w:space="0" w:color="auto"/>
            <w:left w:val="none" w:sz="0" w:space="0" w:color="auto"/>
            <w:bottom w:val="none" w:sz="0" w:space="0" w:color="auto"/>
            <w:right w:val="none" w:sz="0" w:space="0" w:color="auto"/>
          </w:divBdr>
        </w:div>
      </w:divsChild>
    </w:div>
    <w:div w:id="443041148">
      <w:bodyDiv w:val="1"/>
      <w:marLeft w:val="0"/>
      <w:marRight w:val="0"/>
      <w:marTop w:val="0"/>
      <w:marBottom w:val="0"/>
      <w:divBdr>
        <w:top w:val="none" w:sz="0" w:space="0" w:color="auto"/>
        <w:left w:val="none" w:sz="0" w:space="0" w:color="auto"/>
        <w:bottom w:val="none" w:sz="0" w:space="0" w:color="auto"/>
        <w:right w:val="none" w:sz="0" w:space="0" w:color="auto"/>
      </w:divBdr>
      <w:divsChild>
        <w:div w:id="103306043">
          <w:marLeft w:val="1166"/>
          <w:marRight w:val="0"/>
          <w:marTop w:val="67"/>
          <w:marBottom w:val="0"/>
          <w:divBdr>
            <w:top w:val="none" w:sz="0" w:space="0" w:color="auto"/>
            <w:left w:val="none" w:sz="0" w:space="0" w:color="auto"/>
            <w:bottom w:val="none" w:sz="0" w:space="0" w:color="auto"/>
            <w:right w:val="none" w:sz="0" w:space="0" w:color="auto"/>
          </w:divBdr>
        </w:div>
        <w:div w:id="191260412">
          <w:marLeft w:val="1166"/>
          <w:marRight w:val="0"/>
          <w:marTop w:val="67"/>
          <w:marBottom w:val="0"/>
          <w:divBdr>
            <w:top w:val="none" w:sz="0" w:space="0" w:color="auto"/>
            <w:left w:val="none" w:sz="0" w:space="0" w:color="auto"/>
            <w:bottom w:val="none" w:sz="0" w:space="0" w:color="auto"/>
            <w:right w:val="none" w:sz="0" w:space="0" w:color="auto"/>
          </w:divBdr>
        </w:div>
        <w:div w:id="249311690">
          <w:marLeft w:val="1166"/>
          <w:marRight w:val="0"/>
          <w:marTop w:val="67"/>
          <w:marBottom w:val="0"/>
          <w:divBdr>
            <w:top w:val="none" w:sz="0" w:space="0" w:color="auto"/>
            <w:left w:val="none" w:sz="0" w:space="0" w:color="auto"/>
            <w:bottom w:val="none" w:sz="0" w:space="0" w:color="auto"/>
            <w:right w:val="none" w:sz="0" w:space="0" w:color="auto"/>
          </w:divBdr>
        </w:div>
        <w:div w:id="589583163">
          <w:marLeft w:val="1166"/>
          <w:marRight w:val="0"/>
          <w:marTop w:val="67"/>
          <w:marBottom w:val="0"/>
          <w:divBdr>
            <w:top w:val="none" w:sz="0" w:space="0" w:color="auto"/>
            <w:left w:val="none" w:sz="0" w:space="0" w:color="auto"/>
            <w:bottom w:val="none" w:sz="0" w:space="0" w:color="auto"/>
            <w:right w:val="none" w:sz="0" w:space="0" w:color="auto"/>
          </w:divBdr>
        </w:div>
        <w:div w:id="646669859">
          <w:marLeft w:val="547"/>
          <w:marRight w:val="0"/>
          <w:marTop w:val="67"/>
          <w:marBottom w:val="0"/>
          <w:divBdr>
            <w:top w:val="none" w:sz="0" w:space="0" w:color="auto"/>
            <w:left w:val="none" w:sz="0" w:space="0" w:color="auto"/>
            <w:bottom w:val="none" w:sz="0" w:space="0" w:color="auto"/>
            <w:right w:val="none" w:sz="0" w:space="0" w:color="auto"/>
          </w:divBdr>
        </w:div>
        <w:div w:id="834299238">
          <w:marLeft w:val="1166"/>
          <w:marRight w:val="0"/>
          <w:marTop w:val="67"/>
          <w:marBottom w:val="0"/>
          <w:divBdr>
            <w:top w:val="none" w:sz="0" w:space="0" w:color="auto"/>
            <w:left w:val="none" w:sz="0" w:space="0" w:color="auto"/>
            <w:bottom w:val="none" w:sz="0" w:space="0" w:color="auto"/>
            <w:right w:val="none" w:sz="0" w:space="0" w:color="auto"/>
          </w:divBdr>
        </w:div>
        <w:div w:id="946959687">
          <w:marLeft w:val="1166"/>
          <w:marRight w:val="0"/>
          <w:marTop w:val="67"/>
          <w:marBottom w:val="0"/>
          <w:divBdr>
            <w:top w:val="none" w:sz="0" w:space="0" w:color="auto"/>
            <w:left w:val="none" w:sz="0" w:space="0" w:color="auto"/>
            <w:bottom w:val="none" w:sz="0" w:space="0" w:color="auto"/>
            <w:right w:val="none" w:sz="0" w:space="0" w:color="auto"/>
          </w:divBdr>
        </w:div>
        <w:div w:id="1180781803">
          <w:marLeft w:val="1166"/>
          <w:marRight w:val="0"/>
          <w:marTop w:val="67"/>
          <w:marBottom w:val="0"/>
          <w:divBdr>
            <w:top w:val="none" w:sz="0" w:space="0" w:color="auto"/>
            <w:left w:val="none" w:sz="0" w:space="0" w:color="auto"/>
            <w:bottom w:val="none" w:sz="0" w:space="0" w:color="auto"/>
            <w:right w:val="none" w:sz="0" w:space="0" w:color="auto"/>
          </w:divBdr>
        </w:div>
        <w:div w:id="1840385591">
          <w:marLeft w:val="547"/>
          <w:marRight w:val="0"/>
          <w:marTop w:val="67"/>
          <w:marBottom w:val="0"/>
          <w:divBdr>
            <w:top w:val="none" w:sz="0" w:space="0" w:color="auto"/>
            <w:left w:val="none" w:sz="0" w:space="0" w:color="auto"/>
            <w:bottom w:val="none" w:sz="0" w:space="0" w:color="auto"/>
            <w:right w:val="none" w:sz="0" w:space="0" w:color="auto"/>
          </w:divBdr>
        </w:div>
        <w:div w:id="1840732014">
          <w:marLeft w:val="547"/>
          <w:marRight w:val="0"/>
          <w:marTop w:val="67"/>
          <w:marBottom w:val="0"/>
          <w:divBdr>
            <w:top w:val="none" w:sz="0" w:space="0" w:color="auto"/>
            <w:left w:val="none" w:sz="0" w:space="0" w:color="auto"/>
            <w:bottom w:val="none" w:sz="0" w:space="0" w:color="auto"/>
            <w:right w:val="none" w:sz="0" w:space="0" w:color="auto"/>
          </w:divBdr>
        </w:div>
        <w:div w:id="1873424113">
          <w:marLeft w:val="1166"/>
          <w:marRight w:val="0"/>
          <w:marTop w:val="67"/>
          <w:marBottom w:val="0"/>
          <w:divBdr>
            <w:top w:val="none" w:sz="0" w:space="0" w:color="auto"/>
            <w:left w:val="none" w:sz="0" w:space="0" w:color="auto"/>
            <w:bottom w:val="none" w:sz="0" w:space="0" w:color="auto"/>
            <w:right w:val="none" w:sz="0" w:space="0" w:color="auto"/>
          </w:divBdr>
        </w:div>
        <w:div w:id="2086829866">
          <w:marLeft w:val="547"/>
          <w:marRight w:val="0"/>
          <w:marTop w:val="67"/>
          <w:marBottom w:val="0"/>
          <w:divBdr>
            <w:top w:val="none" w:sz="0" w:space="0" w:color="auto"/>
            <w:left w:val="none" w:sz="0" w:space="0" w:color="auto"/>
            <w:bottom w:val="none" w:sz="0" w:space="0" w:color="auto"/>
            <w:right w:val="none" w:sz="0" w:space="0" w:color="auto"/>
          </w:divBdr>
        </w:div>
      </w:divsChild>
    </w:div>
    <w:div w:id="598949145">
      <w:bodyDiv w:val="1"/>
      <w:marLeft w:val="0"/>
      <w:marRight w:val="0"/>
      <w:marTop w:val="0"/>
      <w:marBottom w:val="0"/>
      <w:divBdr>
        <w:top w:val="none" w:sz="0" w:space="0" w:color="auto"/>
        <w:left w:val="none" w:sz="0" w:space="0" w:color="auto"/>
        <w:bottom w:val="none" w:sz="0" w:space="0" w:color="auto"/>
        <w:right w:val="none" w:sz="0" w:space="0" w:color="auto"/>
      </w:divBdr>
      <w:divsChild>
        <w:div w:id="30617350">
          <w:marLeft w:val="547"/>
          <w:marRight w:val="0"/>
          <w:marTop w:val="67"/>
          <w:marBottom w:val="0"/>
          <w:divBdr>
            <w:top w:val="none" w:sz="0" w:space="0" w:color="auto"/>
            <w:left w:val="none" w:sz="0" w:space="0" w:color="auto"/>
            <w:bottom w:val="none" w:sz="0" w:space="0" w:color="auto"/>
            <w:right w:val="none" w:sz="0" w:space="0" w:color="auto"/>
          </w:divBdr>
        </w:div>
        <w:div w:id="523132120">
          <w:marLeft w:val="1166"/>
          <w:marRight w:val="0"/>
          <w:marTop w:val="67"/>
          <w:marBottom w:val="0"/>
          <w:divBdr>
            <w:top w:val="none" w:sz="0" w:space="0" w:color="auto"/>
            <w:left w:val="none" w:sz="0" w:space="0" w:color="auto"/>
            <w:bottom w:val="none" w:sz="0" w:space="0" w:color="auto"/>
            <w:right w:val="none" w:sz="0" w:space="0" w:color="auto"/>
          </w:divBdr>
        </w:div>
        <w:div w:id="825974056">
          <w:marLeft w:val="1166"/>
          <w:marRight w:val="0"/>
          <w:marTop w:val="67"/>
          <w:marBottom w:val="0"/>
          <w:divBdr>
            <w:top w:val="none" w:sz="0" w:space="0" w:color="auto"/>
            <w:left w:val="none" w:sz="0" w:space="0" w:color="auto"/>
            <w:bottom w:val="none" w:sz="0" w:space="0" w:color="auto"/>
            <w:right w:val="none" w:sz="0" w:space="0" w:color="auto"/>
          </w:divBdr>
        </w:div>
        <w:div w:id="923536029">
          <w:marLeft w:val="1166"/>
          <w:marRight w:val="0"/>
          <w:marTop w:val="67"/>
          <w:marBottom w:val="0"/>
          <w:divBdr>
            <w:top w:val="none" w:sz="0" w:space="0" w:color="auto"/>
            <w:left w:val="none" w:sz="0" w:space="0" w:color="auto"/>
            <w:bottom w:val="none" w:sz="0" w:space="0" w:color="auto"/>
            <w:right w:val="none" w:sz="0" w:space="0" w:color="auto"/>
          </w:divBdr>
        </w:div>
        <w:div w:id="1011953950">
          <w:marLeft w:val="1166"/>
          <w:marRight w:val="0"/>
          <w:marTop w:val="67"/>
          <w:marBottom w:val="0"/>
          <w:divBdr>
            <w:top w:val="none" w:sz="0" w:space="0" w:color="auto"/>
            <w:left w:val="none" w:sz="0" w:space="0" w:color="auto"/>
            <w:bottom w:val="none" w:sz="0" w:space="0" w:color="auto"/>
            <w:right w:val="none" w:sz="0" w:space="0" w:color="auto"/>
          </w:divBdr>
        </w:div>
        <w:div w:id="1025329777">
          <w:marLeft w:val="547"/>
          <w:marRight w:val="0"/>
          <w:marTop w:val="67"/>
          <w:marBottom w:val="0"/>
          <w:divBdr>
            <w:top w:val="none" w:sz="0" w:space="0" w:color="auto"/>
            <w:left w:val="none" w:sz="0" w:space="0" w:color="auto"/>
            <w:bottom w:val="none" w:sz="0" w:space="0" w:color="auto"/>
            <w:right w:val="none" w:sz="0" w:space="0" w:color="auto"/>
          </w:divBdr>
        </w:div>
        <w:div w:id="1504006975">
          <w:marLeft w:val="547"/>
          <w:marRight w:val="0"/>
          <w:marTop w:val="67"/>
          <w:marBottom w:val="0"/>
          <w:divBdr>
            <w:top w:val="none" w:sz="0" w:space="0" w:color="auto"/>
            <w:left w:val="none" w:sz="0" w:space="0" w:color="auto"/>
            <w:bottom w:val="none" w:sz="0" w:space="0" w:color="auto"/>
            <w:right w:val="none" w:sz="0" w:space="0" w:color="auto"/>
          </w:divBdr>
        </w:div>
        <w:div w:id="1608196133">
          <w:marLeft w:val="547"/>
          <w:marRight w:val="0"/>
          <w:marTop w:val="67"/>
          <w:marBottom w:val="0"/>
          <w:divBdr>
            <w:top w:val="none" w:sz="0" w:space="0" w:color="auto"/>
            <w:left w:val="none" w:sz="0" w:space="0" w:color="auto"/>
            <w:bottom w:val="none" w:sz="0" w:space="0" w:color="auto"/>
            <w:right w:val="none" w:sz="0" w:space="0" w:color="auto"/>
          </w:divBdr>
        </w:div>
        <w:div w:id="1813018272">
          <w:marLeft w:val="547"/>
          <w:marRight w:val="0"/>
          <w:marTop w:val="67"/>
          <w:marBottom w:val="0"/>
          <w:divBdr>
            <w:top w:val="none" w:sz="0" w:space="0" w:color="auto"/>
            <w:left w:val="none" w:sz="0" w:space="0" w:color="auto"/>
            <w:bottom w:val="none" w:sz="0" w:space="0" w:color="auto"/>
            <w:right w:val="none" w:sz="0" w:space="0" w:color="auto"/>
          </w:divBdr>
        </w:div>
        <w:div w:id="1832134556">
          <w:marLeft w:val="1166"/>
          <w:marRight w:val="0"/>
          <w:marTop w:val="67"/>
          <w:marBottom w:val="0"/>
          <w:divBdr>
            <w:top w:val="none" w:sz="0" w:space="0" w:color="auto"/>
            <w:left w:val="none" w:sz="0" w:space="0" w:color="auto"/>
            <w:bottom w:val="none" w:sz="0" w:space="0" w:color="auto"/>
            <w:right w:val="none" w:sz="0" w:space="0" w:color="auto"/>
          </w:divBdr>
        </w:div>
      </w:divsChild>
    </w:div>
    <w:div w:id="631793344">
      <w:bodyDiv w:val="1"/>
      <w:marLeft w:val="0"/>
      <w:marRight w:val="0"/>
      <w:marTop w:val="0"/>
      <w:marBottom w:val="0"/>
      <w:divBdr>
        <w:top w:val="none" w:sz="0" w:space="0" w:color="auto"/>
        <w:left w:val="none" w:sz="0" w:space="0" w:color="auto"/>
        <w:bottom w:val="none" w:sz="0" w:space="0" w:color="auto"/>
        <w:right w:val="none" w:sz="0" w:space="0" w:color="auto"/>
      </w:divBdr>
      <w:divsChild>
        <w:div w:id="1917089931">
          <w:marLeft w:val="547"/>
          <w:marRight w:val="0"/>
          <w:marTop w:val="58"/>
          <w:marBottom w:val="0"/>
          <w:divBdr>
            <w:top w:val="none" w:sz="0" w:space="0" w:color="auto"/>
            <w:left w:val="none" w:sz="0" w:space="0" w:color="auto"/>
            <w:bottom w:val="none" w:sz="0" w:space="0" w:color="auto"/>
            <w:right w:val="none" w:sz="0" w:space="0" w:color="auto"/>
          </w:divBdr>
        </w:div>
      </w:divsChild>
    </w:div>
    <w:div w:id="708145031">
      <w:bodyDiv w:val="1"/>
      <w:marLeft w:val="0"/>
      <w:marRight w:val="0"/>
      <w:marTop w:val="0"/>
      <w:marBottom w:val="0"/>
      <w:divBdr>
        <w:top w:val="none" w:sz="0" w:space="0" w:color="auto"/>
        <w:left w:val="none" w:sz="0" w:space="0" w:color="auto"/>
        <w:bottom w:val="none" w:sz="0" w:space="0" w:color="auto"/>
        <w:right w:val="none" w:sz="0" w:space="0" w:color="auto"/>
      </w:divBdr>
    </w:div>
    <w:div w:id="834952932">
      <w:bodyDiv w:val="1"/>
      <w:marLeft w:val="0"/>
      <w:marRight w:val="0"/>
      <w:marTop w:val="0"/>
      <w:marBottom w:val="0"/>
      <w:divBdr>
        <w:top w:val="none" w:sz="0" w:space="0" w:color="auto"/>
        <w:left w:val="none" w:sz="0" w:space="0" w:color="auto"/>
        <w:bottom w:val="none" w:sz="0" w:space="0" w:color="auto"/>
        <w:right w:val="none" w:sz="0" w:space="0" w:color="auto"/>
      </w:divBdr>
      <w:divsChild>
        <w:div w:id="457996568">
          <w:marLeft w:val="1166"/>
          <w:marRight w:val="0"/>
          <w:marTop w:val="67"/>
          <w:marBottom w:val="0"/>
          <w:divBdr>
            <w:top w:val="none" w:sz="0" w:space="0" w:color="auto"/>
            <w:left w:val="none" w:sz="0" w:space="0" w:color="auto"/>
            <w:bottom w:val="none" w:sz="0" w:space="0" w:color="auto"/>
            <w:right w:val="none" w:sz="0" w:space="0" w:color="auto"/>
          </w:divBdr>
        </w:div>
        <w:div w:id="731541368">
          <w:marLeft w:val="1166"/>
          <w:marRight w:val="0"/>
          <w:marTop w:val="67"/>
          <w:marBottom w:val="0"/>
          <w:divBdr>
            <w:top w:val="none" w:sz="0" w:space="0" w:color="auto"/>
            <w:left w:val="none" w:sz="0" w:space="0" w:color="auto"/>
            <w:bottom w:val="none" w:sz="0" w:space="0" w:color="auto"/>
            <w:right w:val="none" w:sz="0" w:space="0" w:color="auto"/>
          </w:divBdr>
        </w:div>
        <w:div w:id="974798882">
          <w:marLeft w:val="547"/>
          <w:marRight w:val="0"/>
          <w:marTop w:val="67"/>
          <w:marBottom w:val="0"/>
          <w:divBdr>
            <w:top w:val="none" w:sz="0" w:space="0" w:color="auto"/>
            <w:left w:val="none" w:sz="0" w:space="0" w:color="auto"/>
            <w:bottom w:val="none" w:sz="0" w:space="0" w:color="auto"/>
            <w:right w:val="none" w:sz="0" w:space="0" w:color="auto"/>
          </w:divBdr>
        </w:div>
        <w:div w:id="1785803368">
          <w:marLeft w:val="547"/>
          <w:marRight w:val="0"/>
          <w:marTop w:val="67"/>
          <w:marBottom w:val="0"/>
          <w:divBdr>
            <w:top w:val="none" w:sz="0" w:space="0" w:color="auto"/>
            <w:left w:val="none" w:sz="0" w:space="0" w:color="auto"/>
            <w:bottom w:val="none" w:sz="0" w:space="0" w:color="auto"/>
            <w:right w:val="none" w:sz="0" w:space="0" w:color="auto"/>
          </w:divBdr>
        </w:div>
      </w:divsChild>
    </w:div>
    <w:div w:id="838732606">
      <w:bodyDiv w:val="1"/>
      <w:marLeft w:val="0"/>
      <w:marRight w:val="0"/>
      <w:marTop w:val="0"/>
      <w:marBottom w:val="0"/>
      <w:divBdr>
        <w:top w:val="none" w:sz="0" w:space="0" w:color="auto"/>
        <w:left w:val="none" w:sz="0" w:space="0" w:color="auto"/>
        <w:bottom w:val="none" w:sz="0" w:space="0" w:color="auto"/>
        <w:right w:val="none" w:sz="0" w:space="0" w:color="auto"/>
      </w:divBdr>
      <w:divsChild>
        <w:div w:id="1901134195">
          <w:marLeft w:val="547"/>
          <w:marRight w:val="0"/>
          <w:marTop w:val="0"/>
          <w:marBottom w:val="0"/>
          <w:divBdr>
            <w:top w:val="none" w:sz="0" w:space="0" w:color="auto"/>
            <w:left w:val="none" w:sz="0" w:space="0" w:color="auto"/>
            <w:bottom w:val="none" w:sz="0" w:space="0" w:color="auto"/>
            <w:right w:val="none" w:sz="0" w:space="0" w:color="auto"/>
          </w:divBdr>
        </w:div>
      </w:divsChild>
    </w:div>
    <w:div w:id="898783003">
      <w:bodyDiv w:val="1"/>
      <w:marLeft w:val="0"/>
      <w:marRight w:val="0"/>
      <w:marTop w:val="0"/>
      <w:marBottom w:val="0"/>
      <w:divBdr>
        <w:top w:val="none" w:sz="0" w:space="0" w:color="auto"/>
        <w:left w:val="none" w:sz="0" w:space="0" w:color="auto"/>
        <w:bottom w:val="none" w:sz="0" w:space="0" w:color="auto"/>
        <w:right w:val="none" w:sz="0" w:space="0" w:color="auto"/>
      </w:divBdr>
    </w:div>
    <w:div w:id="918834152">
      <w:bodyDiv w:val="1"/>
      <w:marLeft w:val="0"/>
      <w:marRight w:val="0"/>
      <w:marTop w:val="0"/>
      <w:marBottom w:val="0"/>
      <w:divBdr>
        <w:top w:val="none" w:sz="0" w:space="0" w:color="auto"/>
        <w:left w:val="none" w:sz="0" w:space="0" w:color="auto"/>
        <w:bottom w:val="none" w:sz="0" w:space="0" w:color="auto"/>
        <w:right w:val="none" w:sz="0" w:space="0" w:color="auto"/>
      </w:divBdr>
      <w:divsChild>
        <w:div w:id="107360307">
          <w:marLeft w:val="1800"/>
          <w:marRight w:val="0"/>
          <w:marTop w:val="67"/>
          <w:marBottom w:val="0"/>
          <w:divBdr>
            <w:top w:val="none" w:sz="0" w:space="0" w:color="auto"/>
            <w:left w:val="none" w:sz="0" w:space="0" w:color="auto"/>
            <w:bottom w:val="none" w:sz="0" w:space="0" w:color="auto"/>
            <w:right w:val="none" w:sz="0" w:space="0" w:color="auto"/>
          </w:divBdr>
        </w:div>
        <w:div w:id="241451905">
          <w:marLeft w:val="1166"/>
          <w:marRight w:val="0"/>
          <w:marTop w:val="67"/>
          <w:marBottom w:val="0"/>
          <w:divBdr>
            <w:top w:val="none" w:sz="0" w:space="0" w:color="auto"/>
            <w:left w:val="none" w:sz="0" w:space="0" w:color="auto"/>
            <w:bottom w:val="none" w:sz="0" w:space="0" w:color="auto"/>
            <w:right w:val="none" w:sz="0" w:space="0" w:color="auto"/>
          </w:divBdr>
        </w:div>
        <w:div w:id="967080176">
          <w:marLeft w:val="1800"/>
          <w:marRight w:val="0"/>
          <w:marTop w:val="67"/>
          <w:marBottom w:val="0"/>
          <w:divBdr>
            <w:top w:val="none" w:sz="0" w:space="0" w:color="auto"/>
            <w:left w:val="none" w:sz="0" w:space="0" w:color="auto"/>
            <w:bottom w:val="none" w:sz="0" w:space="0" w:color="auto"/>
            <w:right w:val="none" w:sz="0" w:space="0" w:color="auto"/>
          </w:divBdr>
        </w:div>
        <w:div w:id="1214584148">
          <w:marLeft w:val="1166"/>
          <w:marRight w:val="0"/>
          <w:marTop w:val="67"/>
          <w:marBottom w:val="0"/>
          <w:divBdr>
            <w:top w:val="none" w:sz="0" w:space="0" w:color="auto"/>
            <w:left w:val="none" w:sz="0" w:space="0" w:color="auto"/>
            <w:bottom w:val="none" w:sz="0" w:space="0" w:color="auto"/>
            <w:right w:val="none" w:sz="0" w:space="0" w:color="auto"/>
          </w:divBdr>
        </w:div>
        <w:div w:id="1246304959">
          <w:marLeft w:val="1800"/>
          <w:marRight w:val="0"/>
          <w:marTop w:val="67"/>
          <w:marBottom w:val="0"/>
          <w:divBdr>
            <w:top w:val="none" w:sz="0" w:space="0" w:color="auto"/>
            <w:left w:val="none" w:sz="0" w:space="0" w:color="auto"/>
            <w:bottom w:val="none" w:sz="0" w:space="0" w:color="auto"/>
            <w:right w:val="none" w:sz="0" w:space="0" w:color="auto"/>
          </w:divBdr>
        </w:div>
      </w:divsChild>
    </w:div>
    <w:div w:id="1255819968">
      <w:bodyDiv w:val="1"/>
      <w:marLeft w:val="0"/>
      <w:marRight w:val="0"/>
      <w:marTop w:val="0"/>
      <w:marBottom w:val="0"/>
      <w:divBdr>
        <w:top w:val="none" w:sz="0" w:space="0" w:color="auto"/>
        <w:left w:val="none" w:sz="0" w:space="0" w:color="auto"/>
        <w:bottom w:val="none" w:sz="0" w:space="0" w:color="auto"/>
        <w:right w:val="none" w:sz="0" w:space="0" w:color="auto"/>
      </w:divBdr>
      <w:divsChild>
        <w:div w:id="1142962402">
          <w:marLeft w:val="720"/>
          <w:marRight w:val="0"/>
          <w:marTop w:val="200"/>
          <w:marBottom w:val="0"/>
          <w:divBdr>
            <w:top w:val="none" w:sz="0" w:space="0" w:color="auto"/>
            <w:left w:val="none" w:sz="0" w:space="0" w:color="auto"/>
            <w:bottom w:val="none" w:sz="0" w:space="0" w:color="auto"/>
            <w:right w:val="none" w:sz="0" w:space="0" w:color="auto"/>
          </w:divBdr>
        </w:div>
      </w:divsChild>
    </w:div>
    <w:div w:id="1386684395">
      <w:bodyDiv w:val="1"/>
      <w:marLeft w:val="0"/>
      <w:marRight w:val="0"/>
      <w:marTop w:val="0"/>
      <w:marBottom w:val="0"/>
      <w:divBdr>
        <w:top w:val="none" w:sz="0" w:space="0" w:color="auto"/>
        <w:left w:val="none" w:sz="0" w:space="0" w:color="auto"/>
        <w:bottom w:val="none" w:sz="0" w:space="0" w:color="auto"/>
        <w:right w:val="none" w:sz="0" w:space="0" w:color="auto"/>
      </w:divBdr>
      <w:divsChild>
        <w:div w:id="398671218">
          <w:marLeft w:val="547"/>
          <w:marRight w:val="0"/>
          <w:marTop w:val="0"/>
          <w:marBottom w:val="0"/>
          <w:divBdr>
            <w:top w:val="none" w:sz="0" w:space="0" w:color="auto"/>
            <w:left w:val="none" w:sz="0" w:space="0" w:color="auto"/>
            <w:bottom w:val="none" w:sz="0" w:space="0" w:color="auto"/>
            <w:right w:val="none" w:sz="0" w:space="0" w:color="auto"/>
          </w:divBdr>
        </w:div>
      </w:divsChild>
    </w:div>
    <w:div w:id="1434133369">
      <w:bodyDiv w:val="1"/>
      <w:marLeft w:val="0"/>
      <w:marRight w:val="0"/>
      <w:marTop w:val="0"/>
      <w:marBottom w:val="0"/>
      <w:divBdr>
        <w:top w:val="none" w:sz="0" w:space="0" w:color="auto"/>
        <w:left w:val="none" w:sz="0" w:space="0" w:color="auto"/>
        <w:bottom w:val="none" w:sz="0" w:space="0" w:color="auto"/>
        <w:right w:val="none" w:sz="0" w:space="0" w:color="auto"/>
      </w:divBdr>
      <w:divsChild>
        <w:div w:id="78603621">
          <w:marLeft w:val="1166"/>
          <w:marRight w:val="0"/>
          <w:marTop w:val="67"/>
          <w:marBottom w:val="0"/>
          <w:divBdr>
            <w:top w:val="none" w:sz="0" w:space="0" w:color="auto"/>
            <w:left w:val="none" w:sz="0" w:space="0" w:color="auto"/>
            <w:bottom w:val="none" w:sz="0" w:space="0" w:color="auto"/>
            <w:right w:val="none" w:sz="0" w:space="0" w:color="auto"/>
          </w:divBdr>
        </w:div>
        <w:div w:id="176967024">
          <w:marLeft w:val="1166"/>
          <w:marRight w:val="0"/>
          <w:marTop w:val="67"/>
          <w:marBottom w:val="0"/>
          <w:divBdr>
            <w:top w:val="none" w:sz="0" w:space="0" w:color="auto"/>
            <w:left w:val="none" w:sz="0" w:space="0" w:color="auto"/>
            <w:bottom w:val="none" w:sz="0" w:space="0" w:color="auto"/>
            <w:right w:val="none" w:sz="0" w:space="0" w:color="auto"/>
          </w:divBdr>
        </w:div>
        <w:div w:id="620920433">
          <w:marLeft w:val="547"/>
          <w:marRight w:val="0"/>
          <w:marTop w:val="67"/>
          <w:marBottom w:val="0"/>
          <w:divBdr>
            <w:top w:val="none" w:sz="0" w:space="0" w:color="auto"/>
            <w:left w:val="none" w:sz="0" w:space="0" w:color="auto"/>
            <w:bottom w:val="none" w:sz="0" w:space="0" w:color="auto"/>
            <w:right w:val="none" w:sz="0" w:space="0" w:color="auto"/>
          </w:divBdr>
        </w:div>
        <w:div w:id="855730607">
          <w:marLeft w:val="547"/>
          <w:marRight w:val="0"/>
          <w:marTop w:val="67"/>
          <w:marBottom w:val="0"/>
          <w:divBdr>
            <w:top w:val="none" w:sz="0" w:space="0" w:color="auto"/>
            <w:left w:val="none" w:sz="0" w:space="0" w:color="auto"/>
            <w:bottom w:val="none" w:sz="0" w:space="0" w:color="auto"/>
            <w:right w:val="none" w:sz="0" w:space="0" w:color="auto"/>
          </w:divBdr>
        </w:div>
        <w:div w:id="1470515195">
          <w:marLeft w:val="1166"/>
          <w:marRight w:val="0"/>
          <w:marTop w:val="67"/>
          <w:marBottom w:val="0"/>
          <w:divBdr>
            <w:top w:val="none" w:sz="0" w:space="0" w:color="auto"/>
            <w:left w:val="none" w:sz="0" w:space="0" w:color="auto"/>
            <w:bottom w:val="none" w:sz="0" w:space="0" w:color="auto"/>
            <w:right w:val="none" w:sz="0" w:space="0" w:color="auto"/>
          </w:divBdr>
        </w:div>
        <w:div w:id="2021078769">
          <w:marLeft w:val="547"/>
          <w:marRight w:val="0"/>
          <w:marTop w:val="67"/>
          <w:marBottom w:val="0"/>
          <w:divBdr>
            <w:top w:val="none" w:sz="0" w:space="0" w:color="auto"/>
            <w:left w:val="none" w:sz="0" w:space="0" w:color="auto"/>
            <w:bottom w:val="none" w:sz="0" w:space="0" w:color="auto"/>
            <w:right w:val="none" w:sz="0" w:space="0" w:color="auto"/>
          </w:divBdr>
        </w:div>
      </w:divsChild>
    </w:div>
    <w:div w:id="1585256754">
      <w:bodyDiv w:val="1"/>
      <w:marLeft w:val="0"/>
      <w:marRight w:val="0"/>
      <w:marTop w:val="0"/>
      <w:marBottom w:val="0"/>
      <w:divBdr>
        <w:top w:val="none" w:sz="0" w:space="0" w:color="auto"/>
        <w:left w:val="none" w:sz="0" w:space="0" w:color="auto"/>
        <w:bottom w:val="none" w:sz="0" w:space="0" w:color="auto"/>
        <w:right w:val="none" w:sz="0" w:space="0" w:color="auto"/>
      </w:divBdr>
      <w:divsChild>
        <w:div w:id="691996948">
          <w:marLeft w:val="547"/>
          <w:marRight w:val="0"/>
          <w:marTop w:val="0"/>
          <w:marBottom w:val="0"/>
          <w:divBdr>
            <w:top w:val="none" w:sz="0" w:space="0" w:color="auto"/>
            <w:left w:val="none" w:sz="0" w:space="0" w:color="auto"/>
            <w:bottom w:val="none" w:sz="0" w:space="0" w:color="auto"/>
            <w:right w:val="none" w:sz="0" w:space="0" w:color="auto"/>
          </w:divBdr>
        </w:div>
        <w:div w:id="1314607219">
          <w:marLeft w:val="547"/>
          <w:marRight w:val="0"/>
          <w:marTop w:val="0"/>
          <w:marBottom w:val="0"/>
          <w:divBdr>
            <w:top w:val="none" w:sz="0" w:space="0" w:color="auto"/>
            <w:left w:val="none" w:sz="0" w:space="0" w:color="auto"/>
            <w:bottom w:val="none" w:sz="0" w:space="0" w:color="auto"/>
            <w:right w:val="none" w:sz="0" w:space="0" w:color="auto"/>
          </w:divBdr>
        </w:div>
      </w:divsChild>
    </w:div>
    <w:div w:id="1603537807">
      <w:bodyDiv w:val="1"/>
      <w:marLeft w:val="0"/>
      <w:marRight w:val="0"/>
      <w:marTop w:val="0"/>
      <w:marBottom w:val="0"/>
      <w:divBdr>
        <w:top w:val="none" w:sz="0" w:space="0" w:color="auto"/>
        <w:left w:val="none" w:sz="0" w:space="0" w:color="auto"/>
        <w:bottom w:val="none" w:sz="0" w:space="0" w:color="auto"/>
        <w:right w:val="none" w:sz="0" w:space="0" w:color="auto"/>
      </w:divBdr>
    </w:div>
    <w:div w:id="1610314656">
      <w:bodyDiv w:val="1"/>
      <w:marLeft w:val="0"/>
      <w:marRight w:val="0"/>
      <w:marTop w:val="0"/>
      <w:marBottom w:val="0"/>
      <w:divBdr>
        <w:top w:val="none" w:sz="0" w:space="0" w:color="auto"/>
        <w:left w:val="none" w:sz="0" w:space="0" w:color="auto"/>
        <w:bottom w:val="none" w:sz="0" w:space="0" w:color="auto"/>
        <w:right w:val="none" w:sz="0" w:space="0" w:color="auto"/>
      </w:divBdr>
    </w:div>
    <w:div w:id="1625770855">
      <w:bodyDiv w:val="1"/>
      <w:marLeft w:val="0"/>
      <w:marRight w:val="0"/>
      <w:marTop w:val="0"/>
      <w:marBottom w:val="0"/>
      <w:divBdr>
        <w:top w:val="none" w:sz="0" w:space="0" w:color="auto"/>
        <w:left w:val="none" w:sz="0" w:space="0" w:color="auto"/>
        <w:bottom w:val="none" w:sz="0" w:space="0" w:color="auto"/>
        <w:right w:val="none" w:sz="0" w:space="0" w:color="auto"/>
      </w:divBdr>
      <w:divsChild>
        <w:div w:id="930088763">
          <w:marLeft w:val="446"/>
          <w:marRight w:val="0"/>
          <w:marTop w:val="0"/>
          <w:marBottom w:val="0"/>
          <w:divBdr>
            <w:top w:val="none" w:sz="0" w:space="0" w:color="auto"/>
            <w:left w:val="none" w:sz="0" w:space="0" w:color="auto"/>
            <w:bottom w:val="none" w:sz="0" w:space="0" w:color="auto"/>
            <w:right w:val="none" w:sz="0" w:space="0" w:color="auto"/>
          </w:divBdr>
        </w:div>
        <w:div w:id="1144616707">
          <w:marLeft w:val="446"/>
          <w:marRight w:val="0"/>
          <w:marTop w:val="0"/>
          <w:marBottom w:val="0"/>
          <w:divBdr>
            <w:top w:val="none" w:sz="0" w:space="0" w:color="auto"/>
            <w:left w:val="none" w:sz="0" w:space="0" w:color="auto"/>
            <w:bottom w:val="none" w:sz="0" w:space="0" w:color="auto"/>
            <w:right w:val="none" w:sz="0" w:space="0" w:color="auto"/>
          </w:divBdr>
        </w:div>
        <w:div w:id="1598102237">
          <w:marLeft w:val="446"/>
          <w:marRight w:val="0"/>
          <w:marTop w:val="0"/>
          <w:marBottom w:val="0"/>
          <w:divBdr>
            <w:top w:val="none" w:sz="0" w:space="0" w:color="auto"/>
            <w:left w:val="none" w:sz="0" w:space="0" w:color="auto"/>
            <w:bottom w:val="none" w:sz="0" w:space="0" w:color="auto"/>
            <w:right w:val="none" w:sz="0" w:space="0" w:color="auto"/>
          </w:divBdr>
        </w:div>
        <w:div w:id="1623339630">
          <w:marLeft w:val="446"/>
          <w:marRight w:val="0"/>
          <w:marTop w:val="0"/>
          <w:marBottom w:val="0"/>
          <w:divBdr>
            <w:top w:val="none" w:sz="0" w:space="0" w:color="auto"/>
            <w:left w:val="none" w:sz="0" w:space="0" w:color="auto"/>
            <w:bottom w:val="none" w:sz="0" w:space="0" w:color="auto"/>
            <w:right w:val="none" w:sz="0" w:space="0" w:color="auto"/>
          </w:divBdr>
        </w:div>
        <w:div w:id="1730960938">
          <w:marLeft w:val="446"/>
          <w:marRight w:val="0"/>
          <w:marTop w:val="0"/>
          <w:marBottom w:val="0"/>
          <w:divBdr>
            <w:top w:val="none" w:sz="0" w:space="0" w:color="auto"/>
            <w:left w:val="none" w:sz="0" w:space="0" w:color="auto"/>
            <w:bottom w:val="none" w:sz="0" w:space="0" w:color="auto"/>
            <w:right w:val="none" w:sz="0" w:space="0" w:color="auto"/>
          </w:divBdr>
        </w:div>
        <w:div w:id="1829860243">
          <w:marLeft w:val="446"/>
          <w:marRight w:val="0"/>
          <w:marTop w:val="0"/>
          <w:marBottom w:val="0"/>
          <w:divBdr>
            <w:top w:val="none" w:sz="0" w:space="0" w:color="auto"/>
            <w:left w:val="none" w:sz="0" w:space="0" w:color="auto"/>
            <w:bottom w:val="none" w:sz="0" w:space="0" w:color="auto"/>
            <w:right w:val="none" w:sz="0" w:space="0" w:color="auto"/>
          </w:divBdr>
        </w:div>
        <w:div w:id="1889146071">
          <w:marLeft w:val="446"/>
          <w:marRight w:val="0"/>
          <w:marTop w:val="0"/>
          <w:marBottom w:val="0"/>
          <w:divBdr>
            <w:top w:val="none" w:sz="0" w:space="0" w:color="auto"/>
            <w:left w:val="none" w:sz="0" w:space="0" w:color="auto"/>
            <w:bottom w:val="none" w:sz="0" w:space="0" w:color="auto"/>
            <w:right w:val="none" w:sz="0" w:space="0" w:color="auto"/>
          </w:divBdr>
        </w:div>
      </w:divsChild>
    </w:div>
    <w:div w:id="1627346022">
      <w:bodyDiv w:val="1"/>
      <w:marLeft w:val="0"/>
      <w:marRight w:val="0"/>
      <w:marTop w:val="0"/>
      <w:marBottom w:val="0"/>
      <w:divBdr>
        <w:top w:val="none" w:sz="0" w:space="0" w:color="auto"/>
        <w:left w:val="none" w:sz="0" w:space="0" w:color="auto"/>
        <w:bottom w:val="none" w:sz="0" w:space="0" w:color="auto"/>
        <w:right w:val="none" w:sz="0" w:space="0" w:color="auto"/>
      </w:divBdr>
      <w:divsChild>
        <w:div w:id="898132023">
          <w:marLeft w:val="446"/>
          <w:marRight w:val="0"/>
          <w:marTop w:val="0"/>
          <w:marBottom w:val="0"/>
          <w:divBdr>
            <w:top w:val="none" w:sz="0" w:space="0" w:color="auto"/>
            <w:left w:val="none" w:sz="0" w:space="0" w:color="auto"/>
            <w:bottom w:val="none" w:sz="0" w:space="0" w:color="auto"/>
            <w:right w:val="none" w:sz="0" w:space="0" w:color="auto"/>
          </w:divBdr>
        </w:div>
        <w:div w:id="1217932073">
          <w:marLeft w:val="446"/>
          <w:marRight w:val="0"/>
          <w:marTop w:val="0"/>
          <w:marBottom w:val="0"/>
          <w:divBdr>
            <w:top w:val="none" w:sz="0" w:space="0" w:color="auto"/>
            <w:left w:val="none" w:sz="0" w:space="0" w:color="auto"/>
            <w:bottom w:val="none" w:sz="0" w:space="0" w:color="auto"/>
            <w:right w:val="none" w:sz="0" w:space="0" w:color="auto"/>
          </w:divBdr>
        </w:div>
        <w:div w:id="1983802154">
          <w:marLeft w:val="446"/>
          <w:marRight w:val="0"/>
          <w:marTop w:val="0"/>
          <w:marBottom w:val="0"/>
          <w:divBdr>
            <w:top w:val="none" w:sz="0" w:space="0" w:color="auto"/>
            <w:left w:val="none" w:sz="0" w:space="0" w:color="auto"/>
            <w:bottom w:val="none" w:sz="0" w:space="0" w:color="auto"/>
            <w:right w:val="none" w:sz="0" w:space="0" w:color="auto"/>
          </w:divBdr>
        </w:div>
        <w:div w:id="2002656704">
          <w:marLeft w:val="446"/>
          <w:marRight w:val="0"/>
          <w:marTop w:val="0"/>
          <w:marBottom w:val="0"/>
          <w:divBdr>
            <w:top w:val="none" w:sz="0" w:space="0" w:color="auto"/>
            <w:left w:val="none" w:sz="0" w:space="0" w:color="auto"/>
            <w:bottom w:val="none" w:sz="0" w:space="0" w:color="auto"/>
            <w:right w:val="none" w:sz="0" w:space="0" w:color="auto"/>
          </w:divBdr>
        </w:div>
      </w:divsChild>
    </w:div>
    <w:div w:id="1651598099">
      <w:bodyDiv w:val="1"/>
      <w:marLeft w:val="0"/>
      <w:marRight w:val="0"/>
      <w:marTop w:val="0"/>
      <w:marBottom w:val="0"/>
      <w:divBdr>
        <w:top w:val="none" w:sz="0" w:space="0" w:color="auto"/>
        <w:left w:val="none" w:sz="0" w:space="0" w:color="auto"/>
        <w:bottom w:val="none" w:sz="0" w:space="0" w:color="auto"/>
        <w:right w:val="none" w:sz="0" w:space="0" w:color="auto"/>
      </w:divBdr>
      <w:divsChild>
        <w:div w:id="249389284">
          <w:marLeft w:val="1166"/>
          <w:marRight w:val="0"/>
          <w:marTop w:val="67"/>
          <w:marBottom w:val="0"/>
          <w:divBdr>
            <w:top w:val="none" w:sz="0" w:space="0" w:color="auto"/>
            <w:left w:val="none" w:sz="0" w:space="0" w:color="auto"/>
            <w:bottom w:val="none" w:sz="0" w:space="0" w:color="auto"/>
            <w:right w:val="none" w:sz="0" w:space="0" w:color="auto"/>
          </w:divBdr>
        </w:div>
        <w:div w:id="284317966">
          <w:marLeft w:val="547"/>
          <w:marRight w:val="0"/>
          <w:marTop w:val="67"/>
          <w:marBottom w:val="0"/>
          <w:divBdr>
            <w:top w:val="none" w:sz="0" w:space="0" w:color="auto"/>
            <w:left w:val="none" w:sz="0" w:space="0" w:color="auto"/>
            <w:bottom w:val="none" w:sz="0" w:space="0" w:color="auto"/>
            <w:right w:val="none" w:sz="0" w:space="0" w:color="auto"/>
          </w:divBdr>
        </w:div>
        <w:div w:id="343367727">
          <w:marLeft w:val="547"/>
          <w:marRight w:val="0"/>
          <w:marTop w:val="67"/>
          <w:marBottom w:val="0"/>
          <w:divBdr>
            <w:top w:val="none" w:sz="0" w:space="0" w:color="auto"/>
            <w:left w:val="none" w:sz="0" w:space="0" w:color="auto"/>
            <w:bottom w:val="none" w:sz="0" w:space="0" w:color="auto"/>
            <w:right w:val="none" w:sz="0" w:space="0" w:color="auto"/>
          </w:divBdr>
        </w:div>
        <w:div w:id="346445064">
          <w:marLeft w:val="1166"/>
          <w:marRight w:val="0"/>
          <w:marTop w:val="67"/>
          <w:marBottom w:val="0"/>
          <w:divBdr>
            <w:top w:val="none" w:sz="0" w:space="0" w:color="auto"/>
            <w:left w:val="none" w:sz="0" w:space="0" w:color="auto"/>
            <w:bottom w:val="none" w:sz="0" w:space="0" w:color="auto"/>
            <w:right w:val="none" w:sz="0" w:space="0" w:color="auto"/>
          </w:divBdr>
        </w:div>
        <w:div w:id="367343733">
          <w:marLeft w:val="1166"/>
          <w:marRight w:val="0"/>
          <w:marTop w:val="67"/>
          <w:marBottom w:val="0"/>
          <w:divBdr>
            <w:top w:val="none" w:sz="0" w:space="0" w:color="auto"/>
            <w:left w:val="none" w:sz="0" w:space="0" w:color="auto"/>
            <w:bottom w:val="none" w:sz="0" w:space="0" w:color="auto"/>
            <w:right w:val="none" w:sz="0" w:space="0" w:color="auto"/>
          </w:divBdr>
        </w:div>
        <w:div w:id="631833439">
          <w:marLeft w:val="1166"/>
          <w:marRight w:val="0"/>
          <w:marTop w:val="67"/>
          <w:marBottom w:val="0"/>
          <w:divBdr>
            <w:top w:val="none" w:sz="0" w:space="0" w:color="auto"/>
            <w:left w:val="none" w:sz="0" w:space="0" w:color="auto"/>
            <w:bottom w:val="none" w:sz="0" w:space="0" w:color="auto"/>
            <w:right w:val="none" w:sz="0" w:space="0" w:color="auto"/>
          </w:divBdr>
        </w:div>
        <w:div w:id="710039677">
          <w:marLeft w:val="1166"/>
          <w:marRight w:val="0"/>
          <w:marTop w:val="67"/>
          <w:marBottom w:val="0"/>
          <w:divBdr>
            <w:top w:val="none" w:sz="0" w:space="0" w:color="auto"/>
            <w:left w:val="none" w:sz="0" w:space="0" w:color="auto"/>
            <w:bottom w:val="none" w:sz="0" w:space="0" w:color="auto"/>
            <w:right w:val="none" w:sz="0" w:space="0" w:color="auto"/>
          </w:divBdr>
        </w:div>
        <w:div w:id="786043538">
          <w:marLeft w:val="547"/>
          <w:marRight w:val="0"/>
          <w:marTop w:val="67"/>
          <w:marBottom w:val="0"/>
          <w:divBdr>
            <w:top w:val="none" w:sz="0" w:space="0" w:color="auto"/>
            <w:left w:val="none" w:sz="0" w:space="0" w:color="auto"/>
            <w:bottom w:val="none" w:sz="0" w:space="0" w:color="auto"/>
            <w:right w:val="none" w:sz="0" w:space="0" w:color="auto"/>
          </w:divBdr>
        </w:div>
        <w:div w:id="838081706">
          <w:marLeft w:val="1166"/>
          <w:marRight w:val="0"/>
          <w:marTop w:val="67"/>
          <w:marBottom w:val="0"/>
          <w:divBdr>
            <w:top w:val="none" w:sz="0" w:space="0" w:color="auto"/>
            <w:left w:val="none" w:sz="0" w:space="0" w:color="auto"/>
            <w:bottom w:val="none" w:sz="0" w:space="0" w:color="auto"/>
            <w:right w:val="none" w:sz="0" w:space="0" w:color="auto"/>
          </w:divBdr>
        </w:div>
        <w:div w:id="1307467296">
          <w:marLeft w:val="1166"/>
          <w:marRight w:val="0"/>
          <w:marTop w:val="67"/>
          <w:marBottom w:val="0"/>
          <w:divBdr>
            <w:top w:val="none" w:sz="0" w:space="0" w:color="auto"/>
            <w:left w:val="none" w:sz="0" w:space="0" w:color="auto"/>
            <w:bottom w:val="none" w:sz="0" w:space="0" w:color="auto"/>
            <w:right w:val="none" w:sz="0" w:space="0" w:color="auto"/>
          </w:divBdr>
        </w:div>
        <w:div w:id="1644115034">
          <w:marLeft w:val="1166"/>
          <w:marRight w:val="0"/>
          <w:marTop w:val="67"/>
          <w:marBottom w:val="0"/>
          <w:divBdr>
            <w:top w:val="none" w:sz="0" w:space="0" w:color="auto"/>
            <w:left w:val="none" w:sz="0" w:space="0" w:color="auto"/>
            <w:bottom w:val="none" w:sz="0" w:space="0" w:color="auto"/>
            <w:right w:val="none" w:sz="0" w:space="0" w:color="auto"/>
          </w:divBdr>
        </w:div>
        <w:div w:id="1668093162">
          <w:marLeft w:val="1166"/>
          <w:marRight w:val="0"/>
          <w:marTop w:val="67"/>
          <w:marBottom w:val="0"/>
          <w:divBdr>
            <w:top w:val="none" w:sz="0" w:space="0" w:color="auto"/>
            <w:left w:val="none" w:sz="0" w:space="0" w:color="auto"/>
            <w:bottom w:val="none" w:sz="0" w:space="0" w:color="auto"/>
            <w:right w:val="none" w:sz="0" w:space="0" w:color="auto"/>
          </w:divBdr>
        </w:div>
        <w:div w:id="1779375660">
          <w:marLeft w:val="1166"/>
          <w:marRight w:val="0"/>
          <w:marTop w:val="67"/>
          <w:marBottom w:val="0"/>
          <w:divBdr>
            <w:top w:val="none" w:sz="0" w:space="0" w:color="auto"/>
            <w:left w:val="none" w:sz="0" w:space="0" w:color="auto"/>
            <w:bottom w:val="none" w:sz="0" w:space="0" w:color="auto"/>
            <w:right w:val="none" w:sz="0" w:space="0" w:color="auto"/>
          </w:divBdr>
        </w:div>
        <w:div w:id="1847743474">
          <w:marLeft w:val="547"/>
          <w:marRight w:val="0"/>
          <w:marTop w:val="67"/>
          <w:marBottom w:val="0"/>
          <w:divBdr>
            <w:top w:val="none" w:sz="0" w:space="0" w:color="auto"/>
            <w:left w:val="none" w:sz="0" w:space="0" w:color="auto"/>
            <w:bottom w:val="none" w:sz="0" w:space="0" w:color="auto"/>
            <w:right w:val="none" w:sz="0" w:space="0" w:color="auto"/>
          </w:divBdr>
        </w:div>
        <w:div w:id="1852447567">
          <w:marLeft w:val="547"/>
          <w:marRight w:val="0"/>
          <w:marTop w:val="67"/>
          <w:marBottom w:val="0"/>
          <w:divBdr>
            <w:top w:val="none" w:sz="0" w:space="0" w:color="auto"/>
            <w:left w:val="none" w:sz="0" w:space="0" w:color="auto"/>
            <w:bottom w:val="none" w:sz="0" w:space="0" w:color="auto"/>
            <w:right w:val="none" w:sz="0" w:space="0" w:color="auto"/>
          </w:divBdr>
        </w:div>
        <w:div w:id="1864243394">
          <w:marLeft w:val="1166"/>
          <w:marRight w:val="0"/>
          <w:marTop w:val="67"/>
          <w:marBottom w:val="0"/>
          <w:divBdr>
            <w:top w:val="none" w:sz="0" w:space="0" w:color="auto"/>
            <w:left w:val="none" w:sz="0" w:space="0" w:color="auto"/>
            <w:bottom w:val="none" w:sz="0" w:space="0" w:color="auto"/>
            <w:right w:val="none" w:sz="0" w:space="0" w:color="auto"/>
          </w:divBdr>
        </w:div>
        <w:div w:id="1906405197">
          <w:marLeft w:val="1166"/>
          <w:marRight w:val="0"/>
          <w:marTop w:val="67"/>
          <w:marBottom w:val="0"/>
          <w:divBdr>
            <w:top w:val="none" w:sz="0" w:space="0" w:color="auto"/>
            <w:left w:val="none" w:sz="0" w:space="0" w:color="auto"/>
            <w:bottom w:val="none" w:sz="0" w:space="0" w:color="auto"/>
            <w:right w:val="none" w:sz="0" w:space="0" w:color="auto"/>
          </w:divBdr>
        </w:div>
        <w:div w:id="1988245673">
          <w:marLeft w:val="1166"/>
          <w:marRight w:val="0"/>
          <w:marTop w:val="67"/>
          <w:marBottom w:val="0"/>
          <w:divBdr>
            <w:top w:val="none" w:sz="0" w:space="0" w:color="auto"/>
            <w:left w:val="none" w:sz="0" w:space="0" w:color="auto"/>
            <w:bottom w:val="none" w:sz="0" w:space="0" w:color="auto"/>
            <w:right w:val="none" w:sz="0" w:space="0" w:color="auto"/>
          </w:divBdr>
        </w:div>
        <w:div w:id="2112771761">
          <w:marLeft w:val="1166"/>
          <w:marRight w:val="0"/>
          <w:marTop w:val="67"/>
          <w:marBottom w:val="0"/>
          <w:divBdr>
            <w:top w:val="none" w:sz="0" w:space="0" w:color="auto"/>
            <w:left w:val="none" w:sz="0" w:space="0" w:color="auto"/>
            <w:bottom w:val="none" w:sz="0" w:space="0" w:color="auto"/>
            <w:right w:val="none" w:sz="0" w:space="0" w:color="auto"/>
          </w:divBdr>
        </w:div>
        <w:div w:id="2145583599">
          <w:marLeft w:val="1166"/>
          <w:marRight w:val="0"/>
          <w:marTop w:val="67"/>
          <w:marBottom w:val="0"/>
          <w:divBdr>
            <w:top w:val="none" w:sz="0" w:space="0" w:color="auto"/>
            <w:left w:val="none" w:sz="0" w:space="0" w:color="auto"/>
            <w:bottom w:val="none" w:sz="0" w:space="0" w:color="auto"/>
            <w:right w:val="none" w:sz="0" w:space="0" w:color="auto"/>
          </w:divBdr>
        </w:div>
      </w:divsChild>
    </w:div>
    <w:div w:id="1678387384">
      <w:bodyDiv w:val="1"/>
      <w:marLeft w:val="0"/>
      <w:marRight w:val="0"/>
      <w:marTop w:val="0"/>
      <w:marBottom w:val="0"/>
      <w:divBdr>
        <w:top w:val="none" w:sz="0" w:space="0" w:color="auto"/>
        <w:left w:val="none" w:sz="0" w:space="0" w:color="auto"/>
        <w:bottom w:val="none" w:sz="0" w:space="0" w:color="auto"/>
        <w:right w:val="none" w:sz="0" w:space="0" w:color="auto"/>
      </w:divBdr>
    </w:div>
    <w:div w:id="1691492124">
      <w:bodyDiv w:val="1"/>
      <w:marLeft w:val="0"/>
      <w:marRight w:val="0"/>
      <w:marTop w:val="0"/>
      <w:marBottom w:val="0"/>
      <w:divBdr>
        <w:top w:val="none" w:sz="0" w:space="0" w:color="auto"/>
        <w:left w:val="none" w:sz="0" w:space="0" w:color="auto"/>
        <w:bottom w:val="none" w:sz="0" w:space="0" w:color="auto"/>
        <w:right w:val="none" w:sz="0" w:space="0" w:color="auto"/>
      </w:divBdr>
      <w:divsChild>
        <w:div w:id="1908370706">
          <w:marLeft w:val="547"/>
          <w:marRight w:val="0"/>
          <w:marTop w:val="0"/>
          <w:marBottom w:val="0"/>
          <w:divBdr>
            <w:top w:val="none" w:sz="0" w:space="0" w:color="auto"/>
            <w:left w:val="none" w:sz="0" w:space="0" w:color="auto"/>
            <w:bottom w:val="none" w:sz="0" w:space="0" w:color="auto"/>
            <w:right w:val="none" w:sz="0" w:space="0" w:color="auto"/>
          </w:divBdr>
        </w:div>
      </w:divsChild>
    </w:div>
    <w:div w:id="1724600497">
      <w:bodyDiv w:val="1"/>
      <w:marLeft w:val="0"/>
      <w:marRight w:val="0"/>
      <w:marTop w:val="0"/>
      <w:marBottom w:val="0"/>
      <w:divBdr>
        <w:top w:val="none" w:sz="0" w:space="0" w:color="auto"/>
        <w:left w:val="none" w:sz="0" w:space="0" w:color="auto"/>
        <w:bottom w:val="none" w:sz="0" w:space="0" w:color="auto"/>
        <w:right w:val="none" w:sz="0" w:space="0" w:color="auto"/>
      </w:divBdr>
      <w:divsChild>
        <w:div w:id="2095085342">
          <w:marLeft w:val="547"/>
          <w:marRight w:val="0"/>
          <w:marTop w:val="0"/>
          <w:marBottom w:val="0"/>
          <w:divBdr>
            <w:top w:val="none" w:sz="0" w:space="0" w:color="auto"/>
            <w:left w:val="none" w:sz="0" w:space="0" w:color="auto"/>
            <w:bottom w:val="none" w:sz="0" w:space="0" w:color="auto"/>
            <w:right w:val="none" w:sz="0" w:space="0" w:color="auto"/>
          </w:divBdr>
        </w:div>
      </w:divsChild>
    </w:div>
    <w:div w:id="1757049248">
      <w:bodyDiv w:val="1"/>
      <w:marLeft w:val="0"/>
      <w:marRight w:val="0"/>
      <w:marTop w:val="0"/>
      <w:marBottom w:val="0"/>
      <w:divBdr>
        <w:top w:val="none" w:sz="0" w:space="0" w:color="auto"/>
        <w:left w:val="none" w:sz="0" w:space="0" w:color="auto"/>
        <w:bottom w:val="none" w:sz="0" w:space="0" w:color="auto"/>
        <w:right w:val="none" w:sz="0" w:space="0" w:color="auto"/>
      </w:divBdr>
      <w:divsChild>
        <w:div w:id="1670256507">
          <w:marLeft w:val="547"/>
          <w:marRight w:val="0"/>
          <w:marTop w:val="0"/>
          <w:marBottom w:val="0"/>
          <w:divBdr>
            <w:top w:val="none" w:sz="0" w:space="0" w:color="auto"/>
            <w:left w:val="none" w:sz="0" w:space="0" w:color="auto"/>
            <w:bottom w:val="none" w:sz="0" w:space="0" w:color="auto"/>
            <w:right w:val="none" w:sz="0" w:space="0" w:color="auto"/>
          </w:divBdr>
        </w:div>
      </w:divsChild>
    </w:div>
    <w:div w:id="1834565934">
      <w:bodyDiv w:val="1"/>
      <w:marLeft w:val="0"/>
      <w:marRight w:val="0"/>
      <w:marTop w:val="0"/>
      <w:marBottom w:val="0"/>
      <w:divBdr>
        <w:top w:val="none" w:sz="0" w:space="0" w:color="auto"/>
        <w:left w:val="none" w:sz="0" w:space="0" w:color="auto"/>
        <w:bottom w:val="none" w:sz="0" w:space="0" w:color="auto"/>
        <w:right w:val="none" w:sz="0" w:space="0" w:color="auto"/>
      </w:divBdr>
      <w:divsChild>
        <w:div w:id="390158825">
          <w:marLeft w:val="547"/>
          <w:marRight w:val="0"/>
          <w:marTop w:val="0"/>
          <w:marBottom w:val="0"/>
          <w:divBdr>
            <w:top w:val="none" w:sz="0" w:space="0" w:color="auto"/>
            <w:left w:val="none" w:sz="0" w:space="0" w:color="auto"/>
            <w:bottom w:val="none" w:sz="0" w:space="0" w:color="auto"/>
            <w:right w:val="none" w:sz="0" w:space="0" w:color="auto"/>
          </w:divBdr>
        </w:div>
      </w:divsChild>
    </w:div>
    <w:div w:id="1924101281">
      <w:bodyDiv w:val="1"/>
      <w:marLeft w:val="0"/>
      <w:marRight w:val="0"/>
      <w:marTop w:val="0"/>
      <w:marBottom w:val="0"/>
      <w:divBdr>
        <w:top w:val="none" w:sz="0" w:space="0" w:color="auto"/>
        <w:left w:val="none" w:sz="0" w:space="0" w:color="auto"/>
        <w:bottom w:val="none" w:sz="0" w:space="0" w:color="auto"/>
        <w:right w:val="none" w:sz="0" w:space="0" w:color="auto"/>
      </w:divBdr>
    </w:div>
    <w:div w:id="2012751930">
      <w:bodyDiv w:val="1"/>
      <w:marLeft w:val="0"/>
      <w:marRight w:val="0"/>
      <w:marTop w:val="0"/>
      <w:marBottom w:val="0"/>
      <w:divBdr>
        <w:top w:val="none" w:sz="0" w:space="0" w:color="auto"/>
        <w:left w:val="none" w:sz="0" w:space="0" w:color="auto"/>
        <w:bottom w:val="none" w:sz="0" w:space="0" w:color="auto"/>
        <w:right w:val="none" w:sz="0" w:space="0" w:color="auto"/>
      </w:divBdr>
    </w:div>
    <w:div w:id="2057653625">
      <w:bodyDiv w:val="1"/>
      <w:marLeft w:val="0"/>
      <w:marRight w:val="0"/>
      <w:marTop w:val="0"/>
      <w:marBottom w:val="0"/>
      <w:divBdr>
        <w:top w:val="none" w:sz="0" w:space="0" w:color="auto"/>
        <w:left w:val="none" w:sz="0" w:space="0" w:color="auto"/>
        <w:bottom w:val="none" w:sz="0" w:space="0" w:color="auto"/>
        <w:right w:val="none" w:sz="0" w:space="0" w:color="auto"/>
      </w:divBdr>
    </w:div>
    <w:div w:id="2066755298">
      <w:bodyDiv w:val="1"/>
      <w:marLeft w:val="0"/>
      <w:marRight w:val="0"/>
      <w:marTop w:val="0"/>
      <w:marBottom w:val="0"/>
      <w:divBdr>
        <w:top w:val="none" w:sz="0" w:space="0" w:color="auto"/>
        <w:left w:val="none" w:sz="0" w:space="0" w:color="auto"/>
        <w:bottom w:val="none" w:sz="0" w:space="0" w:color="auto"/>
        <w:right w:val="none" w:sz="0" w:space="0" w:color="auto"/>
      </w:divBdr>
    </w:div>
    <w:div w:id="2132743099">
      <w:bodyDiv w:val="1"/>
      <w:marLeft w:val="0"/>
      <w:marRight w:val="0"/>
      <w:marTop w:val="0"/>
      <w:marBottom w:val="0"/>
      <w:divBdr>
        <w:top w:val="none" w:sz="0" w:space="0" w:color="auto"/>
        <w:left w:val="none" w:sz="0" w:space="0" w:color="auto"/>
        <w:bottom w:val="none" w:sz="0" w:space="0" w:color="auto"/>
        <w:right w:val="none" w:sz="0" w:space="0" w:color="auto"/>
      </w:divBdr>
      <w:divsChild>
        <w:div w:id="49811222">
          <w:marLeft w:val="547"/>
          <w:marRight w:val="0"/>
          <w:marTop w:val="67"/>
          <w:marBottom w:val="0"/>
          <w:divBdr>
            <w:top w:val="none" w:sz="0" w:space="0" w:color="auto"/>
            <w:left w:val="none" w:sz="0" w:space="0" w:color="auto"/>
            <w:bottom w:val="none" w:sz="0" w:space="0" w:color="auto"/>
            <w:right w:val="none" w:sz="0" w:space="0" w:color="auto"/>
          </w:divBdr>
        </w:div>
        <w:div w:id="866680442">
          <w:marLeft w:val="547"/>
          <w:marRight w:val="0"/>
          <w:marTop w:val="67"/>
          <w:marBottom w:val="0"/>
          <w:divBdr>
            <w:top w:val="none" w:sz="0" w:space="0" w:color="auto"/>
            <w:left w:val="none" w:sz="0" w:space="0" w:color="auto"/>
            <w:bottom w:val="none" w:sz="0" w:space="0" w:color="auto"/>
            <w:right w:val="none" w:sz="0" w:space="0" w:color="auto"/>
          </w:divBdr>
        </w:div>
        <w:div w:id="934246680">
          <w:marLeft w:val="1166"/>
          <w:marRight w:val="0"/>
          <w:marTop w:val="67"/>
          <w:marBottom w:val="0"/>
          <w:divBdr>
            <w:top w:val="none" w:sz="0" w:space="0" w:color="auto"/>
            <w:left w:val="none" w:sz="0" w:space="0" w:color="auto"/>
            <w:bottom w:val="none" w:sz="0" w:space="0" w:color="auto"/>
            <w:right w:val="none" w:sz="0" w:space="0" w:color="auto"/>
          </w:divBdr>
        </w:div>
        <w:div w:id="1180781658">
          <w:marLeft w:val="547"/>
          <w:marRight w:val="0"/>
          <w:marTop w:val="67"/>
          <w:marBottom w:val="0"/>
          <w:divBdr>
            <w:top w:val="none" w:sz="0" w:space="0" w:color="auto"/>
            <w:left w:val="none" w:sz="0" w:space="0" w:color="auto"/>
            <w:bottom w:val="none" w:sz="0" w:space="0" w:color="auto"/>
            <w:right w:val="none" w:sz="0" w:space="0" w:color="auto"/>
          </w:divBdr>
        </w:div>
        <w:div w:id="1807814293">
          <w:marLeft w:val="1166"/>
          <w:marRight w:val="0"/>
          <w:marTop w:val="67"/>
          <w:marBottom w:val="0"/>
          <w:divBdr>
            <w:top w:val="none" w:sz="0" w:space="0" w:color="auto"/>
            <w:left w:val="none" w:sz="0" w:space="0" w:color="auto"/>
            <w:bottom w:val="none" w:sz="0" w:space="0" w:color="auto"/>
            <w:right w:val="none" w:sz="0" w:space="0" w:color="auto"/>
          </w:divBdr>
        </w:div>
        <w:div w:id="1896231126">
          <w:marLeft w:val="1166"/>
          <w:marRight w:val="0"/>
          <w:marTop w:val="6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regulatoryenquiries@rpc.gsi.gov.uk" TargetMode="External"/><Relationship Id="rId18" Type="http://schemas.openxmlformats.org/officeDocument/2006/relationships/hyperlink" Target="https://www.gov.uk/government/publications/the-green-book-appraisal-and-evaluation-in-central-governent" TargetMode="External"/><Relationship Id="rId26" Type="http://schemas.openxmlformats.org/officeDocument/2006/relationships/hyperlink" Target="https://www.gov.uk/government/uploads/system/uploads/attachment_data/file/454855/RPC15-BIS-2402__3010__-_Ballot_thresholds_in_important_public_services_-_IA_c__-_opinion.pdf" TargetMode="External"/><Relationship Id="rId39" Type="http://schemas.openxmlformats.org/officeDocument/2006/relationships/hyperlink" Target="http://www.legislation.gov.uk/uksi/2011/2687/impacts" TargetMode="External"/><Relationship Id="rId21" Type="http://schemas.openxmlformats.org/officeDocument/2006/relationships/footer" Target="footer2.xml"/><Relationship Id="rId34" Type="http://schemas.openxmlformats.org/officeDocument/2006/relationships/hyperlink" Target="https://www.gov.uk/government/uploads/system/uploads/attachment_data/file/336590/2014-05-29-RPC12-DH-1229_2__-_Standardised_packaging_of_tobacco.pdf" TargetMode="External"/><Relationship Id="rId42" Type="http://schemas.openxmlformats.org/officeDocument/2006/relationships/hyperlink" Target="https://www.gov.uk/government/uploads/system/uploads/attachment_data/file/31985/12-864-impact-assessment-extending-primary-authority-scheme.pdf" TargetMode="External"/><Relationship Id="rId47" Type="http://schemas.openxmlformats.org/officeDocument/2006/relationships/hyperlink" Target="http://www.legislation.gov.uk/ukia/2015/42/pdfs/ukia_20150042_en.pdf" TargetMode="External"/><Relationship Id="rId50" Type="http://schemas.openxmlformats.org/officeDocument/2006/relationships/hyperlink" Target="https://consult.justice.gov.uk/digital-communications/opg-enabling-digital-default/supporting_documents/iaopgdigitaldefault.pdf" TargetMode="External"/><Relationship Id="rId55" Type="http://schemas.openxmlformats.org/officeDocument/2006/relationships/hyperlink" Target="https://www.gov.uk/government/uploads/system/uploads/attachment_data/file/386203/RPC13-FT-DfT-1760_2__-_Proposed_route_for_specific_seafarer_certificatation_for_operating_on_workboats_less_than_500_gross_tons_-_EANCB__v_.pdf" TargetMode="External"/><Relationship Id="rId63" Type="http://schemas.openxmlformats.org/officeDocument/2006/relationships/hyperlink" Target="https://www.gov.uk/government/publications/impact-assessment-opinion-merchant-shipping-maritime-labour-convention-hours-of-workamendment-regulations-the-2013-regulations" TargetMode="External"/><Relationship Id="rId68" Type="http://schemas.openxmlformats.org/officeDocument/2006/relationships/hyperlink" Target="https://www.gov.uk/government/uploads/system/uploads/attachment_data/file/316707/RDAia.pdf"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how-the-regulatory-policy-committee-scrutinises-impact-assessments/regulatory-policy-committee-recommendations-used-when-scrutinising-impact-assessments" TargetMode="External"/><Relationship Id="rId29" Type="http://schemas.openxmlformats.org/officeDocument/2006/relationships/hyperlink" Target="https://www.gov.uk/government/uploads/system/uploads/attachment_data/file/347508/2014-03-27_-_RPC14-DECC-2027_-_Community_right_to_buy_into_renewable_electricity_development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regulatorypolicycommittee.weebly.com/guidance-for-departments.html" TargetMode="External"/><Relationship Id="rId32" Type="http://schemas.openxmlformats.org/officeDocument/2006/relationships/hyperlink" Target="https://www.gov.uk/government/publications/changes-to-part-l-of-the-building-regulations" TargetMode="External"/><Relationship Id="rId37" Type="http://schemas.openxmlformats.org/officeDocument/2006/relationships/hyperlink" Target="http://consultations.hse.gov.uk/consult.ti/cd239/viewCompoundDoc?docid=62900&amp;partId=63252&amp;sessionid=&amp;voteid" TargetMode="External"/><Relationship Id="rId40" Type="http://schemas.openxmlformats.org/officeDocument/2006/relationships/hyperlink" Target="http://www.ipo.gov.uk/consult-ia-bis1063-20120702.pdf" TargetMode="External"/><Relationship Id="rId45" Type="http://schemas.openxmlformats.org/officeDocument/2006/relationships/hyperlink" Target="https://www.gov.uk/government/publications/impact-assessment-opinion-gambling-act-2005-triennial-review-of-stake-and-prize-limits" TargetMode="External"/><Relationship Id="rId53" Type="http://schemas.openxmlformats.org/officeDocument/2006/relationships/hyperlink" Target="https://www.gov.uk/government/uploads/system/uploads/attachment_data/file/273897/2014-01-14_-_RPC13-MOJ-1958_-_Enhanced_Court_Fees.pdf" TargetMode="External"/><Relationship Id="rId58" Type="http://schemas.openxmlformats.org/officeDocument/2006/relationships/hyperlink" Target="http://www.legislation.gov.uk/ukia/2013/1158/pdfs/ukia_20131158_en.pdf" TargetMode="External"/><Relationship Id="rId66" Type="http://schemas.openxmlformats.org/officeDocument/2006/relationships/hyperlink" Target="https://www.gov.uk/government/uploads/system/uploads/attachment_data/file/418435/Continuity_supply_IA_-_Final.pdf" TargetMode="External"/><Relationship Id="rId5" Type="http://schemas.openxmlformats.org/officeDocument/2006/relationships/settings" Target="settings.xml"/><Relationship Id="rId15" Type="http://schemas.openxmlformats.org/officeDocument/2006/relationships/hyperlink" Target="https://www.gov.uk/government/publications/the-green-book-appraisal-and-evaluation-in-central-governent" TargetMode="External"/><Relationship Id="rId23" Type="http://schemas.openxmlformats.org/officeDocument/2006/relationships/hyperlink" Target="https://www.gov.uk/government/publications/how-the-regulatory-policy-committee-scrutinises-impact-assessments/regulatory-policy-committee-recommendations-used-when-scrutinising-impact-assessments" TargetMode="External"/><Relationship Id="rId28" Type="http://schemas.openxmlformats.org/officeDocument/2006/relationships/hyperlink" Target="https://www.gov.uk/government/uploads/system/uploads/attachment_data/file/319453/IA_DECC0158_ISSUE_CR2B.pdf" TargetMode="External"/><Relationship Id="rId36" Type="http://schemas.openxmlformats.org/officeDocument/2006/relationships/hyperlink" Target="https://www.gov.uk/government/consultations/land-registry-wider-powers-and-local-land-charges" TargetMode="External"/><Relationship Id="rId49" Type="http://schemas.openxmlformats.org/officeDocument/2006/relationships/hyperlink" Target="http://www.legislation.gov.uk/uksi/2014/3351/impacts/2014/399" TargetMode="External"/><Relationship Id="rId57" Type="http://schemas.openxmlformats.org/officeDocument/2006/relationships/hyperlink" Target="https://www.gov.uk/government/uploads/system/uploads/attachment_data/file/81568/impact_assessment190712.pdf" TargetMode="External"/><Relationship Id="rId61" Type="http://schemas.openxmlformats.org/officeDocument/2006/relationships/hyperlink" Target="https://www.gov.uk/government/publications/infrastructure-bill-the-community-electricity-right" TargetMode="External"/><Relationship Id="rId10" Type="http://schemas.openxmlformats.org/officeDocument/2006/relationships/image" Target="media/image2.jpeg"/><Relationship Id="rId19" Type="http://schemas.openxmlformats.org/officeDocument/2006/relationships/hyperlink" Target="https://www.gov.uk/government/collections/the-green-book-supplementary-guidance" TargetMode="External"/><Relationship Id="rId31" Type="http://schemas.openxmlformats.org/officeDocument/2006/relationships/hyperlink" Target="http://www.legislation.gov.uk/ukdsi/2015/9780111133439/impacts/2015/158" TargetMode="External"/><Relationship Id="rId44" Type="http://schemas.openxmlformats.org/officeDocument/2006/relationships/hyperlink" Target="https://www.gov.uk/government/uploads/system/uploads/attachment_data/file/249274/Triennial_Review_of_Gaming_Machine_Stake_and_Prize_Limits_Impact_Assessment.pdf" TargetMode="External"/><Relationship Id="rId52" Type="http://schemas.openxmlformats.org/officeDocument/2006/relationships/hyperlink" Target="http://www.legislation.gov.uk/ukia/2013/238" TargetMode="External"/><Relationship Id="rId60" Type="http://schemas.openxmlformats.org/officeDocument/2006/relationships/hyperlink" Target="https://www.gov.uk/government/uploads/system/uploads/attachment_data/file/336334/2014-6-6-RPC13-BIS-1717_4_-pubs_statutory_code_and_adjudicator.pdf" TargetMode="External"/><Relationship Id="rId65" Type="http://schemas.openxmlformats.org/officeDocument/2006/relationships/hyperlink" Target="https://www.gov.uk/government/uploads/system/uploads/attachment_data/file/463875/2014-08-14_-_RPC13-DECC-1962_3__-_Legislation_to_require_energy_suppliers_to_provide_key_personal_information.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v.uk/government/publications/how-the-regulatory-policy-committee-scrutinises-impact-assessments/regulatory-policy-committee-recommendations-used-when-scrutinising-impact-assessments" TargetMode="External"/><Relationship Id="rId22" Type="http://schemas.openxmlformats.org/officeDocument/2006/relationships/footer" Target="footer3.xml"/><Relationship Id="rId27" Type="http://schemas.openxmlformats.org/officeDocument/2006/relationships/hyperlink" Target="https://www.gov.uk/government/uploads/system/uploads/attachment_data/file/336556/2013-01-21-RPC13-DEFRA-1625_3_-environmental_permitting_regulations_2010_materials_recovery_facilities.pdf" TargetMode="External"/><Relationship Id="rId30" Type="http://schemas.openxmlformats.org/officeDocument/2006/relationships/hyperlink" Target="https://www.gov.uk/government/publications/zero-hours-contracts-tackling-avoidance-of-a-ban-on-exclusivity-clauses-final-impact-assessment" TargetMode="External"/><Relationship Id="rId35" Type="http://schemas.openxmlformats.org/officeDocument/2006/relationships/hyperlink" Target="http://www.legislation.gov.uk/ukdsi/2015/9780111127735/impacts/2015/74" TargetMode="External"/><Relationship Id="rId43" Type="http://schemas.openxmlformats.org/officeDocument/2006/relationships/hyperlink" Target="https://www.gov.uk/government/publications/impact-assessment-opinion-the-extension-of-the-primary-authority-scheme-to-cover-the-age-restricted-sale-of-alcohol-and-fire-safety-regulations" TargetMode="External"/><Relationship Id="rId48" Type="http://schemas.openxmlformats.org/officeDocument/2006/relationships/hyperlink" Target="https://www.gov.uk/government/publications/impact-assessment-opinion-the-transfrontier-shipment-of-waste-amendment-regulations-2012" TargetMode="External"/><Relationship Id="rId56" Type="http://schemas.openxmlformats.org/officeDocument/2006/relationships/hyperlink" Target="https://www.gov.uk/government/publications/impact-assessment-opinion-implementation-of-chapter-6-eu-transparency-directive-country-by-country-reporting" TargetMode="External"/><Relationship Id="rId64" Type="http://schemas.openxmlformats.org/officeDocument/2006/relationships/hyperlink" Target="https://www.gov.uk/government/uploads/system/uploads/attachment_data/file/421575/IA.pdf" TargetMode="External"/><Relationship Id="rId69" Type="http://schemas.openxmlformats.org/officeDocument/2006/relationships/hyperlink" Target="https://www.gov.uk/government/uploads/system/uploads/attachment_data/file/336298/RPC14-HO-2008_Review_and_changes_to_the_Riot__Damages__Act_1886_committee.pdf" TargetMode="External"/><Relationship Id="rId8" Type="http://schemas.openxmlformats.org/officeDocument/2006/relationships/endnotes" Target="endnotes.xml"/><Relationship Id="rId51" Type="http://schemas.openxmlformats.org/officeDocument/2006/relationships/hyperlink" Target="https://www.gov.uk/government/uploads/system/uploads/attachment_data/file/265153/2013-09-20_-_RPC13-MOJ-1867_-_Enabling_Digital_by_Default.pdf"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gov.uk/government/publications/how-the-regulatory-policy-committee-scrutinises-impact-assessments/regulatory-policy-committee-recommendations-used-when-scrutinising-impact-assessments" TargetMode="External"/><Relationship Id="rId25" Type="http://schemas.openxmlformats.org/officeDocument/2006/relationships/hyperlink" Target="https://www.gov.uk/government/publications/the-green-book-appraisal-and-evaluation-in-central-governent" TargetMode="External"/><Relationship Id="rId33" Type="http://schemas.openxmlformats.org/officeDocument/2006/relationships/hyperlink" Target="https://www.gov.uk/government/uploads/system/uploads/attachment_data/file/265107/2013-07-26-RPC11-CLG-1130_3_-Proposed_changes_to_Part_L_of_the_Building_Regulations_2013.pdf" TargetMode="External"/><Relationship Id="rId38" Type="http://schemas.openxmlformats.org/officeDocument/2006/relationships/hyperlink" Target="https://www.gov.uk/government/uploads/system/uploads/attachment_data/file/251177/2013-01-29-RPC12-HSE-12862-Revocation-of-the-Construction-Head-Protection-Regulations-1989.pdf" TargetMode="External"/><Relationship Id="rId46" Type="http://schemas.openxmlformats.org/officeDocument/2006/relationships/hyperlink" Target="http://www.legislation.gov.uk/ukia/2014/298/pdfs/ukia_20140298_en.pdf" TargetMode="External"/><Relationship Id="rId59" Type="http://schemas.openxmlformats.org/officeDocument/2006/relationships/hyperlink" Target="https://www.gov.uk/government/uploads/system/uploads/attachment_data/file/408449/bis-15-64-pubs-statutory-code-and-adjudicator-final-stage-impact-assessment.pdf" TargetMode="External"/><Relationship Id="rId67" Type="http://schemas.openxmlformats.org/officeDocument/2006/relationships/hyperlink" Target="https://www.gov.uk/government/uploads/system/uploads/attachment_data/file/505724/2016-2-11-RPC-3264-BIS__was_1919__Continuity_of_essential_supplies_to_in___.pdf" TargetMode="External"/><Relationship Id="rId20" Type="http://schemas.openxmlformats.org/officeDocument/2006/relationships/hyperlink" Target="https://www.gov.uk/government/publications/the-magenta-book" TargetMode="External"/><Relationship Id="rId41" Type="http://schemas.openxmlformats.org/officeDocument/2006/relationships/hyperlink" Target="https://www.gov.uk/government/uploads/system/uploads/attachment_data/file/373053/RPC11-BIS-1063_5___Orphan_works__IPO__-_IA_f__adj_-_opinion.pdf" TargetMode="External"/><Relationship Id="rId54" Type="http://schemas.openxmlformats.org/officeDocument/2006/relationships/hyperlink" Target="https://www.gov.uk/government/uploads/system/uploads/attachment_data/file/32704/12-1009-consultation-ban-above-cost-payment-surcharges-impact.pdf" TargetMode="External"/><Relationship Id="rId62" Type="http://schemas.openxmlformats.org/officeDocument/2006/relationships/hyperlink" Target="https://www.gov.uk/government/uploads/system/uploads/attachment_data/file/347508/2014-03-27_-_RPC14-DECC-2027_-_Community_right_to_buy_into_renewable_electricity_developments.pdf" TargetMode="External"/><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ecd-ilibrary.org/governance/regulatory-policy-and-behavioural-economics_9789264207851-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9C244-FEFD-4719-B26F-1C6CEC974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83</Pages>
  <Words>28556</Words>
  <Characters>162774</Characters>
  <Application>Microsoft Office Word</Application>
  <DocSecurity>0</DocSecurity>
  <Lines>1356</Lines>
  <Paragraphs>381</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190949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 Ian (RPC)</dc:creator>
  <cp:lastModifiedBy>Morrison Benjamin (Regulatory Policy Committee)</cp:lastModifiedBy>
  <cp:revision>3</cp:revision>
  <cp:lastPrinted>2016-09-14T13:59:00Z</cp:lastPrinted>
  <dcterms:created xsi:type="dcterms:W3CDTF">2016-12-22T13:57:00Z</dcterms:created>
  <dcterms:modified xsi:type="dcterms:W3CDTF">2016-12-22T13:57:00Z</dcterms:modified>
</cp:coreProperties>
</file>