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EF" w:rsidRPr="00B908C0" w:rsidRDefault="00462DEF" w:rsidP="00462DEF">
      <w:pPr>
        <w:rPr>
          <w:b/>
          <w:sz w:val="44"/>
          <w:szCs w:val="44"/>
        </w:rPr>
      </w:pPr>
      <w:bookmarkStart w:id="0" w:name="_GoBack"/>
      <w:bookmarkEnd w:id="0"/>
      <w:r w:rsidRPr="00B908C0">
        <w:rPr>
          <w:b/>
          <w:color w:val="E36C0A" w:themeColor="accent6" w:themeShade="BF"/>
          <w:sz w:val="44"/>
          <w:szCs w:val="44"/>
        </w:rPr>
        <w:t>Impact Assessment Evidence Base</w:t>
      </w:r>
    </w:p>
    <w:p w:rsidR="006A4F96" w:rsidRPr="00011532" w:rsidRDefault="004378C1" w:rsidP="00462DEF">
      <w:pPr>
        <w:rPr>
          <w:b/>
        </w:rPr>
      </w:pPr>
      <w:r w:rsidRPr="00011532">
        <w:t xml:space="preserve">The aim of this section is to provide practical advice on the key building blocks of an impact assessment and highlight RPC expectations on the type and quality of analysis </w:t>
      </w:r>
      <w:r w:rsidR="0051126F" w:rsidRPr="00011532">
        <w:t>expected</w:t>
      </w:r>
      <w:r w:rsidR="00011532">
        <w:t>.</w:t>
      </w:r>
      <w:r w:rsidRPr="00011532">
        <w:t xml:space="preserve"> Whe</w:t>
      </w:r>
      <w:r w:rsidR="00011532">
        <w:t>re</w:t>
      </w:r>
      <w:r w:rsidRPr="00011532">
        <w:t xml:space="preserve"> such expectations differ </w:t>
      </w:r>
      <w:r w:rsidR="00011532">
        <w:t xml:space="preserve">significantly </w:t>
      </w:r>
      <w:r w:rsidRPr="00011532">
        <w:t>between consultation and final stage IA</w:t>
      </w:r>
      <w:r w:rsidR="00011532">
        <w:t>s</w:t>
      </w:r>
      <w:r w:rsidRPr="00011532">
        <w:t>, this is noted and explained throughout the text</w:t>
      </w:r>
      <w:r w:rsidR="00011532">
        <w:t>,</w:t>
      </w:r>
      <w:r w:rsidRPr="00011532">
        <w:t xml:space="preserve"> as far as </w:t>
      </w:r>
      <w:r w:rsidR="00011532">
        <w:t xml:space="preserve">it is </w:t>
      </w:r>
      <w:r w:rsidRPr="00011532">
        <w:t>possible to do so.</w:t>
      </w:r>
    </w:p>
    <w:p w:rsidR="00561401" w:rsidRPr="00B908C0" w:rsidRDefault="00E86AC4" w:rsidP="00561401">
      <w:pPr>
        <w:rPr>
          <w:sz w:val="32"/>
          <w:szCs w:val="32"/>
        </w:rPr>
      </w:pPr>
      <w:r>
        <w:rPr>
          <w:b/>
          <w:color w:val="E36C0A" w:themeColor="accent6" w:themeShade="BF"/>
          <w:sz w:val="32"/>
          <w:szCs w:val="32"/>
        </w:rPr>
        <w:t xml:space="preserve">Section </w:t>
      </w:r>
      <w:r w:rsidR="007E18CE">
        <w:rPr>
          <w:b/>
          <w:color w:val="E36C0A" w:themeColor="accent6" w:themeShade="BF"/>
          <w:sz w:val="32"/>
          <w:szCs w:val="32"/>
        </w:rPr>
        <w:t>1</w:t>
      </w:r>
      <w:r>
        <w:rPr>
          <w:b/>
          <w:color w:val="E36C0A" w:themeColor="accent6" w:themeShade="BF"/>
          <w:sz w:val="32"/>
          <w:szCs w:val="32"/>
        </w:rPr>
        <w:t>:</w:t>
      </w:r>
      <w:r w:rsidR="006A4F96" w:rsidRPr="00B908C0">
        <w:rPr>
          <w:b/>
          <w:color w:val="E36C0A" w:themeColor="accent6" w:themeShade="BF"/>
          <w:sz w:val="32"/>
          <w:szCs w:val="32"/>
        </w:rPr>
        <w:t xml:space="preserve"> </w:t>
      </w:r>
      <w:r w:rsidR="00561401" w:rsidRPr="00B908C0">
        <w:rPr>
          <w:b/>
          <w:color w:val="E36C0A" w:themeColor="accent6" w:themeShade="BF"/>
          <w:sz w:val="32"/>
          <w:szCs w:val="32"/>
        </w:rPr>
        <w:t>Problem under consideration</w:t>
      </w:r>
    </w:p>
    <w:p w:rsidR="00BB0884" w:rsidRPr="00B908C0" w:rsidRDefault="00FA7154" w:rsidP="00BB0884">
      <w:pPr>
        <w:keepNext/>
        <w:keepLines/>
        <w:spacing w:before="200" w:after="0"/>
        <w:outlineLvl w:val="1"/>
        <w:rPr>
          <w:rFonts w:eastAsiaTheme="majorEastAsia" w:cstheme="minorHAnsi"/>
          <w:b/>
          <w:bCs/>
          <w:color w:val="984806" w:themeColor="accent6" w:themeShade="80"/>
          <w:sz w:val="28"/>
          <w:szCs w:val="28"/>
        </w:rPr>
      </w:pPr>
      <w:r>
        <w:rPr>
          <w:rFonts w:eastAsiaTheme="majorEastAsia" w:cstheme="minorHAnsi"/>
          <w:b/>
          <w:bCs/>
          <w:color w:val="984806" w:themeColor="accent6" w:themeShade="80"/>
          <w:sz w:val="28"/>
          <w:szCs w:val="28"/>
        </w:rPr>
        <w:t xml:space="preserve">1.1 </w:t>
      </w:r>
      <w:r w:rsidR="00BB0884" w:rsidRPr="00B908C0">
        <w:rPr>
          <w:rFonts w:eastAsiaTheme="majorEastAsia" w:cstheme="minorHAnsi"/>
          <w:b/>
          <w:bCs/>
          <w:color w:val="984806" w:themeColor="accent6" w:themeShade="80"/>
          <w:sz w:val="28"/>
          <w:szCs w:val="28"/>
        </w:rPr>
        <w:t>Establishi</w:t>
      </w:r>
      <w:r w:rsidR="00412F7F">
        <w:rPr>
          <w:rFonts w:eastAsiaTheme="majorEastAsia" w:cstheme="minorHAnsi"/>
          <w:b/>
          <w:bCs/>
          <w:color w:val="984806" w:themeColor="accent6" w:themeShade="80"/>
          <w:sz w:val="28"/>
          <w:szCs w:val="28"/>
        </w:rPr>
        <w:t xml:space="preserve">ng the problem </w:t>
      </w:r>
      <w:r w:rsidR="00C81D99">
        <w:rPr>
          <w:rFonts w:eastAsiaTheme="majorEastAsia" w:cstheme="minorHAnsi"/>
          <w:b/>
          <w:bCs/>
          <w:color w:val="984806" w:themeColor="accent6" w:themeShade="80"/>
          <w:sz w:val="28"/>
          <w:szCs w:val="28"/>
        </w:rPr>
        <w:t xml:space="preserve">and rationale for regulation </w:t>
      </w:r>
    </w:p>
    <w:p w:rsidR="00BB0884" w:rsidRPr="00BB0884" w:rsidRDefault="00BB0884" w:rsidP="00BB0884">
      <w:pPr>
        <w:spacing w:after="0" w:line="240" w:lineRule="auto"/>
      </w:pPr>
    </w:p>
    <w:p w:rsidR="00F34E6B" w:rsidRDefault="00BB0884" w:rsidP="007E18CE">
      <w:pPr>
        <w:spacing w:after="0"/>
        <w:rPr>
          <w:sz w:val="24"/>
          <w:szCs w:val="24"/>
        </w:rPr>
      </w:pPr>
      <w:r w:rsidRPr="00D92A4C">
        <w:rPr>
          <w:sz w:val="24"/>
          <w:szCs w:val="24"/>
        </w:rPr>
        <w:t xml:space="preserve">One of the first aspects of a </w:t>
      </w:r>
      <w:r w:rsidRPr="00D92A4C">
        <w:rPr>
          <w:sz w:val="24"/>
          <w:szCs w:val="24"/>
          <w:u w:val="single"/>
        </w:rPr>
        <w:t>consultation stage full IA</w:t>
      </w:r>
      <w:r w:rsidRPr="00D92A4C">
        <w:rPr>
          <w:sz w:val="24"/>
          <w:szCs w:val="24"/>
        </w:rPr>
        <w:t xml:space="preserve"> the RPC concentrates on is the depart</w:t>
      </w:r>
      <w:r w:rsidR="00B652E4">
        <w:rPr>
          <w:sz w:val="24"/>
          <w:szCs w:val="24"/>
        </w:rPr>
        <w:t>ment</w:t>
      </w:r>
      <w:r w:rsidR="00011532">
        <w:rPr>
          <w:sz w:val="24"/>
          <w:szCs w:val="24"/>
        </w:rPr>
        <w:t>’</w:t>
      </w:r>
      <w:r w:rsidR="00B652E4">
        <w:rPr>
          <w:sz w:val="24"/>
          <w:szCs w:val="24"/>
        </w:rPr>
        <w:t>s answer to the question:</w:t>
      </w:r>
      <w:r w:rsidR="00F2606D" w:rsidRPr="00D92A4C">
        <w:rPr>
          <w:sz w:val="24"/>
          <w:szCs w:val="24"/>
        </w:rPr>
        <w:t xml:space="preserve"> </w:t>
      </w:r>
      <w:r w:rsidR="00F2606D" w:rsidRPr="00D92A4C">
        <w:rPr>
          <w:i/>
          <w:sz w:val="24"/>
          <w:szCs w:val="24"/>
        </w:rPr>
        <w:t>“W</w:t>
      </w:r>
      <w:r w:rsidRPr="00D92A4C">
        <w:rPr>
          <w:i/>
          <w:sz w:val="24"/>
          <w:szCs w:val="24"/>
        </w:rPr>
        <w:t>hat is the problem the proposal is seeking to address?”</w:t>
      </w:r>
      <w:r w:rsidR="00B652E4">
        <w:rPr>
          <w:i/>
          <w:sz w:val="24"/>
          <w:szCs w:val="24"/>
        </w:rPr>
        <w:t xml:space="preserve"> </w:t>
      </w:r>
      <w:r w:rsidR="00B652E4">
        <w:rPr>
          <w:sz w:val="24"/>
          <w:szCs w:val="24"/>
        </w:rPr>
        <w:t>The RPC would expect departments to</w:t>
      </w:r>
      <w:r w:rsidR="00F34E6B">
        <w:rPr>
          <w:sz w:val="24"/>
          <w:szCs w:val="24"/>
        </w:rPr>
        <w:t>:</w:t>
      </w:r>
    </w:p>
    <w:p w:rsidR="00F34E6B" w:rsidRPr="00F34E6B" w:rsidRDefault="00F34E6B" w:rsidP="007E18CE">
      <w:pPr>
        <w:spacing w:after="0"/>
        <w:rPr>
          <w:i/>
          <w:sz w:val="24"/>
          <w:szCs w:val="24"/>
        </w:rPr>
      </w:pPr>
    </w:p>
    <w:p w:rsidR="00EB767D" w:rsidRPr="00EB767D" w:rsidRDefault="00B652E4" w:rsidP="00A864AC">
      <w:pPr>
        <w:pStyle w:val="ListParagraph"/>
        <w:numPr>
          <w:ilvl w:val="0"/>
          <w:numId w:val="24"/>
        </w:numPr>
        <w:spacing w:after="240"/>
        <w:ind w:left="1077"/>
        <w:rPr>
          <w:i/>
          <w:sz w:val="24"/>
          <w:szCs w:val="24"/>
        </w:rPr>
      </w:pPr>
      <w:r w:rsidRPr="00EB767D">
        <w:rPr>
          <w:b/>
          <w:sz w:val="24"/>
          <w:szCs w:val="24"/>
        </w:rPr>
        <w:t xml:space="preserve">articulate </w:t>
      </w:r>
      <w:r w:rsidR="00011532">
        <w:rPr>
          <w:b/>
          <w:sz w:val="24"/>
          <w:szCs w:val="24"/>
        </w:rPr>
        <w:t>clearly</w:t>
      </w:r>
      <w:r w:rsidRPr="00EB767D">
        <w:rPr>
          <w:b/>
          <w:sz w:val="24"/>
          <w:szCs w:val="24"/>
        </w:rPr>
        <w:t xml:space="preserve"> the evidence </w:t>
      </w:r>
      <w:r w:rsidR="00011532">
        <w:rPr>
          <w:b/>
          <w:sz w:val="24"/>
          <w:szCs w:val="24"/>
        </w:rPr>
        <w:t>for there</w:t>
      </w:r>
      <w:r w:rsidRPr="00EB767D">
        <w:rPr>
          <w:b/>
          <w:sz w:val="24"/>
          <w:szCs w:val="24"/>
        </w:rPr>
        <w:t xml:space="preserve"> </w:t>
      </w:r>
      <w:r w:rsidR="00011532">
        <w:rPr>
          <w:b/>
          <w:sz w:val="24"/>
          <w:szCs w:val="24"/>
        </w:rPr>
        <w:t>being</w:t>
      </w:r>
      <w:r w:rsidRPr="00EB767D">
        <w:rPr>
          <w:b/>
          <w:sz w:val="24"/>
          <w:szCs w:val="24"/>
        </w:rPr>
        <w:t xml:space="preserve"> a problem that needs </w:t>
      </w:r>
      <w:r w:rsidR="00D50282">
        <w:rPr>
          <w:b/>
          <w:sz w:val="24"/>
          <w:szCs w:val="24"/>
        </w:rPr>
        <w:t>addressing</w:t>
      </w:r>
      <w:r w:rsidRPr="00EB767D">
        <w:rPr>
          <w:sz w:val="24"/>
          <w:szCs w:val="24"/>
        </w:rPr>
        <w:t xml:space="preserve"> </w:t>
      </w:r>
    </w:p>
    <w:p w:rsidR="00EB767D" w:rsidRPr="00EB767D" w:rsidRDefault="00EB767D" w:rsidP="00EB767D">
      <w:pPr>
        <w:pStyle w:val="ListParagraph"/>
        <w:spacing w:after="240"/>
        <w:ind w:left="1077"/>
        <w:rPr>
          <w:i/>
          <w:sz w:val="8"/>
          <w:szCs w:val="8"/>
        </w:rPr>
      </w:pPr>
    </w:p>
    <w:p w:rsidR="00F34E6B" w:rsidRDefault="00B652E4" w:rsidP="00EB767D">
      <w:pPr>
        <w:pStyle w:val="ListParagraph"/>
        <w:spacing w:after="240"/>
        <w:ind w:left="1077"/>
        <w:rPr>
          <w:i/>
          <w:sz w:val="24"/>
          <w:szCs w:val="24"/>
        </w:rPr>
      </w:pPr>
      <w:r w:rsidRPr="00EB767D">
        <w:rPr>
          <w:i/>
          <w:sz w:val="24"/>
          <w:szCs w:val="24"/>
        </w:rPr>
        <w:t xml:space="preserve">and </w:t>
      </w:r>
    </w:p>
    <w:p w:rsidR="00EB767D" w:rsidRPr="00EB767D" w:rsidRDefault="00EB767D" w:rsidP="00EB767D">
      <w:pPr>
        <w:pStyle w:val="ListParagraph"/>
        <w:spacing w:after="240"/>
        <w:ind w:left="1077"/>
        <w:rPr>
          <w:i/>
          <w:sz w:val="8"/>
          <w:szCs w:val="8"/>
        </w:rPr>
      </w:pPr>
    </w:p>
    <w:p w:rsidR="00BB0884" w:rsidRPr="00EB767D" w:rsidRDefault="00B652E4" w:rsidP="00A864AC">
      <w:pPr>
        <w:pStyle w:val="ListParagraph"/>
        <w:numPr>
          <w:ilvl w:val="0"/>
          <w:numId w:val="24"/>
        </w:numPr>
        <w:spacing w:after="0"/>
        <w:rPr>
          <w:b/>
          <w:sz w:val="24"/>
          <w:szCs w:val="24"/>
        </w:rPr>
      </w:pPr>
      <w:r w:rsidRPr="00EB767D">
        <w:rPr>
          <w:b/>
          <w:sz w:val="24"/>
          <w:szCs w:val="24"/>
        </w:rPr>
        <w:t>the evidence that this problem will not be corrected by market forces alone.</w:t>
      </w:r>
    </w:p>
    <w:p w:rsidR="00BB0884" w:rsidRPr="00D92A4C" w:rsidRDefault="00BB0884" w:rsidP="007E18CE">
      <w:pPr>
        <w:spacing w:after="0"/>
        <w:rPr>
          <w:sz w:val="24"/>
          <w:szCs w:val="24"/>
        </w:rPr>
      </w:pPr>
    </w:p>
    <w:p w:rsidR="003213FB" w:rsidRPr="00645493" w:rsidRDefault="00F2606D" w:rsidP="00D71479">
      <w:pPr>
        <w:spacing w:after="0"/>
        <w:rPr>
          <w:i/>
          <w:sz w:val="24"/>
          <w:szCs w:val="24"/>
        </w:rPr>
      </w:pPr>
      <w:r w:rsidRPr="00D92A4C">
        <w:rPr>
          <w:sz w:val="24"/>
          <w:szCs w:val="24"/>
        </w:rPr>
        <w:t xml:space="preserve">Both </w:t>
      </w:r>
      <w:hyperlink r:id="rId9" w:history="1">
        <w:r w:rsidR="004378C1">
          <w:rPr>
            <w:rFonts w:eastAsia="Times New Roman" w:cstheme="minorHAnsi"/>
            <w:color w:val="0000FF"/>
            <w:sz w:val="24"/>
            <w:szCs w:val="24"/>
            <w:u w:val="single"/>
            <w:lang w:eastAsia="en-GB"/>
          </w:rPr>
          <w:t>t</w:t>
        </w:r>
        <w:r w:rsidR="004378C1" w:rsidRPr="00D92A4C">
          <w:rPr>
            <w:rFonts w:eastAsia="Times New Roman" w:cstheme="minorHAnsi"/>
            <w:color w:val="0000FF"/>
            <w:sz w:val="24"/>
            <w:szCs w:val="24"/>
            <w:u w:val="single"/>
            <w:lang w:eastAsia="en-GB"/>
          </w:rPr>
          <w:t>he Green Book</w:t>
        </w:r>
      </w:hyperlink>
      <w:r w:rsidR="004378C1">
        <w:rPr>
          <w:sz w:val="24"/>
          <w:szCs w:val="24"/>
        </w:rPr>
        <w:t xml:space="preserve"> </w:t>
      </w:r>
      <w:r w:rsidR="00BB0884" w:rsidRPr="00D92A4C">
        <w:rPr>
          <w:sz w:val="24"/>
          <w:szCs w:val="24"/>
        </w:rPr>
        <w:t xml:space="preserve">and </w:t>
      </w:r>
      <w:r w:rsidRPr="00D92A4C">
        <w:rPr>
          <w:sz w:val="24"/>
          <w:szCs w:val="24"/>
        </w:rPr>
        <w:t xml:space="preserve">the </w:t>
      </w:r>
      <w:r w:rsidR="00BB0884" w:rsidRPr="00D92A4C">
        <w:rPr>
          <w:sz w:val="24"/>
          <w:szCs w:val="24"/>
        </w:rPr>
        <w:t xml:space="preserve">IA tool kit provide </w:t>
      </w:r>
      <w:r w:rsidR="00F34E6B">
        <w:rPr>
          <w:sz w:val="24"/>
          <w:szCs w:val="24"/>
        </w:rPr>
        <w:t>detailed</w:t>
      </w:r>
      <w:r w:rsidR="00BB0884" w:rsidRPr="00D92A4C">
        <w:rPr>
          <w:sz w:val="24"/>
          <w:szCs w:val="24"/>
        </w:rPr>
        <w:t xml:space="preserve"> guidance on the types of issues that can affect the ability of markets to allocate scarce resources efficiently. Both documents also highlight that equity concerns and other social welfare objectives can act as drivers for government intervention.</w:t>
      </w:r>
      <w:r w:rsidR="00B652E4">
        <w:rPr>
          <w:sz w:val="24"/>
          <w:szCs w:val="24"/>
        </w:rPr>
        <w:t xml:space="preserve"> </w:t>
      </w:r>
      <w:r w:rsidR="003213FB" w:rsidRPr="000D15C7">
        <w:rPr>
          <w:rFonts w:cstheme="minorHAnsi"/>
          <w:sz w:val="24"/>
          <w:szCs w:val="24"/>
        </w:rPr>
        <w:t>The Green Book states</w:t>
      </w:r>
      <w:r w:rsidR="00645493">
        <w:rPr>
          <w:rFonts w:cstheme="minorHAnsi"/>
          <w:sz w:val="24"/>
          <w:szCs w:val="24"/>
        </w:rPr>
        <w:t>:</w:t>
      </w:r>
      <w:r w:rsidR="003213FB" w:rsidRPr="000D15C7">
        <w:rPr>
          <w:rFonts w:cstheme="minorHAnsi"/>
          <w:sz w:val="24"/>
          <w:szCs w:val="24"/>
        </w:rPr>
        <w:t xml:space="preserve"> </w:t>
      </w:r>
      <w:r w:rsidR="003213FB" w:rsidRPr="00645493">
        <w:rPr>
          <w:rFonts w:cstheme="minorHAnsi"/>
          <w:i/>
          <w:sz w:val="24"/>
          <w:szCs w:val="24"/>
        </w:rPr>
        <w:t>“this underlying rationale is usually founded either in market failure or where there are clear government distributional objectives that need to be met.”</w:t>
      </w:r>
    </w:p>
    <w:p w:rsidR="003213FB" w:rsidRDefault="003213FB" w:rsidP="00D71479">
      <w:pPr>
        <w:spacing w:after="0"/>
        <w:rPr>
          <w:sz w:val="24"/>
          <w:szCs w:val="24"/>
        </w:rPr>
      </w:pPr>
    </w:p>
    <w:p w:rsidR="00EE1897" w:rsidRPr="00CC5C7A" w:rsidRDefault="00BB0884" w:rsidP="00EE1897">
      <w:pPr>
        <w:spacing w:after="0"/>
        <w:rPr>
          <w:rFonts w:cstheme="minorHAnsi"/>
          <w:sz w:val="24"/>
          <w:szCs w:val="24"/>
        </w:rPr>
      </w:pPr>
      <w:r w:rsidRPr="00D92A4C">
        <w:rPr>
          <w:sz w:val="24"/>
          <w:szCs w:val="24"/>
        </w:rPr>
        <w:t xml:space="preserve">The RPC recognises all these arguments. The RPC finds it preferable if the problem being addressed can be established and articulated using these types of conceptual frameworks. </w:t>
      </w:r>
      <w:r w:rsidR="00FE704D" w:rsidRPr="00FE704D">
        <w:rPr>
          <w:sz w:val="24"/>
        </w:rPr>
        <w:t xml:space="preserve">Whatever the identified problem is, evidence should be presented as to its existence and its scale, drawing a distinction between perception and reality where the two diverge.  </w:t>
      </w:r>
    </w:p>
    <w:p w:rsidR="00645493" w:rsidRDefault="00645493" w:rsidP="00D71479">
      <w:pPr>
        <w:spacing w:after="0"/>
        <w:rPr>
          <w:sz w:val="24"/>
        </w:rPr>
      </w:pPr>
    </w:p>
    <w:p w:rsidR="00FE704D" w:rsidRDefault="00132045" w:rsidP="00D71479">
      <w:pPr>
        <w:spacing w:after="0"/>
        <w:rPr>
          <w:b/>
          <w:sz w:val="24"/>
        </w:rPr>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5892800</wp:posOffset>
                </wp:positionH>
                <wp:positionV relativeFrom="paragraph">
                  <wp:posOffset>638810</wp:posOffset>
                </wp:positionV>
                <wp:extent cx="683895" cy="44831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895" cy="448310"/>
                        </a:xfrm>
                        <a:prstGeom prst="rect">
                          <a:avLst/>
                        </a:prstGeom>
                        <a:noFill/>
                        <a:ln w="6350">
                          <a:noFill/>
                        </a:ln>
                        <a:effectLst/>
                      </wps:spPr>
                      <wps:txbx>
                        <w:txbxContent>
                          <w:p w:rsidR="005D7CBE" w:rsidRPr="00F3504F" w:rsidRDefault="005D7CBE" w:rsidP="00ED65B4">
                            <w:pPr>
                              <w:pBdr>
                                <w:top w:val="single" w:sz="4" w:space="1" w:color="FABF8F" w:themeColor="accent6" w:themeTint="99"/>
                                <w:bottom w:val="single" w:sz="4" w:space="1" w:color="FABF8F" w:themeColor="accent6" w:themeTint="99"/>
                              </w:pBdr>
                              <w:spacing w:after="0"/>
                              <w:jc w:val="center"/>
                              <w:rPr>
                                <w:rFonts w:cstheme="minorHAnsi"/>
                                <w:i/>
                                <w:color w:val="E36C0A" w:themeColor="accent6" w:themeShade="BF"/>
                                <w:sz w:val="16"/>
                                <w:szCs w:val="16"/>
                              </w:rPr>
                            </w:pPr>
                            <w:r w:rsidRPr="00F3504F">
                              <w:rPr>
                                <w:rFonts w:cstheme="minorHAnsi"/>
                                <w:b/>
                                <w:i/>
                                <w:color w:val="E36C0A" w:themeColor="accent6" w:themeShade="BF"/>
                                <w:sz w:val="16"/>
                                <w:szCs w:val="16"/>
                              </w:rPr>
                              <w:t>Potential red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4pt;margin-top:50.3pt;width:53.85pt;height:3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" filled="f" stroked="f" strokeweight=".5pt">
                <v:path arrowok="t"/>
                <v:textbox>
                  <w:txbxContent>
                    <w:p w:rsidR="005D7CBE" w:rsidRPr="00F3504F" w:rsidRDefault="005D7CBE" w:rsidP="00ED65B4">
                      <w:pPr>
                        <w:pBdr>
                          <w:top w:val="single" w:sz="4" w:space="1" w:color="FABF8F" w:themeColor="accent6" w:themeTint="99"/>
                          <w:bottom w:val="single" w:sz="4" w:space="1" w:color="FABF8F" w:themeColor="accent6" w:themeTint="99"/>
                        </w:pBdr>
                        <w:spacing w:after="0"/>
                        <w:jc w:val="center"/>
                        <w:rPr>
                          <w:rFonts w:cstheme="minorHAnsi"/>
                          <w:i/>
                          <w:color w:val="E36C0A" w:themeColor="accent6" w:themeShade="BF"/>
                          <w:sz w:val="16"/>
                          <w:szCs w:val="16"/>
                        </w:rPr>
                      </w:pPr>
                      <w:r w:rsidRPr="00F3504F">
                        <w:rPr>
                          <w:rFonts w:cstheme="minorHAnsi"/>
                          <w:b/>
                          <w:i/>
                          <w:color w:val="E36C0A" w:themeColor="accent6" w:themeShade="BF"/>
                          <w:sz w:val="16"/>
                          <w:szCs w:val="16"/>
                        </w:rPr>
                        <w:t>Potential red point</w:t>
                      </w:r>
                    </w:p>
                  </w:txbxContent>
                </v:textbox>
                <w10:wrap type="square"/>
              </v:shape>
            </w:pict>
          </mc:Fallback>
        </mc:AlternateContent>
      </w: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5892800</wp:posOffset>
                </wp:positionH>
                <wp:positionV relativeFrom="paragraph">
                  <wp:posOffset>88265</wp:posOffset>
                </wp:positionV>
                <wp:extent cx="683895" cy="44831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895" cy="448310"/>
                        </a:xfrm>
                        <a:prstGeom prst="rect">
                          <a:avLst/>
                        </a:prstGeom>
                        <a:noFill/>
                        <a:ln w="6350">
                          <a:noFill/>
                        </a:ln>
                        <a:effectLst/>
                      </wps:spPr>
                      <wps:txbx>
                        <w:txbxContent>
                          <w:p w:rsidR="005D7CBE" w:rsidRPr="00F3504F" w:rsidRDefault="005D7CBE" w:rsidP="00ED65B4">
                            <w:pPr>
                              <w:pBdr>
                                <w:top w:val="single" w:sz="4" w:space="1" w:color="FABF8F" w:themeColor="accent6" w:themeTint="99"/>
                                <w:bottom w:val="single" w:sz="4" w:space="1" w:color="FABF8F" w:themeColor="accent6" w:themeTint="99"/>
                              </w:pBdr>
                              <w:spacing w:after="0"/>
                              <w:jc w:val="center"/>
                              <w:rPr>
                                <w:rFonts w:cstheme="minorHAnsi"/>
                                <w:i/>
                                <w:color w:val="E36C0A" w:themeColor="accent6" w:themeShade="BF"/>
                                <w:sz w:val="16"/>
                                <w:szCs w:val="16"/>
                              </w:rPr>
                            </w:pPr>
                            <w:r w:rsidRPr="00F3504F">
                              <w:rPr>
                                <w:rFonts w:cstheme="minorHAnsi"/>
                                <w:b/>
                                <w:i/>
                                <w:color w:val="E36C0A" w:themeColor="accent6" w:themeShade="BF"/>
                                <w:sz w:val="16"/>
                                <w:szCs w:val="16"/>
                              </w:rPr>
                              <w:t>Potential red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464pt;margin-top:6.95pt;width:53.85pt;height:35.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" filled="f" stroked="f" strokeweight=".5pt">
                <v:path arrowok="t"/>
                <v:textbox>
                  <w:txbxContent>
                    <w:p w:rsidR="005D7CBE" w:rsidRPr="00F3504F" w:rsidRDefault="005D7CBE" w:rsidP="00ED65B4">
                      <w:pPr>
                        <w:pBdr>
                          <w:top w:val="single" w:sz="4" w:space="1" w:color="FABF8F" w:themeColor="accent6" w:themeTint="99"/>
                          <w:bottom w:val="single" w:sz="4" w:space="1" w:color="FABF8F" w:themeColor="accent6" w:themeTint="99"/>
                        </w:pBdr>
                        <w:spacing w:after="0"/>
                        <w:jc w:val="center"/>
                        <w:rPr>
                          <w:rFonts w:cstheme="minorHAnsi"/>
                          <w:i/>
                          <w:color w:val="E36C0A" w:themeColor="accent6" w:themeShade="BF"/>
                          <w:sz w:val="16"/>
                          <w:szCs w:val="16"/>
                        </w:rPr>
                      </w:pPr>
                      <w:r w:rsidRPr="00F3504F">
                        <w:rPr>
                          <w:rFonts w:cstheme="minorHAnsi"/>
                          <w:b/>
                          <w:i/>
                          <w:color w:val="E36C0A" w:themeColor="accent6" w:themeShade="BF"/>
                          <w:sz w:val="16"/>
                          <w:szCs w:val="16"/>
                        </w:rPr>
                        <w:t>Potential red point</w:t>
                      </w:r>
                    </w:p>
                  </w:txbxContent>
                </v:textbox>
                <w10:wrap type="square"/>
              </v:shape>
            </w:pict>
          </mc:Fallback>
        </mc:AlternateContent>
      </w:r>
      <w:r w:rsidR="00645493" w:rsidRPr="001D2AC0">
        <w:rPr>
          <w:rFonts w:cstheme="minorHAnsi"/>
          <w:sz w:val="24"/>
          <w:szCs w:val="24"/>
        </w:rPr>
        <w:t>The RPC expects the chosen option to be supported by the analysis. It</w:t>
      </w:r>
      <w:r w:rsidR="00353358">
        <w:rPr>
          <w:rFonts w:cstheme="minorHAnsi"/>
          <w:sz w:val="24"/>
          <w:szCs w:val="24"/>
        </w:rPr>
        <w:t xml:space="preserve"> does not consider </w:t>
      </w:r>
      <w:r w:rsidR="00645493" w:rsidRPr="001D2AC0">
        <w:rPr>
          <w:rFonts w:cstheme="minorHAnsi"/>
          <w:sz w:val="24"/>
          <w:szCs w:val="24"/>
        </w:rPr>
        <w:t xml:space="preserve">that a </w:t>
      </w:r>
      <w:r w:rsidR="00645493" w:rsidRPr="00645493">
        <w:rPr>
          <w:rFonts w:cstheme="minorHAnsi"/>
          <w:sz w:val="24"/>
          <w:szCs w:val="24"/>
        </w:rPr>
        <w:t xml:space="preserve">decision to go ahead with a proposal based on a “ministerial preference” rather than a sound economic rationale, supported by robust evidence of the problem, </w:t>
      </w:r>
      <w:r w:rsidR="00353358">
        <w:rPr>
          <w:rFonts w:cstheme="minorHAnsi"/>
          <w:sz w:val="24"/>
          <w:szCs w:val="24"/>
        </w:rPr>
        <w:t xml:space="preserve">is </w:t>
      </w:r>
      <w:r w:rsidR="00645493" w:rsidRPr="00645493">
        <w:rPr>
          <w:rFonts w:cstheme="minorHAnsi"/>
          <w:sz w:val="24"/>
          <w:szCs w:val="24"/>
        </w:rPr>
        <w:t>sufficient to justify such a policy choice.</w:t>
      </w:r>
      <w:r w:rsidR="00645493">
        <w:rPr>
          <w:sz w:val="24"/>
        </w:rPr>
        <w:t xml:space="preserve"> </w:t>
      </w:r>
      <w:r w:rsidR="00FE704D" w:rsidRPr="000C7970">
        <w:rPr>
          <w:b/>
          <w:sz w:val="24"/>
        </w:rPr>
        <w:t xml:space="preserve"> </w:t>
      </w:r>
      <w:r w:rsidR="00EE1897" w:rsidRPr="000C7970">
        <w:rPr>
          <w:b/>
          <w:sz w:val="24"/>
        </w:rPr>
        <w:t xml:space="preserve">Where a department has not, at consultation stage, clearly identified the existence of a problem </w:t>
      </w:r>
      <w:r w:rsidR="00FE704D" w:rsidRPr="000C7970">
        <w:rPr>
          <w:b/>
          <w:sz w:val="24"/>
        </w:rPr>
        <w:t xml:space="preserve">the RPC reserves the right to issue a red opinion. </w:t>
      </w:r>
      <w:r w:rsidR="000C7970">
        <w:rPr>
          <w:b/>
          <w:sz w:val="24"/>
        </w:rPr>
        <w:t xml:space="preserve"> </w:t>
      </w:r>
    </w:p>
    <w:p w:rsidR="005741B4" w:rsidRDefault="005741B4" w:rsidP="00D71479">
      <w:pPr>
        <w:spacing w:after="0"/>
        <w:rPr>
          <w:b/>
          <w:sz w:val="24"/>
        </w:rPr>
      </w:pPr>
    </w:p>
    <w:p w:rsidR="005741B4" w:rsidRDefault="005741B4" w:rsidP="00D71479">
      <w:pPr>
        <w:spacing w:after="0"/>
        <w:rPr>
          <w:b/>
          <w:color w:val="C00000"/>
          <w:sz w:val="24"/>
        </w:rPr>
      </w:pPr>
    </w:p>
    <w:p w:rsidR="005F0EA8" w:rsidRDefault="005F0EA8" w:rsidP="00D71479">
      <w:pPr>
        <w:spacing w:after="0"/>
        <w:rPr>
          <w:b/>
          <w:color w:val="C00000"/>
          <w:sz w:val="24"/>
        </w:rPr>
      </w:pPr>
    </w:p>
    <w:p w:rsidR="005F0EA8" w:rsidRPr="000C7970" w:rsidRDefault="005F0EA8" w:rsidP="00D71479">
      <w:pPr>
        <w:spacing w:after="0"/>
        <w:rPr>
          <w:b/>
          <w:color w:val="C00000"/>
          <w:sz w:val="24"/>
        </w:rPr>
      </w:pPr>
    </w:p>
    <w:p w:rsidR="005741B4" w:rsidRPr="005741B4" w:rsidRDefault="005741B4" w:rsidP="00636CF8">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rFonts w:ascii="Calibri" w:hAnsi="Calibri" w:cstheme="minorHAnsi"/>
          <w:b/>
          <w:sz w:val="24"/>
          <w:szCs w:val="24"/>
        </w:rPr>
      </w:pPr>
      <w:r w:rsidRPr="005741B4">
        <w:rPr>
          <w:rFonts w:ascii="Calibri" w:hAnsi="Calibri" w:cs="Arial"/>
          <w:b/>
          <w:sz w:val="24"/>
          <w:szCs w:val="24"/>
        </w:rPr>
        <w:lastRenderedPageBreak/>
        <w:t>Retrofitting components to HGVs to reduce vulnerable road user casualties</w:t>
      </w:r>
      <w:r w:rsidRPr="005741B4">
        <w:rPr>
          <w:rFonts w:ascii="Calibri" w:hAnsi="Calibri" w:cstheme="minorHAnsi"/>
          <w:b/>
          <w:sz w:val="24"/>
          <w:szCs w:val="24"/>
        </w:rPr>
        <w:t xml:space="preserve"> (Consultation Stage, Red) (RPC15-DfT-2327): </w:t>
      </w:r>
      <w:r w:rsidRPr="005741B4">
        <w:rPr>
          <w:rFonts w:ascii="Calibri" w:hAnsi="Calibri" w:cstheme="minorHAnsi"/>
          <w:sz w:val="24"/>
          <w:szCs w:val="24"/>
        </w:rPr>
        <w:t xml:space="preserve">The costs and benefits </w:t>
      </w:r>
      <w:r w:rsidR="00636CF8">
        <w:rPr>
          <w:rFonts w:ascii="Calibri" w:hAnsi="Calibri" w:cstheme="minorHAnsi"/>
          <w:sz w:val="24"/>
          <w:szCs w:val="24"/>
        </w:rPr>
        <w:t>were</w:t>
      </w:r>
      <w:r w:rsidRPr="005741B4">
        <w:rPr>
          <w:rFonts w:ascii="Calibri" w:hAnsi="Calibri" w:cstheme="minorHAnsi"/>
          <w:sz w:val="24"/>
          <w:szCs w:val="24"/>
        </w:rPr>
        <w:t xml:space="preserve"> set out </w:t>
      </w:r>
      <w:r w:rsidR="00636CF8">
        <w:rPr>
          <w:rFonts w:ascii="Calibri" w:hAnsi="Calibri" w:cstheme="minorHAnsi"/>
          <w:sz w:val="24"/>
          <w:szCs w:val="24"/>
        </w:rPr>
        <w:t xml:space="preserve">well, especially for a consultation stage IA. </w:t>
      </w:r>
      <w:r w:rsidRPr="005741B4">
        <w:rPr>
          <w:rFonts w:ascii="Calibri" w:hAnsi="Calibri" w:cstheme="minorHAnsi"/>
          <w:sz w:val="24"/>
          <w:szCs w:val="24"/>
        </w:rPr>
        <w:t xml:space="preserve"> However, th</w:t>
      </w:r>
      <w:r w:rsidR="00636CF8">
        <w:rPr>
          <w:rFonts w:ascii="Calibri" w:hAnsi="Calibri" w:cstheme="minorHAnsi"/>
          <w:sz w:val="24"/>
          <w:szCs w:val="24"/>
        </w:rPr>
        <w:t>is indicated that the costs of proposal</w:t>
      </w:r>
      <w:r w:rsidRPr="005741B4">
        <w:rPr>
          <w:rFonts w:ascii="Calibri" w:hAnsi="Calibri" w:cstheme="minorHAnsi"/>
          <w:sz w:val="24"/>
          <w:szCs w:val="24"/>
        </w:rPr>
        <w:t xml:space="preserve"> would </w:t>
      </w:r>
      <w:r w:rsidR="00636CF8">
        <w:rPr>
          <w:rFonts w:ascii="Calibri" w:hAnsi="Calibri" w:cstheme="minorHAnsi"/>
          <w:sz w:val="24"/>
          <w:szCs w:val="24"/>
        </w:rPr>
        <w:t>be greatly in excess of the benefits to society</w:t>
      </w:r>
      <w:r w:rsidRPr="005741B4">
        <w:rPr>
          <w:rFonts w:ascii="Calibri" w:hAnsi="Calibri" w:cstheme="minorHAnsi"/>
          <w:sz w:val="24"/>
          <w:szCs w:val="24"/>
        </w:rPr>
        <w:t>.  The IA recognise</w:t>
      </w:r>
      <w:r w:rsidR="00636CF8">
        <w:rPr>
          <w:rFonts w:ascii="Calibri" w:hAnsi="Calibri" w:cstheme="minorHAnsi"/>
          <w:sz w:val="24"/>
          <w:szCs w:val="24"/>
        </w:rPr>
        <w:t>d this b</w:t>
      </w:r>
      <w:r w:rsidRPr="005741B4">
        <w:rPr>
          <w:rFonts w:ascii="Calibri" w:hAnsi="Calibri" w:cstheme="minorHAnsi"/>
          <w:sz w:val="24"/>
          <w:szCs w:val="24"/>
        </w:rPr>
        <w:t>ut s</w:t>
      </w:r>
      <w:r w:rsidR="00636CF8">
        <w:rPr>
          <w:rFonts w:ascii="Calibri" w:hAnsi="Calibri" w:cstheme="minorHAnsi"/>
          <w:sz w:val="24"/>
          <w:szCs w:val="24"/>
        </w:rPr>
        <w:t>tated</w:t>
      </w:r>
      <w:r w:rsidRPr="005741B4">
        <w:rPr>
          <w:rFonts w:ascii="Calibri" w:hAnsi="Calibri" w:cstheme="minorHAnsi"/>
          <w:sz w:val="24"/>
          <w:szCs w:val="24"/>
        </w:rPr>
        <w:t xml:space="preserve"> </w:t>
      </w:r>
      <w:r w:rsidR="00636CF8">
        <w:rPr>
          <w:rFonts w:ascii="Calibri" w:hAnsi="Calibri" w:cstheme="minorHAnsi"/>
          <w:sz w:val="24"/>
          <w:szCs w:val="24"/>
        </w:rPr>
        <w:t>that the preferred option had</w:t>
      </w:r>
      <w:r w:rsidRPr="005741B4">
        <w:rPr>
          <w:rFonts w:ascii="Calibri" w:hAnsi="Calibri" w:cstheme="minorHAnsi"/>
          <w:sz w:val="24"/>
          <w:szCs w:val="24"/>
        </w:rPr>
        <w:t xml:space="preserve"> the </w:t>
      </w:r>
      <w:r w:rsidR="00636CF8">
        <w:rPr>
          <w:rFonts w:ascii="Calibri" w:hAnsi="Calibri" w:cstheme="minorHAnsi"/>
          <w:sz w:val="24"/>
          <w:szCs w:val="24"/>
        </w:rPr>
        <w:t>“</w:t>
      </w:r>
      <w:r w:rsidRPr="005741B4">
        <w:rPr>
          <w:rFonts w:ascii="Calibri" w:hAnsi="Calibri" w:cstheme="minorHAnsi"/>
          <w:sz w:val="24"/>
          <w:szCs w:val="24"/>
        </w:rPr>
        <w:t>potential to increase safety of vulnerable road users in line with Ministerial imperatives to increase road safety</w:t>
      </w:r>
      <w:r w:rsidR="00636CF8">
        <w:rPr>
          <w:rFonts w:ascii="Calibri" w:hAnsi="Calibri" w:cstheme="minorHAnsi"/>
          <w:sz w:val="24"/>
          <w:szCs w:val="24"/>
        </w:rPr>
        <w:t>”</w:t>
      </w:r>
      <w:r w:rsidRPr="005741B4">
        <w:rPr>
          <w:rFonts w:ascii="Calibri" w:hAnsi="Calibri" w:cstheme="minorHAnsi"/>
          <w:sz w:val="24"/>
          <w:szCs w:val="24"/>
        </w:rPr>
        <w:t>. The RPC does not comment on policy decisions, but consider</w:t>
      </w:r>
      <w:r w:rsidR="00636CF8">
        <w:rPr>
          <w:rFonts w:ascii="Calibri" w:hAnsi="Calibri" w:cstheme="minorHAnsi"/>
          <w:sz w:val="24"/>
          <w:szCs w:val="24"/>
        </w:rPr>
        <w:t>ed</w:t>
      </w:r>
      <w:r w:rsidRPr="005741B4">
        <w:rPr>
          <w:rFonts w:ascii="Calibri" w:hAnsi="Calibri" w:cstheme="minorHAnsi"/>
          <w:sz w:val="24"/>
          <w:szCs w:val="24"/>
        </w:rPr>
        <w:t xml:space="preserve"> </w:t>
      </w:r>
      <w:r w:rsidR="00636CF8">
        <w:rPr>
          <w:rFonts w:ascii="Calibri" w:hAnsi="Calibri" w:cstheme="minorHAnsi"/>
          <w:sz w:val="24"/>
          <w:szCs w:val="24"/>
        </w:rPr>
        <w:t xml:space="preserve">that </w:t>
      </w:r>
      <w:r w:rsidRPr="005741B4">
        <w:rPr>
          <w:rFonts w:ascii="Calibri" w:hAnsi="Calibri" w:cstheme="minorHAnsi"/>
          <w:sz w:val="24"/>
          <w:szCs w:val="24"/>
        </w:rPr>
        <w:t xml:space="preserve">on this occasion the Department has provided insufficient justification for choosing an option with such a large negative NPV. </w:t>
      </w:r>
    </w:p>
    <w:p w:rsidR="00C5002B" w:rsidRDefault="00C5002B" w:rsidP="00D71479">
      <w:pPr>
        <w:spacing w:after="0"/>
        <w:rPr>
          <w:sz w:val="24"/>
        </w:rPr>
      </w:pPr>
    </w:p>
    <w:p w:rsidR="00FE704D" w:rsidRPr="00FE704D" w:rsidRDefault="00D71479" w:rsidP="00F34E6B">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rFonts w:cstheme="minorHAnsi"/>
          <w:b/>
          <w:sz w:val="24"/>
          <w:szCs w:val="24"/>
        </w:rPr>
      </w:pPr>
      <w:r w:rsidRPr="00FE704D">
        <w:rPr>
          <w:rFonts w:cstheme="minorHAnsi"/>
          <w:b/>
          <w:sz w:val="24"/>
          <w:szCs w:val="24"/>
        </w:rPr>
        <w:t>Ballot thresholds in important public services (Consultation Stage, Red) (RPC15-BIS-2402)</w:t>
      </w:r>
      <w:r w:rsidRPr="00F34E6B">
        <w:rPr>
          <w:rFonts w:cstheme="minorHAnsi"/>
          <w:b/>
          <w:sz w:val="24"/>
          <w:szCs w:val="24"/>
        </w:rPr>
        <w:t xml:space="preserve">: </w:t>
      </w:r>
      <w:r w:rsidR="00645493">
        <w:rPr>
          <w:rFonts w:cstheme="minorHAnsi"/>
          <w:sz w:val="24"/>
          <w:szCs w:val="24"/>
        </w:rPr>
        <w:t xml:space="preserve">In this </w:t>
      </w:r>
      <w:r w:rsidR="005F0EA8">
        <w:rPr>
          <w:rFonts w:cstheme="minorHAnsi"/>
          <w:sz w:val="24"/>
          <w:szCs w:val="24"/>
        </w:rPr>
        <w:t>c</w:t>
      </w:r>
      <w:r w:rsidR="00645493">
        <w:rPr>
          <w:rFonts w:cstheme="minorHAnsi"/>
          <w:sz w:val="24"/>
          <w:szCs w:val="24"/>
        </w:rPr>
        <w:t xml:space="preserve">ase </w:t>
      </w:r>
      <w:r w:rsidR="00645493">
        <w:rPr>
          <w:rFonts w:cstheme="minorHAnsi"/>
          <w:color w:val="000000"/>
          <w:sz w:val="24"/>
          <w:szCs w:val="24"/>
        </w:rPr>
        <w:t>t</w:t>
      </w:r>
      <w:r w:rsidRPr="00F34E6B">
        <w:rPr>
          <w:rFonts w:cstheme="minorHAnsi"/>
          <w:color w:val="000000"/>
          <w:sz w:val="24"/>
          <w:szCs w:val="24"/>
        </w:rPr>
        <w:t xml:space="preserve">he IA </w:t>
      </w:r>
      <w:r w:rsidR="00645493">
        <w:rPr>
          <w:rFonts w:cstheme="minorHAnsi"/>
          <w:color w:val="000000"/>
          <w:sz w:val="24"/>
          <w:szCs w:val="24"/>
        </w:rPr>
        <w:t>did</w:t>
      </w:r>
      <w:r w:rsidRPr="00F34E6B">
        <w:rPr>
          <w:rFonts w:cstheme="minorHAnsi"/>
          <w:color w:val="000000"/>
          <w:sz w:val="24"/>
          <w:szCs w:val="24"/>
        </w:rPr>
        <w:t xml:space="preserve"> not explain and present the rationale for the proposals in a straightforward and logical way. </w:t>
      </w:r>
      <w:r w:rsidR="00D50282">
        <w:rPr>
          <w:rFonts w:cstheme="minorHAnsi"/>
          <w:color w:val="000000"/>
          <w:sz w:val="24"/>
          <w:szCs w:val="24"/>
        </w:rPr>
        <w:t>T</w:t>
      </w:r>
      <w:r w:rsidRPr="00F34E6B">
        <w:rPr>
          <w:rFonts w:cstheme="minorHAnsi"/>
          <w:color w:val="000000"/>
          <w:sz w:val="24"/>
          <w:szCs w:val="24"/>
        </w:rPr>
        <w:t xml:space="preserve">he RPC </w:t>
      </w:r>
      <w:r w:rsidR="00645493">
        <w:rPr>
          <w:rFonts w:cstheme="minorHAnsi"/>
          <w:color w:val="000000"/>
          <w:sz w:val="24"/>
          <w:szCs w:val="24"/>
        </w:rPr>
        <w:t>did</w:t>
      </w:r>
      <w:r w:rsidRPr="00F34E6B">
        <w:rPr>
          <w:rFonts w:cstheme="minorHAnsi"/>
          <w:color w:val="000000"/>
          <w:sz w:val="24"/>
          <w:szCs w:val="24"/>
        </w:rPr>
        <w:t xml:space="preserve"> not </w:t>
      </w:r>
      <w:r w:rsidR="00D50282">
        <w:rPr>
          <w:rFonts w:cstheme="minorHAnsi"/>
          <w:color w:val="000000"/>
          <w:sz w:val="24"/>
          <w:szCs w:val="24"/>
        </w:rPr>
        <w:t>consider</w:t>
      </w:r>
      <w:r w:rsidRPr="00F34E6B">
        <w:rPr>
          <w:rFonts w:cstheme="minorHAnsi"/>
          <w:color w:val="000000"/>
          <w:sz w:val="24"/>
          <w:szCs w:val="24"/>
        </w:rPr>
        <w:t xml:space="preserve"> that </w:t>
      </w:r>
      <w:r w:rsidR="00645493">
        <w:rPr>
          <w:rFonts w:cstheme="minorHAnsi"/>
          <w:color w:val="000000"/>
          <w:sz w:val="24"/>
          <w:szCs w:val="24"/>
        </w:rPr>
        <w:t>the IA provided</w:t>
      </w:r>
      <w:r w:rsidRPr="00F34E6B">
        <w:rPr>
          <w:rFonts w:cstheme="minorHAnsi"/>
          <w:color w:val="000000"/>
          <w:sz w:val="24"/>
          <w:szCs w:val="24"/>
        </w:rPr>
        <w:t xml:space="preserve"> a clear enough basis for consultation. The Department’s description of the problem </w:t>
      </w:r>
      <w:r w:rsidR="00645493">
        <w:rPr>
          <w:rFonts w:cstheme="minorHAnsi"/>
          <w:color w:val="000000"/>
          <w:sz w:val="24"/>
          <w:szCs w:val="24"/>
        </w:rPr>
        <w:t>was</w:t>
      </w:r>
      <w:r w:rsidRPr="00F34E6B">
        <w:rPr>
          <w:rFonts w:cstheme="minorHAnsi"/>
          <w:color w:val="000000"/>
          <w:sz w:val="24"/>
          <w:szCs w:val="24"/>
        </w:rPr>
        <w:t xml:space="preserve"> extremel</w:t>
      </w:r>
      <w:r w:rsidR="00645493">
        <w:rPr>
          <w:rFonts w:cstheme="minorHAnsi"/>
          <w:color w:val="000000"/>
          <w:sz w:val="24"/>
          <w:szCs w:val="24"/>
        </w:rPr>
        <w:t>y limited and essentially relied</w:t>
      </w:r>
      <w:r w:rsidRPr="00F34E6B">
        <w:rPr>
          <w:rFonts w:cstheme="minorHAnsi"/>
          <w:color w:val="000000"/>
          <w:sz w:val="24"/>
          <w:szCs w:val="24"/>
        </w:rPr>
        <w:t xml:space="preserve"> on the statement that “important public services can have far reaching effects on significant numbers of ordinary people”. While that is clearly the case, the RPC expected more evidence/discussion on this point for a measure of this kind</w:t>
      </w:r>
      <w:r w:rsidR="00495677">
        <w:rPr>
          <w:rFonts w:cstheme="minorHAnsi"/>
          <w:color w:val="000000"/>
          <w:sz w:val="24"/>
          <w:szCs w:val="24"/>
        </w:rPr>
        <w:t>,</w:t>
      </w:r>
      <w:r w:rsidRPr="00F34E6B">
        <w:rPr>
          <w:rFonts w:cstheme="minorHAnsi"/>
          <w:color w:val="000000"/>
          <w:sz w:val="24"/>
          <w:szCs w:val="24"/>
        </w:rPr>
        <w:t xml:space="preserve"> e.g. better assessment of the costs and disruption caused, and its impact on the economy. The Department </w:t>
      </w:r>
      <w:r w:rsidR="00645493">
        <w:rPr>
          <w:rFonts w:cstheme="minorHAnsi"/>
          <w:color w:val="000000"/>
          <w:sz w:val="24"/>
          <w:szCs w:val="24"/>
        </w:rPr>
        <w:t>stated</w:t>
      </w:r>
      <w:r w:rsidRPr="00F34E6B">
        <w:rPr>
          <w:rFonts w:cstheme="minorHAnsi"/>
          <w:color w:val="000000"/>
          <w:sz w:val="24"/>
          <w:szCs w:val="24"/>
        </w:rPr>
        <w:t xml:space="preserve"> that industrial action can raise serious equity considerations and put the provision of public services at risk. </w:t>
      </w:r>
      <w:r w:rsidR="00645493">
        <w:rPr>
          <w:rFonts w:cstheme="minorHAnsi"/>
          <w:color w:val="000000"/>
          <w:sz w:val="24"/>
          <w:szCs w:val="24"/>
        </w:rPr>
        <w:t>In this instance, the RPC felt that the Department needed</w:t>
      </w:r>
      <w:r w:rsidRPr="00F34E6B">
        <w:rPr>
          <w:rFonts w:cstheme="minorHAnsi"/>
          <w:color w:val="000000"/>
          <w:sz w:val="24"/>
          <w:szCs w:val="24"/>
        </w:rPr>
        <w:t xml:space="preserve"> to provide further evidence on the existence and likely scale of this effect. </w:t>
      </w:r>
      <w:r w:rsidR="00F34E6B" w:rsidRPr="00F34E6B">
        <w:rPr>
          <w:rFonts w:cstheme="minorHAnsi"/>
          <w:color w:val="000000"/>
          <w:sz w:val="24"/>
          <w:szCs w:val="24"/>
        </w:rPr>
        <w:t xml:space="preserve"> </w:t>
      </w:r>
      <w:r w:rsidR="00FE704D" w:rsidRPr="00FE704D">
        <w:rPr>
          <w:rFonts w:cstheme="minorHAnsi"/>
          <w:sz w:val="24"/>
          <w:szCs w:val="24"/>
        </w:rPr>
        <w:t>(</w:t>
      </w:r>
      <w:hyperlink r:id="rId10" w:history="1">
        <w:r w:rsidR="00FE704D" w:rsidRPr="00F34E6B">
          <w:rPr>
            <w:rFonts w:cstheme="minorHAnsi"/>
            <w:color w:val="0000FF" w:themeColor="hyperlink"/>
            <w:sz w:val="24"/>
            <w:szCs w:val="24"/>
            <w:u w:val="single"/>
          </w:rPr>
          <w:t>Opinion</w:t>
        </w:r>
      </w:hyperlink>
      <w:r w:rsidR="00FE704D" w:rsidRPr="00FE704D">
        <w:rPr>
          <w:rFonts w:cstheme="minorHAnsi"/>
          <w:sz w:val="24"/>
          <w:szCs w:val="24"/>
        </w:rPr>
        <w:t>)</w:t>
      </w:r>
    </w:p>
    <w:p w:rsidR="00645493" w:rsidRDefault="00645493" w:rsidP="00645493"/>
    <w:p w:rsidR="00BB0884" w:rsidRPr="007E18CE" w:rsidRDefault="00FA7154" w:rsidP="00645493">
      <w:pPr>
        <w:rPr>
          <w:rFonts w:eastAsiaTheme="majorEastAsia" w:cstheme="minorHAnsi"/>
          <w:b/>
          <w:bCs/>
          <w:color w:val="984806" w:themeColor="accent6" w:themeShade="80"/>
          <w:sz w:val="28"/>
          <w:szCs w:val="28"/>
        </w:rPr>
      </w:pPr>
      <w:r>
        <w:rPr>
          <w:rFonts w:eastAsiaTheme="majorEastAsia" w:cstheme="minorHAnsi"/>
          <w:b/>
          <w:bCs/>
          <w:color w:val="984806" w:themeColor="accent6" w:themeShade="80"/>
          <w:sz w:val="28"/>
          <w:szCs w:val="28"/>
        </w:rPr>
        <w:t xml:space="preserve">1.2 </w:t>
      </w:r>
      <w:r w:rsidR="00BB0884" w:rsidRPr="007E18CE">
        <w:rPr>
          <w:rFonts w:eastAsiaTheme="majorEastAsia" w:cstheme="minorHAnsi"/>
          <w:b/>
          <w:bCs/>
          <w:color w:val="984806" w:themeColor="accent6" w:themeShade="80"/>
          <w:sz w:val="28"/>
          <w:szCs w:val="28"/>
        </w:rPr>
        <w:t>Linking the options to the problem</w:t>
      </w:r>
    </w:p>
    <w:p w:rsidR="00461D5F" w:rsidRPr="00461D5F" w:rsidRDefault="00461D5F" w:rsidP="00461D5F">
      <w:pPr>
        <w:spacing w:after="0"/>
        <w:rPr>
          <w:sz w:val="24"/>
          <w:szCs w:val="24"/>
        </w:rPr>
      </w:pPr>
      <w:r w:rsidRPr="00461D5F">
        <w:rPr>
          <w:sz w:val="24"/>
          <w:szCs w:val="24"/>
        </w:rPr>
        <w:t>Once the problem has been established the second question to answer is “</w:t>
      </w:r>
      <w:r w:rsidRPr="00461D5F">
        <w:rPr>
          <w:i/>
          <w:sz w:val="24"/>
          <w:szCs w:val="24"/>
        </w:rPr>
        <w:t>how does each of the proposed interventions address the problem?</w:t>
      </w:r>
      <w:r w:rsidRPr="00461D5F">
        <w:rPr>
          <w:sz w:val="24"/>
          <w:szCs w:val="24"/>
        </w:rPr>
        <w:t>”</w:t>
      </w:r>
    </w:p>
    <w:p w:rsidR="00461D5F" w:rsidRPr="00461D5F" w:rsidRDefault="00461D5F" w:rsidP="00461D5F">
      <w:pPr>
        <w:spacing w:after="0"/>
        <w:rPr>
          <w:sz w:val="24"/>
          <w:szCs w:val="24"/>
        </w:rPr>
      </w:pPr>
    </w:p>
    <w:p w:rsidR="00461D5F" w:rsidRPr="00076491" w:rsidRDefault="00132045" w:rsidP="00461D5F">
      <w:pPr>
        <w:spacing w:after="0"/>
        <w:rPr>
          <w:b/>
          <w:sz w:val="24"/>
          <w:szCs w:val="24"/>
        </w:rPr>
      </w:pPr>
      <w:r>
        <w:rPr>
          <w:noProof/>
          <w:lang w:eastAsia="en-GB"/>
        </w:rPr>
        <mc:AlternateContent>
          <mc:Choice Requires="wps">
            <w:drawing>
              <wp:anchor distT="0" distB="0" distL="114300" distR="114300" simplePos="0" relativeHeight="251681792" behindDoc="0" locked="0" layoutInCell="1" allowOverlap="1" wp14:anchorId="21A30F02" wp14:editId="07838F74">
                <wp:simplePos x="0" y="0"/>
                <wp:positionH relativeFrom="column">
                  <wp:posOffset>-796290</wp:posOffset>
                </wp:positionH>
                <wp:positionV relativeFrom="paragraph">
                  <wp:posOffset>1047750</wp:posOffset>
                </wp:positionV>
                <wp:extent cx="643255" cy="44831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255" cy="448310"/>
                        </a:xfrm>
                        <a:prstGeom prst="rect">
                          <a:avLst/>
                        </a:prstGeom>
                        <a:noFill/>
                        <a:ln w="6350">
                          <a:noFill/>
                        </a:ln>
                        <a:effectLst/>
                      </wps:spPr>
                      <wps:txbx>
                        <w:txbxContent>
                          <w:p w:rsidR="005D7CBE" w:rsidRPr="00ED65B4" w:rsidRDefault="005D7CBE" w:rsidP="00ED65B4">
                            <w:pPr>
                              <w:pBdr>
                                <w:top w:val="single" w:sz="4" w:space="1" w:color="F79646" w:themeColor="accent6"/>
                                <w:bottom w:val="single" w:sz="4" w:space="1" w:color="F79646" w:themeColor="accent6"/>
                              </w:pBdr>
                              <w:spacing w:after="0"/>
                              <w:jc w:val="center"/>
                              <w:rPr>
                                <w:rFonts w:cstheme="minorHAnsi"/>
                                <w:i/>
                                <w:color w:val="E36C0A" w:themeColor="accent6" w:themeShade="BF"/>
                                <w:sz w:val="16"/>
                                <w:szCs w:val="16"/>
                              </w:rPr>
                            </w:pPr>
                            <w:r w:rsidRPr="00ED65B4">
                              <w:rPr>
                                <w:rFonts w:cstheme="minorHAnsi"/>
                                <w:b/>
                                <w:i/>
                                <w:color w:val="E36C0A" w:themeColor="accent6" w:themeShade="BF"/>
                                <w:sz w:val="16"/>
                                <w:szCs w:val="16"/>
                              </w:rPr>
                              <w:t>Potential red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62.7pt;margin-top:82.5pt;width:50.65pt;height:35.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" filled="f" stroked="f" strokeweight=".5pt">
                <v:path arrowok="t"/>
                <v:textbox>
                  <w:txbxContent>
                    <w:p w:rsidR="005D7CBE" w:rsidRPr="00ED65B4" w:rsidRDefault="005D7CBE" w:rsidP="00ED65B4">
                      <w:pPr>
                        <w:pBdr>
                          <w:top w:val="single" w:sz="4" w:space="1" w:color="F79646" w:themeColor="accent6"/>
                          <w:bottom w:val="single" w:sz="4" w:space="1" w:color="F79646" w:themeColor="accent6"/>
                        </w:pBdr>
                        <w:spacing w:after="0"/>
                        <w:jc w:val="center"/>
                        <w:rPr>
                          <w:rFonts w:cstheme="minorHAnsi"/>
                          <w:i/>
                          <w:color w:val="E36C0A" w:themeColor="accent6" w:themeShade="BF"/>
                          <w:sz w:val="16"/>
                          <w:szCs w:val="16"/>
                        </w:rPr>
                      </w:pPr>
                      <w:r w:rsidRPr="00ED65B4">
                        <w:rPr>
                          <w:rFonts w:cstheme="minorHAnsi"/>
                          <w:b/>
                          <w:i/>
                          <w:color w:val="E36C0A" w:themeColor="accent6" w:themeShade="BF"/>
                          <w:sz w:val="16"/>
                          <w:szCs w:val="16"/>
                        </w:rPr>
                        <w:t>Potential red point</w:t>
                      </w:r>
                    </w:p>
                  </w:txbxContent>
                </v:textbox>
                <w10:wrap type="square"/>
              </v:shape>
            </w:pict>
          </mc:Fallback>
        </mc:AlternateContent>
      </w:r>
      <w:r w:rsidR="000C7970">
        <w:rPr>
          <w:b/>
          <w:sz w:val="24"/>
          <w:szCs w:val="24"/>
        </w:rPr>
        <w:t>RPC expects d</w:t>
      </w:r>
      <w:r w:rsidR="00461D5F" w:rsidRPr="00EB767D">
        <w:rPr>
          <w:b/>
          <w:sz w:val="24"/>
          <w:szCs w:val="24"/>
        </w:rPr>
        <w:t xml:space="preserve">epartments </w:t>
      </w:r>
      <w:r w:rsidR="000C7970">
        <w:rPr>
          <w:b/>
          <w:sz w:val="24"/>
          <w:szCs w:val="24"/>
        </w:rPr>
        <w:t xml:space="preserve">to </w:t>
      </w:r>
      <w:r w:rsidR="00461D5F" w:rsidRPr="00EB767D">
        <w:rPr>
          <w:b/>
          <w:sz w:val="24"/>
          <w:szCs w:val="24"/>
        </w:rPr>
        <w:t>explain how, or how not, each of the options presented will provide a partial or complete solution to the problem(s) identified.</w:t>
      </w:r>
      <w:r w:rsidR="00076491">
        <w:rPr>
          <w:b/>
          <w:sz w:val="24"/>
          <w:szCs w:val="24"/>
        </w:rPr>
        <w:t xml:space="preserve"> </w:t>
      </w:r>
      <w:r w:rsidR="000C7970">
        <w:rPr>
          <w:b/>
          <w:sz w:val="24"/>
          <w:szCs w:val="24"/>
        </w:rPr>
        <w:t xml:space="preserve"> </w:t>
      </w:r>
      <w:r w:rsidR="00BB0884" w:rsidRPr="00D92A4C">
        <w:rPr>
          <w:sz w:val="24"/>
          <w:szCs w:val="24"/>
        </w:rPr>
        <w:t>This should involve discussing and comparing the twin priorities of achieving the objectives of the intervention, providing a solution to the problem, but also doing so in</w:t>
      </w:r>
      <w:r w:rsidR="003448C3">
        <w:rPr>
          <w:sz w:val="24"/>
          <w:szCs w:val="24"/>
        </w:rPr>
        <w:t xml:space="preserve"> a way that limits the costs to </w:t>
      </w:r>
      <w:r w:rsidR="00BB0884" w:rsidRPr="00D92A4C">
        <w:rPr>
          <w:sz w:val="24"/>
          <w:szCs w:val="24"/>
        </w:rPr>
        <w:t>business and civil society organisations</w:t>
      </w:r>
      <w:r w:rsidR="00461D5F">
        <w:rPr>
          <w:sz w:val="24"/>
          <w:szCs w:val="24"/>
        </w:rPr>
        <w:t xml:space="preserve"> </w:t>
      </w:r>
      <w:r w:rsidR="00BB0884" w:rsidRPr="00D92A4C">
        <w:rPr>
          <w:sz w:val="24"/>
          <w:szCs w:val="24"/>
        </w:rPr>
        <w:t xml:space="preserve"> </w:t>
      </w:r>
      <w:r w:rsidR="00461D5F" w:rsidRPr="00461D5F">
        <w:rPr>
          <w:sz w:val="24"/>
          <w:szCs w:val="24"/>
        </w:rPr>
        <w:t>as well as maximising any benefits.</w:t>
      </w:r>
      <w:r w:rsidR="00D71479">
        <w:rPr>
          <w:sz w:val="24"/>
          <w:szCs w:val="24"/>
        </w:rPr>
        <w:t xml:space="preserve"> </w:t>
      </w:r>
      <w:r w:rsidR="00461D5F" w:rsidRPr="000C7970">
        <w:rPr>
          <w:b/>
          <w:sz w:val="24"/>
          <w:szCs w:val="24"/>
        </w:rPr>
        <w:t>Where the link between the problem identified and the impacts of the options are not clear</w:t>
      </w:r>
      <w:r w:rsidR="00495677">
        <w:rPr>
          <w:b/>
          <w:sz w:val="24"/>
          <w:szCs w:val="24"/>
        </w:rPr>
        <w:t>,</w:t>
      </w:r>
      <w:r w:rsidR="00461D5F" w:rsidRPr="000C7970">
        <w:rPr>
          <w:b/>
          <w:sz w:val="24"/>
          <w:szCs w:val="24"/>
        </w:rPr>
        <w:t xml:space="preserve"> the RPC reserves the right to issue a not fit for purpose opinion at consultation stage.</w:t>
      </w:r>
      <w:r w:rsidR="00461D5F" w:rsidRPr="00461D5F">
        <w:rPr>
          <w:sz w:val="24"/>
          <w:szCs w:val="24"/>
        </w:rPr>
        <w:t xml:space="preserve"> </w:t>
      </w:r>
    </w:p>
    <w:p w:rsidR="00461D5F" w:rsidRDefault="00461D5F" w:rsidP="00461D5F">
      <w:pPr>
        <w:spacing w:after="0" w:line="240" w:lineRule="auto"/>
        <w:rPr>
          <w:sz w:val="24"/>
          <w:szCs w:val="24"/>
        </w:rPr>
      </w:pPr>
    </w:p>
    <w:p w:rsidR="00412F7F" w:rsidRPr="00613BA3" w:rsidRDefault="00461D5F" w:rsidP="00461D5F">
      <w:pPr>
        <w:pBdr>
          <w:top w:val="single" w:sz="12" w:space="0" w:color="984806" w:themeColor="accent6" w:themeShade="80"/>
          <w:left w:val="single" w:sz="12" w:space="1" w:color="984806" w:themeColor="accent6" w:themeShade="80"/>
          <w:bottom w:val="single" w:sz="12" w:space="1" w:color="984806" w:themeColor="accent6" w:themeShade="80"/>
          <w:right w:val="single" w:sz="12" w:space="1" w:color="984806" w:themeColor="accent6" w:themeShade="80"/>
        </w:pBdr>
        <w:shd w:val="clear" w:color="auto" w:fill="FDE9D9" w:themeFill="accent6" w:themeFillTint="33"/>
        <w:rPr>
          <w:rFonts w:cstheme="minorHAnsi"/>
          <w:color w:val="000000" w:themeColor="text1"/>
          <w:sz w:val="24"/>
          <w:szCs w:val="24"/>
        </w:rPr>
      </w:pPr>
      <w:r w:rsidRPr="00D92A4C">
        <w:rPr>
          <w:rFonts w:cstheme="minorHAnsi"/>
          <w:b/>
          <w:color w:val="000000" w:themeColor="text1"/>
          <w:sz w:val="24"/>
          <w:szCs w:val="24"/>
        </w:rPr>
        <w:t>Gender pay gap</w:t>
      </w:r>
      <w:r>
        <w:rPr>
          <w:rFonts w:cstheme="minorHAnsi"/>
          <w:b/>
          <w:color w:val="000000" w:themeColor="text1"/>
          <w:sz w:val="24"/>
          <w:szCs w:val="24"/>
        </w:rPr>
        <w:t xml:space="preserve"> (Consultation Stage, Red</w:t>
      </w:r>
      <w:r w:rsidRPr="00D92A4C">
        <w:rPr>
          <w:rFonts w:cstheme="minorHAnsi"/>
          <w:b/>
          <w:color w:val="000000" w:themeColor="text1"/>
          <w:sz w:val="24"/>
          <w:szCs w:val="24"/>
        </w:rPr>
        <w:t>)</w:t>
      </w:r>
      <w:r w:rsidR="00D15D6D">
        <w:rPr>
          <w:rFonts w:cstheme="minorHAnsi"/>
          <w:b/>
          <w:color w:val="000000" w:themeColor="text1"/>
          <w:sz w:val="24"/>
          <w:szCs w:val="24"/>
        </w:rPr>
        <w:t xml:space="preserve"> </w:t>
      </w:r>
      <w:r>
        <w:rPr>
          <w:rFonts w:cstheme="minorHAnsi"/>
          <w:b/>
          <w:color w:val="000000" w:themeColor="text1"/>
          <w:sz w:val="24"/>
          <w:szCs w:val="24"/>
        </w:rPr>
        <w:t>(RPC15-GEO-2384)</w:t>
      </w:r>
      <w:r w:rsidRPr="00D92A4C">
        <w:rPr>
          <w:rFonts w:cstheme="minorHAnsi"/>
          <w:b/>
          <w:color w:val="000000" w:themeColor="text1"/>
          <w:sz w:val="24"/>
          <w:szCs w:val="24"/>
        </w:rPr>
        <w:t>:</w:t>
      </w:r>
      <w:r>
        <w:rPr>
          <w:rFonts w:cstheme="minorHAnsi"/>
          <w:b/>
          <w:color w:val="000000" w:themeColor="text1"/>
          <w:sz w:val="24"/>
          <w:szCs w:val="24"/>
        </w:rPr>
        <w:t xml:space="preserve"> </w:t>
      </w:r>
      <w:r w:rsidRPr="00B46353">
        <w:rPr>
          <w:rFonts w:cstheme="minorHAnsi"/>
          <w:color w:val="000000" w:themeColor="text1"/>
          <w:sz w:val="24"/>
          <w:szCs w:val="24"/>
        </w:rPr>
        <w:t xml:space="preserve">the proposal </w:t>
      </w:r>
      <w:r w:rsidR="00495677">
        <w:rPr>
          <w:rFonts w:cstheme="minorHAnsi"/>
          <w:color w:val="000000" w:themeColor="text1"/>
          <w:sz w:val="24"/>
          <w:szCs w:val="24"/>
        </w:rPr>
        <w:t>wa</w:t>
      </w:r>
      <w:r w:rsidRPr="00B46353">
        <w:rPr>
          <w:rFonts w:cstheme="minorHAnsi"/>
          <w:color w:val="000000" w:themeColor="text1"/>
          <w:sz w:val="24"/>
          <w:szCs w:val="24"/>
        </w:rPr>
        <w:t xml:space="preserve">s </w:t>
      </w:r>
      <w:r w:rsidR="00495677">
        <w:rPr>
          <w:rFonts w:cstheme="minorHAnsi"/>
          <w:color w:val="000000" w:themeColor="text1"/>
          <w:sz w:val="24"/>
          <w:szCs w:val="24"/>
        </w:rPr>
        <w:t xml:space="preserve">to </w:t>
      </w:r>
      <w:r w:rsidRPr="00B46353">
        <w:rPr>
          <w:rFonts w:cstheme="minorHAnsi"/>
          <w:color w:val="000000" w:themeColor="text1"/>
          <w:sz w:val="24"/>
          <w:szCs w:val="24"/>
        </w:rPr>
        <w:t xml:space="preserve">consult on ways of introducing a requirement for business with more than 250 employees to report on their </w:t>
      </w:r>
      <w:r w:rsidR="00495677">
        <w:rPr>
          <w:rFonts w:cstheme="minorHAnsi"/>
          <w:color w:val="000000" w:themeColor="text1"/>
          <w:sz w:val="24"/>
          <w:szCs w:val="24"/>
        </w:rPr>
        <w:t>‘</w:t>
      </w:r>
      <w:r w:rsidRPr="00B46353">
        <w:rPr>
          <w:rFonts w:cstheme="minorHAnsi"/>
          <w:color w:val="000000" w:themeColor="text1"/>
          <w:sz w:val="24"/>
          <w:szCs w:val="24"/>
        </w:rPr>
        <w:t>gender pay gap</w:t>
      </w:r>
      <w:r w:rsidR="00495677">
        <w:rPr>
          <w:rFonts w:cstheme="minorHAnsi"/>
          <w:color w:val="000000" w:themeColor="text1"/>
          <w:sz w:val="24"/>
          <w:szCs w:val="24"/>
        </w:rPr>
        <w:t>’</w:t>
      </w:r>
      <w:r w:rsidRPr="00B46353">
        <w:rPr>
          <w:rFonts w:cstheme="minorHAnsi"/>
          <w:color w:val="000000" w:themeColor="text1"/>
          <w:sz w:val="24"/>
          <w:szCs w:val="24"/>
        </w:rPr>
        <w:t xml:space="preserve">. The Department, in its initial submission, explained that the gender pay gap can be explained by a variety of factors, has </w:t>
      </w:r>
      <w:r w:rsidR="00495677">
        <w:rPr>
          <w:rFonts w:cstheme="minorHAnsi"/>
          <w:color w:val="000000" w:themeColor="text1"/>
          <w:sz w:val="24"/>
          <w:szCs w:val="24"/>
        </w:rPr>
        <w:t>reduced</w:t>
      </w:r>
      <w:r w:rsidRPr="00B46353">
        <w:rPr>
          <w:rFonts w:cstheme="minorHAnsi"/>
          <w:color w:val="000000" w:themeColor="text1"/>
          <w:sz w:val="24"/>
          <w:szCs w:val="24"/>
        </w:rPr>
        <w:t xml:space="preserve"> over time and is zero/negative for people below the age of 39. The initial submission did not explain </w:t>
      </w:r>
      <w:r w:rsidRPr="00B46353">
        <w:rPr>
          <w:rFonts w:cstheme="minorHAnsi"/>
          <w:color w:val="000000" w:themeColor="text1"/>
          <w:sz w:val="24"/>
          <w:szCs w:val="24"/>
        </w:rPr>
        <w:lastRenderedPageBreak/>
        <w:t xml:space="preserve">sufficiently why introducing a requirement to report on pay </w:t>
      </w:r>
      <w:r w:rsidR="00F73D9C">
        <w:rPr>
          <w:rFonts w:cstheme="minorHAnsi"/>
          <w:color w:val="000000" w:themeColor="text1"/>
          <w:sz w:val="24"/>
          <w:szCs w:val="24"/>
        </w:rPr>
        <w:t>by gender</w:t>
      </w:r>
      <w:r w:rsidRPr="00B46353">
        <w:rPr>
          <w:rFonts w:cstheme="minorHAnsi"/>
          <w:color w:val="000000" w:themeColor="text1"/>
          <w:sz w:val="24"/>
          <w:szCs w:val="24"/>
        </w:rPr>
        <w:t xml:space="preserve"> could lead to an increase in the speed of the reduction of </w:t>
      </w:r>
      <w:r w:rsidR="00F73D9C">
        <w:rPr>
          <w:rFonts w:cstheme="minorHAnsi"/>
          <w:color w:val="000000" w:themeColor="text1"/>
          <w:sz w:val="24"/>
          <w:szCs w:val="24"/>
        </w:rPr>
        <w:t>any</w:t>
      </w:r>
      <w:r w:rsidRPr="00B46353">
        <w:rPr>
          <w:rFonts w:cstheme="minorHAnsi"/>
          <w:color w:val="000000" w:themeColor="text1"/>
          <w:sz w:val="24"/>
          <w:szCs w:val="24"/>
        </w:rPr>
        <w:t xml:space="preserve"> pay gap. In a later submission, the Department explained that the intrinsic aim of the policy was to make businesses reflect on internal factors that might contribute towards a pay gap. The reporting requirement was mainly a tool to ensure that businesses are actually undergoing such a review of their internal practices. The later submission received a ‘green’ rating by the RPC.</w:t>
      </w:r>
    </w:p>
    <w:p w:rsidR="00C339DA" w:rsidRDefault="00C339DA" w:rsidP="00461D5F">
      <w:pPr>
        <w:spacing w:after="0"/>
        <w:rPr>
          <w:sz w:val="24"/>
          <w:szCs w:val="24"/>
        </w:rPr>
      </w:pPr>
    </w:p>
    <w:p w:rsidR="00F9261A" w:rsidRPr="00F9261A" w:rsidRDefault="00753694" w:rsidP="00F9261A">
      <w:pPr>
        <w:spacing w:after="0"/>
        <w:rPr>
          <w:rFonts w:cstheme="minorHAnsi"/>
          <w:sz w:val="24"/>
          <w:szCs w:val="24"/>
        </w:rPr>
      </w:pPr>
      <w:r>
        <w:rPr>
          <w:rFonts w:cstheme="minorHAnsi"/>
          <w:sz w:val="24"/>
          <w:szCs w:val="24"/>
        </w:rPr>
        <w:t xml:space="preserve">The RPC looks for a clear statement in </w:t>
      </w:r>
      <w:r w:rsidR="00F9261A" w:rsidRPr="00F9261A">
        <w:rPr>
          <w:rFonts w:cstheme="minorHAnsi"/>
          <w:sz w:val="24"/>
          <w:szCs w:val="24"/>
        </w:rPr>
        <w:t>the IA</w:t>
      </w:r>
      <w:r w:rsidR="00F9261A" w:rsidRPr="00461D5F">
        <w:rPr>
          <w:rFonts w:cstheme="minorHAnsi"/>
          <w:sz w:val="24"/>
          <w:szCs w:val="24"/>
        </w:rPr>
        <w:t xml:space="preserve"> </w:t>
      </w:r>
      <w:r>
        <w:rPr>
          <w:rFonts w:cstheme="minorHAnsi"/>
          <w:sz w:val="24"/>
          <w:szCs w:val="24"/>
        </w:rPr>
        <w:t xml:space="preserve">of </w:t>
      </w:r>
      <w:r w:rsidR="00F9261A" w:rsidRPr="00461D5F">
        <w:rPr>
          <w:rFonts w:cstheme="minorHAnsi"/>
          <w:sz w:val="24"/>
          <w:szCs w:val="24"/>
        </w:rPr>
        <w:t>which of the options discussed is preferred or being taken forward</w:t>
      </w:r>
      <w:r>
        <w:rPr>
          <w:rFonts w:cstheme="minorHAnsi"/>
          <w:sz w:val="24"/>
          <w:szCs w:val="24"/>
        </w:rPr>
        <w:t>,</w:t>
      </w:r>
      <w:r w:rsidR="00F9261A" w:rsidRPr="00461D5F">
        <w:rPr>
          <w:rFonts w:cstheme="minorHAnsi"/>
          <w:sz w:val="24"/>
          <w:szCs w:val="24"/>
        </w:rPr>
        <w:t xml:space="preserve"> and a </w:t>
      </w:r>
      <w:r w:rsidR="00F9261A" w:rsidRPr="00F9261A">
        <w:rPr>
          <w:rFonts w:cstheme="minorHAnsi"/>
          <w:sz w:val="24"/>
          <w:szCs w:val="24"/>
        </w:rPr>
        <w:t xml:space="preserve">clear </w:t>
      </w:r>
      <w:r w:rsidR="00F9261A" w:rsidRPr="00461D5F">
        <w:rPr>
          <w:rFonts w:cstheme="minorHAnsi"/>
          <w:sz w:val="24"/>
          <w:szCs w:val="24"/>
        </w:rPr>
        <w:t>justification for this</w:t>
      </w:r>
      <w:r w:rsidR="00F9261A" w:rsidRPr="00F9261A">
        <w:rPr>
          <w:rFonts w:cstheme="minorHAnsi"/>
          <w:sz w:val="24"/>
          <w:szCs w:val="24"/>
        </w:rPr>
        <w:t xml:space="preserve"> choice</w:t>
      </w:r>
      <w:r w:rsidR="00F9261A" w:rsidRPr="00461D5F">
        <w:rPr>
          <w:rFonts w:cstheme="minorHAnsi"/>
          <w:sz w:val="24"/>
          <w:szCs w:val="24"/>
        </w:rPr>
        <w:t xml:space="preserve">. </w:t>
      </w:r>
      <w:r w:rsidR="00F9261A" w:rsidRPr="00461D5F">
        <w:rPr>
          <w:rFonts w:cstheme="minorHAnsi"/>
          <w:b/>
          <w:sz w:val="24"/>
          <w:szCs w:val="24"/>
        </w:rPr>
        <w:t>In most instances</w:t>
      </w:r>
      <w:r w:rsidR="00412F7F">
        <w:rPr>
          <w:rFonts w:cstheme="minorHAnsi"/>
          <w:b/>
          <w:sz w:val="24"/>
          <w:szCs w:val="24"/>
        </w:rPr>
        <w:t>,</w:t>
      </w:r>
      <w:r w:rsidR="00F9261A" w:rsidRPr="00461D5F">
        <w:rPr>
          <w:rFonts w:cstheme="minorHAnsi"/>
          <w:b/>
          <w:sz w:val="24"/>
          <w:szCs w:val="24"/>
        </w:rPr>
        <w:t xml:space="preserve"> this will be on the basis that the appraisal suggest</w:t>
      </w:r>
      <w:r w:rsidR="004E57CE">
        <w:rPr>
          <w:rFonts w:cstheme="minorHAnsi"/>
          <w:b/>
          <w:sz w:val="24"/>
          <w:szCs w:val="24"/>
        </w:rPr>
        <w:t>s that</w:t>
      </w:r>
      <w:r w:rsidR="00F9261A" w:rsidRPr="00461D5F">
        <w:rPr>
          <w:rFonts w:cstheme="minorHAnsi"/>
          <w:b/>
          <w:sz w:val="24"/>
          <w:szCs w:val="24"/>
        </w:rPr>
        <w:t xml:space="preserve"> </w:t>
      </w:r>
      <w:r w:rsidR="00F9261A" w:rsidRPr="00F9261A">
        <w:rPr>
          <w:rFonts w:cstheme="minorHAnsi"/>
          <w:b/>
          <w:sz w:val="24"/>
          <w:szCs w:val="24"/>
        </w:rPr>
        <w:t xml:space="preserve">such </w:t>
      </w:r>
      <w:r w:rsidR="004E57CE">
        <w:rPr>
          <w:rFonts w:cstheme="minorHAnsi"/>
          <w:b/>
          <w:sz w:val="24"/>
          <w:szCs w:val="24"/>
        </w:rPr>
        <w:t xml:space="preserve">an </w:t>
      </w:r>
      <w:r w:rsidR="00F9261A" w:rsidRPr="00F9261A">
        <w:rPr>
          <w:rFonts w:cstheme="minorHAnsi"/>
          <w:b/>
          <w:sz w:val="24"/>
          <w:szCs w:val="24"/>
        </w:rPr>
        <w:t>option is likely to</w:t>
      </w:r>
      <w:r w:rsidR="00F9261A" w:rsidRPr="00461D5F">
        <w:rPr>
          <w:rFonts w:cstheme="minorHAnsi"/>
          <w:b/>
          <w:sz w:val="24"/>
          <w:szCs w:val="24"/>
        </w:rPr>
        <w:t xml:space="preserve"> be </w:t>
      </w:r>
      <w:r w:rsidR="007D48D8">
        <w:rPr>
          <w:rFonts w:cstheme="minorHAnsi"/>
          <w:b/>
          <w:sz w:val="24"/>
          <w:szCs w:val="24"/>
        </w:rPr>
        <w:t xml:space="preserve">the one </w:t>
      </w:r>
      <w:r w:rsidR="00F9261A" w:rsidRPr="00F9261A">
        <w:rPr>
          <w:rFonts w:cstheme="minorHAnsi"/>
          <w:b/>
          <w:sz w:val="24"/>
          <w:szCs w:val="24"/>
        </w:rPr>
        <w:t>with the highest net present value (NPV)</w:t>
      </w:r>
      <w:r w:rsidR="007D48D8">
        <w:rPr>
          <w:rFonts w:cstheme="minorHAnsi"/>
          <w:b/>
          <w:sz w:val="24"/>
          <w:szCs w:val="24"/>
        </w:rPr>
        <w:t xml:space="preserve">, ie </w:t>
      </w:r>
      <w:r w:rsidR="007D48D8" w:rsidRPr="00461D5F">
        <w:rPr>
          <w:rFonts w:cstheme="minorHAnsi"/>
          <w:b/>
          <w:sz w:val="24"/>
          <w:szCs w:val="24"/>
        </w:rPr>
        <w:t>the most net beneficial or least net costly to society</w:t>
      </w:r>
      <w:r w:rsidR="007D48D8" w:rsidRPr="00F9261A">
        <w:rPr>
          <w:rFonts w:cstheme="minorHAnsi"/>
          <w:b/>
          <w:sz w:val="24"/>
          <w:szCs w:val="24"/>
        </w:rPr>
        <w:t xml:space="preserve"> as a whole</w:t>
      </w:r>
      <w:r w:rsidR="007D48D8">
        <w:rPr>
          <w:rFonts w:cstheme="minorHAnsi"/>
          <w:b/>
          <w:sz w:val="24"/>
          <w:szCs w:val="24"/>
        </w:rPr>
        <w:t>.</w:t>
      </w:r>
    </w:p>
    <w:p w:rsidR="00F9261A" w:rsidRPr="00F9261A" w:rsidRDefault="00F9261A" w:rsidP="00F9261A">
      <w:pPr>
        <w:spacing w:after="0"/>
        <w:rPr>
          <w:rFonts w:cstheme="minorHAnsi"/>
          <w:sz w:val="24"/>
          <w:szCs w:val="24"/>
        </w:rPr>
      </w:pPr>
    </w:p>
    <w:p w:rsidR="00F9261A" w:rsidRPr="00F9261A" w:rsidRDefault="00753694" w:rsidP="00F9261A">
      <w:pPr>
        <w:spacing w:after="0"/>
        <w:rPr>
          <w:rFonts w:cstheme="minorHAnsi"/>
          <w:b/>
          <w:sz w:val="24"/>
          <w:szCs w:val="24"/>
        </w:rPr>
      </w:pPr>
      <w:r>
        <w:rPr>
          <w:rFonts w:cstheme="minorHAnsi"/>
          <w:sz w:val="24"/>
          <w:szCs w:val="24"/>
        </w:rPr>
        <w:t xml:space="preserve">The RPC also recognises that there will be cases where departments </w:t>
      </w:r>
      <w:r w:rsidR="007278E0">
        <w:rPr>
          <w:rFonts w:cstheme="minorHAnsi"/>
          <w:sz w:val="24"/>
          <w:szCs w:val="24"/>
        </w:rPr>
        <w:t xml:space="preserve">can justify </w:t>
      </w:r>
      <w:r w:rsidR="004E57CE">
        <w:rPr>
          <w:rFonts w:cstheme="minorHAnsi"/>
          <w:sz w:val="24"/>
          <w:szCs w:val="24"/>
        </w:rPr>
        <w:t xml:space="preserve">recommending a </w:t>
      </w:r>
      <w:r w:rsidR="007278E0">
        <w:rPr>
          <w:rFonts w:cstheme="minorHAnsi"/>
          <w:sz w:val="24"/>
          <w:szCs w:val="24"/>
        </w:rPr>
        <w:t xml:space="preserve">policy </w:t>
      </w:r>
      <w:r w:rsidR="004E57CE">
        <w:rPr>
          <w:rFonts w:cstheme="minorHAnsi"/>
          <w:sz w:val="24"/>
          <w:szCs w:val="24"/>
        </w:rPr>
        <w:t>option that does not</w:t>
      </w:r>
      <w:r w:rsidR="007278E0">
        <w:rPr>
          <w:rFonts w:cstheme="minorHAnsi"/>
          <w:sz w:val="24"/>
          <w:szCs w:val="24"/>
        </w:rPr>
        <w:t xml:space="preserve"> necessarily</w:t>
      </w:r>
      <w:r w:rsidR="004E57CE">
        <w:rPr>
          <w:rFonts w:cstheme="minorHAnsi"/>
          <w:sz w:val="24"/>
          <w:szCs w:val="24"/>
        </w:rPr>
        <w:t xml:space="preserve"> have</w:t>
      </w:r>
      <w:r w:rsidR="00F9261A" w:rsidRPr="00F9261A">
        <w:rPr>
          <w:rFonts w:cstheme="minorHAnsi"/>
          <w:sz w:val="24"/>
          <w:szCs w:val="24"/>
        </w:rPr>
        <w:t xml:space="preserve"> the highest NPV</w:t>
      </w:r>
      <w:r w:rsidR="007278E0">
        <w:rPr>
          <w:rFonts w:cstheme="minorHAnsi"/>
          <w:sz w:val="24"/>
          <w:szCs w:val="24"/>
        </w:rPr>
        <w:t>. For example, this could be the case</w:t>
      </w:r>
      <w:r w:rsidR="00F9261A" w:rsidRPr="00F9261A">
        <w:rPr>
          <w:rFonts w:cstheme="minorHAnsi"/>
          <w:sz w:val="24"/>
          <w:szCs w:val="24"/>
        </w:rPr>
        <w:t xml:space="preserve"> when the existence and scale of non-monetised benefits can be </w:t>
      </w:r>
      <w:r w:rsidR="007278E0">
        <w:rPr>
          <w:rFonts w:cstheme="minorHAnsi"/>
          <w:sz w:val="24"/>
          <w:szCs w:val="24"/>
        </w:rPr>
        <w:t xml:space="preserve">clearly </w:t>
      </w:r>
      <w:r w:rsidR="00F9261A" w:rsidRPr="00F9261A">
        <w:rPr>
          <w:rFonts w:cstheme="minorHAnsi"/>
          <w:sz w:val="24"/>
          <w:szCs w:val="24"/>
        </w:rPr>
        <w:t>demonstrated.</w:t>
      </w:r>
    </w:p>
    <w:p w:rsidR="00F9261A" w:rsidRPr="00F9261A" w:rsidRDefault="00F9261A" w:rsidP="00F9261A">
      <w:pPr>
        <w:spacing w:after="0"/>
        <w:rPr>
          <w:rFonts w:cstheme="minorHAnsi"/>
          <w:sz w:val="24"/>
          <w:szCs w:val="24"/>
        </w:rPr>
      </w:pPr>
    </w:p>
    <w:p w:rsidR="00F9261A" w:rsidRDefault="00132045" w:rsidP="00412F7F">
      <w:pPr>
        <w:spacing w:after="0"/>
        <w:rPr>
          <w:rFonts w:cstheme="minorHAnsi"/>
          <w:sz w:val="24"/>
          <w:szCs w:val="24"/>
        </w:rPr>
      </w:pPr>
      <w:r>
        <w:rPr>
          <w:noProof/>
          <w:lang w:eastAsia="en-GB"/>
        </w:rPr>
        <mc:AlternateContent>
          <mc:Choice Requires="wps">
            <w:drawing>
              <wp:anchor distT="0" distB="0" distL="114300" distR="114300" simplePos="0" relativeHeight="251683840" behindDoc="0" locked="0" layoutInCell="1" allowOverlap="1" wp14:anchorId="35091894" wp14:editId="3900AE26">
                <wp:simplePos x="0" y="0"/>
                <wp:positionH relativeFrom="column">
                  <wp:posOffset>5902325</wp:posOffset>
                </wp:positionH>
                <wp:positionV relativeFrom="paragraph">
                  <wp:posOffset>118745</wp:posOffset>
                </wp:positionV>
                <wp:extent cx="683895" cy="44831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895" cy="448310"/>
                        </a:xfrm>
                        <a:prstGeom prst="rect">
                          <a:avLst/>
                        </a:prstGeom>
                        <a:noFill/>
                        <a:ln w="6350">
                          <a:noFill/>
                        </a:ln>
                        <a:effectLst/>
                      </wps:spPr>
                      <wps:txbx>
                        <w:txbxContent>
                          <w:p w:rsidR="005D7CBE" w:rsidRPr="00F3504F" w:rsidRDefault="005D7CBE" w:rsidP="007278E0">
                            <w:pPr>
                              <w:pBdr>
                                <w:top w:val="single" w:sz="4" w:space="1" w:color="FABF8F" w:themeColor="accent6" w:themeTint="99"/>
                                <w:bottom w:val="single" w:sz="4" w:space="1" w:color="FABF8F" w:themeColor="accent6" w:themeTint="99"/>
                              </w:pBdr>
                              <w:spacing w:after="0"/>
                              <w:jc w:val="center"/>
                              <w:rPr>
                                <w:rFonts w:cstheme="minorHAnsi"/>
                                <w:i/>
                                <w:color w:val="E36C0A" w:themeColor="accent6" w:themeShade="BF"/>
                                <w:sz w:val="16"/>
                                <w:szCs w:val="16"/>
                              </w:rPr>
                            </w:pPr>
                            <w:r w:rsidRPr="00F3504F">
                              <w:rPr>
                                <w:rFonts w:cstheme="minorHAnsi"/>
                                <w:b/>
                                <w:i/>
                                <w:color w:val="E36C0A" w:themeColor="accent6" w:themeShade="BF"/>
                                <w:sz w:val="16"/>
                                <w:szCs w:val="16"/>
                              </w:rPr>
                              <w:t>Potential red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464.75pt;margin-top:9.35pt;width:53.85pt;height:3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" filled="f" stroked="f" strokeweight=".5pt">
                <v:path arrowok="t"/>
                <v:textbox>
                  <w:txbxContent>
                    <w:p w:rsidR="005D7CBE" w:rsidRPr="00F3504F" w:rsidRDefault="005D7CBE" w:rsidP="007278E0">
                      <w:pPr>
                        <w:pBdr>
                          <w:top w:val="single" w:sz="4" w:space="1" w:color="FABF8F" w:themeColor="accent6" w:themeTint="99"/>
                          <w:bottom w:val="single" w:sz="4" w:space="1" w:color="FABF8F" w:themeColor="accent6" w:themeTint="99"/>
                        </w:pBdr>
                        <w:spacing w:after="0"/>
                        <w:jc w:val="center"/>
                        <w:rPr>
                          <w:rFonts w:cstheme="minorHAnsi"/>
                          <w:i/>
                          <w:color w:val="E36C0A" w:themeColor="accent6" w:themeShade="BF"/>
                          <w:sz w:val="16"/>
                          <w:szCs w:val="16"/>
                        </w:rPr>
                      </w:pPr>
                      <w:r w:rsidRPr="00F3504F">
                        <w:rPr>
                          <w:rFonts w:cstheme="minorHAnsi"/>
                          <w:b/>
                          <w:i/>
                          <w:color w:val="E36C0A" w:themeColor="accent6" w:themeShade="BF"/>
                          <w:sz w:val="16"/>
                          <w:szCs w:val="16"/>
                        </w:rPr>
                        <w:t>Potential red point</w:t>
                      </w:r>
                    </w:p>
                  </w:txbxContent>
                </v:textbox>
                <w10:wrap type="square"/>
              </v:shape>
            </w:pict>
          </mc:Fallback>
        </mc:AlternateContent>
      </w:r>
      <w:r w:rsidR="00412F7F" w:rsidRPr="00F9261A">
        <w:rPr>
          <w:rFonts w:cstheme="minorHAnsi"/>
          <w:sz w:val="24"/>
          <w:szCs w:val="24"/>
        </w:rPr>
        <w:t xml:space="preserve">However, </w:t>
      </w:r>
      <w:r w:rsidR="007278E0">
        <w:rPr>
          <w:rFonts w:cstheme="minorHAnsi"/>
          <w:sz w:val="24"/>
          <w:szCs w:val="24"/>
        </w:rPr>
        <w:t xml:space="preserve">as mentioned earlier, </w:t>
      </w:r>
      <w:r w:rsidR="00412F7F" w:rsidRPr="00F9261A">
        <w:rPr>
          <w:rFonts w:cstheme="minorHAnsi"/>
          <w:sz w:val="24"/>
          <w:szCs w:val="24"/>
        </w:rPr>
        <w:t xml:space="preserve">departments should </w:t>
      </w:r>
      <w:r w:rsidR="007278E0">
        <w:rPr>
          <w:rFonts w:cstheme="minorHAnsi"/>
          <w:sz w:val="24"/>
          <w:szCs w:val="24"/>
        </w:rPr>
        <w:t>remember</w:t>
      </w:r>
      <w:r w:rsidR="00412F7F" w:rsidRPr="00F9261A">
        <w:rPr>
          <w:rFonts w:cstheme="minorHAnsi"/>
          <w:sz w:val="24"/>
          <w:szCs w:val="24"/>
        </w:rPr>
        <w:t xml:space="preserve"> that </w:t>
      </w:r>
      <w:r w:rsidR="00412F7F">
        <w:rPr>
          <w:rFonts w:cstheme="minorHAnsi"/>
          <w:sz w:val="24"/>
          <w:szCs w:val="24"/>
        </w:rPr>
        <w:t>a</w:t>
      </w:r>
      <w:r w:rsidR="00412F7F" w:rsidRPr="00461D5F">
        <w:rPr>
          <w:rFonts w:cstheme="minorHAnsi"/>
          <w:sz w:val="24"/>
          <w:szCs w:val="24"/>
        </w:rPr>
        <w:t xml:space="preserve">ppealing to ministerial priorities is not, on its own, </w:t>
      </w:r>
      <w:r w:rsidR="00F9261A" w:rsidRPr="00461D5F">
        <w:rPr>
          <w:rFonts w:cstheme="minorHAnsi"/>
          <w:sz w:val="24"/>
          <w:szCs w:val="24"/>
        </w:rPr>
        <w:t>a sufficient justification for choosing a policy option not supported by the appraisal</w:t>
      </w:r>
      <w:r w:rsidR="00F9261A" w:rsidRPr="00F9261A">
        <w:rPr>
          <w:rFonts w:cstheme="minorHAnsi"/>
          <w:sz w:val="24"/>
          <w:szCs w:val="24"/>
        </w:rPr>
        <w:t xml:space="preserve"> and evidence</w:t>
      </w:r>
      <w:r w:rsidR="004E57CE">
        <w:rPr>
          <w:rFonts w:cstheme="minorHAnsi"/>
          <w:sz w:val="24"/>
          <w:szCs w:val="24"/>
        </w:rPr>
        <w:t>,</w:t>
      </w:r>
      <w:r w:rsidR="00F9261A" w:rsidRPr="00F9261A">
        <w:rPr>
          <w:rFonts w:cstheme="minorHAnsi"/>
          <w:sz w:val="24"/>
          <w:szCs w:val="24"/>
        </w:rPr>
        <w:t xml:space="preserve"> and hence could not result in a fit for purpose opinion issued by the RPC. </w:t>
      </w:r>
    </w:p>
    <w:p w:rsidR="00D15D6D" w:rsidRPr="00D15D6D" w:rsidRDefault="00D15D6D" w:rsidP="00D15D6D">
      <w:pPr>
        <w:autoSpaceDE w:val="0"/>
        <w:autoSpaceDN w:val="0"/>
        <w:adjustRightInd w:val="0"/>
        <w:spacing w:after="0" w:line="240" w:lineRule="auto"/>
        <w:rPr>
          <w:rFonts w:ascii="Arial" w:hAnsi="Arial" w:cs="Arial"/>
          <w:color w:val="000000"/>
          <w:sz w:val="24"/>
          <w:szCs w:val="24"/>
        </w:rPr>
      </w:pPr>
    </w:p>
    <w:p w:rsidR="00B65AB3" w:rsidRPr="00B65AB3" w:rsidRDefault="00D15D6D" w:rsidP="00B65AB3">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autoSpaceDE w:val="0"/>
        <w:autoSpaceDN w:val="0"/>
        <w:adjustRightInd w:val="0"/>
        <w:spacing w:after="0"/>
        <w:rPr>
          <w:rFonts w:cstheme="minorHAnsi"/>
          <w:i/>
          <w:iCs/>
          <w:color w:val="000000"/>
          <w:sz w:val="24"/>
          <w:szCs w:val="24"/>
        </w:rPr>
      </w:pPr>
      <w:r w:rsidRPr="00C30BC6">
        <w:rPr>
          <w:rFonts w:cstheme="minorHAnsi"/>
          <w:b/>
          <w:sz w:val="24"/>
          <w:szCs w:val="24"/>
        </w:rPr>
        <w:t>Paediatric</w:t>
      </w:r>
      <w:r w:rsidR="009A4680">
        <w:rPr>
          <w:rFonts w:cstheme="minorHAnsi"/>
          <w:b/>
          <w:sz w:val="24"/>
          <w:szCs w:val="24"/>
        </w:rPr>
        <w:t xml:space="preserve"> First Aid </w:t>
      </w:r>
      <w:r w:rsidRPr="00C30BC6">
        <w:rPr>
          <w:rFonts w:cstheme="minorHAnsi"/>
          <w:b/>
          <w:sz w:val="24"/>
          <w:szCs w:val="24"/>
        </w:rPr>
        <w:t xml:space="preserve"> (PFA) in early years provisio</w:t>
      </w:r>
      <w:r w:rsidR="00C30BC6" w:rsidRPr="00C30BC6">
        <w:rPr>
          <w:rFonts w:cstheme="minorHAnsi"/>
          <w:b/>
          <w:sz w:val="24"/>
          <w:szCs w:val="24"/>
        </w:rPr>
        <w:t xml:space="preserve">n (Consultation Stage, Red) (RPC15-DfE-2356): </w:t>
      </w:r>
      <w:r w:rsidR="00B65AB3" w:rsidRPr="00C30BC6">
        <w:rPr>
          <w:rFonts w:cstheme="minorHAnsi"/>
          <w:color w:val="000000"/>
          <w:sz w:val="24"/>
          <w:szCs w:val="24"/>
        </w:rPr>
        <w:t xml:space="preserve">The Department’s proposal </w:t>
      </w:r>
      <w:r w:rsidR="00B65AB3" w:rsidRPr="00B65AB3">
        <w:rPr>
          <w:rFonts w:cstheme="minorHAnsi"/>
          <w:color w:val="000000"/>
          <w:sz w:val="24"/>
          <w:szCs w:val="24"/>
        </w:rPr>
        <w:t>was</w:t>
      </w:r>
      <w:r w:rsidR="00B65AB3" w:rsidRPr="00C30BC6">
        <w:rPr>
          <w:rFonts w:cstheme="minorHAnsi"/>
          <w:color w:val="000000"/>
          <w:sz w:val="24"/>
          <w:szCs w:val="24"/>
        </w:rPr>
        <w:t xml:space="preserve"> a response to a coroner’s recommendation, a 103,000 signature petition, a subsequent parliamentary debate and a national review, following a tragic incident in a nurs</w:t>
      </w:r>
      <w:r w:rsidR="00B65AB3" w:rsidRPr="00B65AB3">
        <w:rPr>
          <w:rFonts w:cstheme="minorHAnsi"/>
          <w:color w:val="000000"/>
          <w:sz w:val="24"/>
          <w:szCs w:val="24"/>
        </w:rPr>
        <w:t>ery class. The Department stated</w:t>
      </w:r>
      <w:r w:rsidR="00B65AB3" w:rsidRPr="00C30BC6">
        <w:rPr>
          <w:rFonts w:cstheme="minorHAnsi"/>
          <w:color w:val="000000"/>
          <w:sz w:val="24"/>
          <w:szCs w:val="24"/>
        </w:rPr>
        <w:t xml:space="preserve"> that “</w:t>
      </w:r>
      <w:r w:rsidR="00B65AB3" w:rsidRPr="00C30BC6">
        <w:rPr>
          <w:rFonts w:cstheme="minorHAnsi"/>
          <w:i/>
          <w:iCs/>
          <w:color w:val="000000"/>
          <w:sz w:val="24"/>
          <w:szCs w:val="24"/>
        </w:rPr>
        <w:t xml:space="preserve">the national review has shown that parents would welcome additional reassurance that their children are safe through increased paediatric first aid provision”. </w:t>
      </w:r>
    </w:p>
    <w:p w:rsidR="00B65AB3" w:rsidRDefault="00B65AB3" w:rsidP="00B65AB3">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autoSpaceDE w:val="0"/>
        <w:autoSpaceDN w:val="0"/>
        <w:adjustRightInd w:val="0"/>
        <w:spacing w:after="0"/>
        <w:rPr>
          <w:rFonts w:cstheme="minorHAnsi"/>
          <w:color w:val="000000"/>
          <w:sz w:val="24"/>
          <w:szCs w:val="24"/>
        </w:rPr>
      </w:pPr>
    </w:p>
    <w:p w:rsidR="00B65AB3" w:rsidRPr="00B65AB3" w:rsidRDefault="00B65AB3" w:rsidP="000329B2">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autoSpaceDE w:val="0"/>
        <w:autoSpaceDN w:val="0"/>
        <w:adjustRightInd w:val="0"/>
        <w:spacing w:after="0"/>
        <w:rPr>
          <w:rFonts w:cstheme="minorHAnsi"/>
          <w:color w:val="000000"/>
          <w:sz w:val="24"/>
          <w:szCs w:val="24"/>
        </w:rPr>
      </w:pPr>
      <w:r w:rsidRPr="00B65AB3">
        <w:rPr>
          <w:rFonts w:cstheme="minorHAnsi"/>
          <w:color w:val="000000"/>
          <w:sz w:val="24"/>
          <w:szCs w:val="24"/>
        </w:rPr>
        <w:t>Initially, the Department provided</w:t>
      </w:r>
      <w:r w:rsidRPr="00C30BC6">
        <w:rPr>
          <w:rFonts w:cstheme="minorHAnsi"/>
          <w:color w:val="000000"/>
          <w:sz w:val="24"/>
          <w:szCs w:val="24"/>
        </w:rPr>
        <w:t xml:space="preserve"> no assessment of the possible health and safety benefits of the proposal. There </w:t>
      </w:r>
      <w:r w:rsidRPr="00B65AB3">
        <w:rPr>
          <w:rFonts w:cstheme="minorHAnsi"/>
          <w:color w:val="000000"/>
          <w:sz w:val="24"/>
          <w:szCs w:val="24"/>
        </w:rPr>
        <w:t>was</w:t>
      </w:r>
      <w:r w:rsidRPr="00C30BC6">
        <w:rPr>
          <w:rFonts w:cstheme="minorHAnsi"/>
          <w:color w:val="000000"/>
          <w:sz w:val="24"/>
          <w:szCs w:val="24"/>
        </w:rPr>
        <w:t xml:space="preserve"> no information on the number of health incidents and, therefore, the level of risk under the existing PFA requirements. There </w:t>
      </w:r>
      <w:r w:rsidRPr="00B65AB3">
        <w:rPr>
          <w:rFonts w:cstheme="minorHAnsi"/>
          <w:color w:val="000000"/>
          <w:sz w:val="24"/>
          <w:szCs w:val="24"/>
        </w:rPr>
        <w:t>was</w:t>
      </w:r>
      <w:r w:rsidRPr="00C30BC6">
        <w:rPr>
          <w:rFonts w:cstheme="minorHAnsi"/>
          <w:color w:val="000000"/>
          <w:sz w:val="24"/>
          <w:szCs w:val="24"/>
        </w:rPr>
        <w:t xml:space="preserve"> no assessment of how much the proposal might lower these risks.</w:t>
      </w:r>
      <w:r w:rsidR="00D91407">
        <w:rPr>
          <w:rFonts w:cstheme="minorHAnsi"/>
          <w:color w:val="000000"/>
          <w:sz w:val="24"/>
          <w:szCs w:val="24"/>
        </w:rPr>
        <w:t xml:space="preserve"> The IA was, therefore, rated as not fit for purpose on the basis that it did not identify satisfactorily a fundamental impact of the proposal. In addition, w</w:t>
      </w:r>
      <w:r w:rsidRPr="00C30BC6">
        <w:rPr>
          <w:rFonts w:cstheme="minorHAnsi"/>
          <w:color w:val="000000"/>
          <w:sz w:val="24"/>
          <w:szCs w:val="24"/>
        </w:rPr>
        <w:t xml:space="preserve">ithout any assessment of the above benefits, </w:t>
      </w:r>
      <w:r w:rsidR="00D91407">
        <w:rPr>
          <w:rFonts w:cstheme="minorHAnsi"/>
          <w:color w:val="000000"/>
          <w:sz w:val="24"/>
          <w:szCs w:val="24"/>
        </w:rPr>
        <w:t xml:space="preserve">it was difficult to </w:t>
      </w:r>
      <w:r w:rsidRPr="00C30BC6">
        <w:rPr>
          <w:rFonts w:cstheme="minorHAnsi"/>
          <w:color w:val="000000"/>
          <w:sz w:val="24"/>
          <w:szCs w:val="24"/>
        </w:rPr>
        <w:t xml:space="preserve">understand fully the rationale for the proposal or </w:t>
      </w:r>
      <w:r w:rsidRPr="00B65AB3">
        <w:rPr>
          <w:rFonts w:cstheme="minorHAnsi"/>
          <w:color w:val="000000"/>
          <w:sz w:val="24"/>
          <w:szCs w:val="24"/>
        </w:rPr>
        <w:t>how the options compare, and its justification for a</w:t>
      </w:r>
      <w:r w:rsidRPr="00C30BC6">
        <w:rPr>
          <w:rFonts w:cstheme="minorHAnsi"/>
          <w:color w:val="000000"/>
          <w:sz w:val="24"/>
          <w:szCs w:val="24"/>
        </w:rPr>
        <w:t xml:space="preserve"> </w:t>
      </w:r>
      <w:r w:rsidRPr="00B65AB3">
        <w:rPr>
          <w:rFonts w:cstheme="minorHAnsi"/>
          <w:color w:val="000000"/>
          <w:sz w:val="24"/>
          <w:szCs w:val="24"/>
        </w:rPr>
        <w:t xml:space="preserve">preferred option to address </w:t>
      </w:r>
      <w:r w:rsidR="00967791">
        <w:rPr>
          <w:rFonts w:cstheme="minorHAnsi"/>
          <w:color w:val="000000"/>
          <w:sz w:val="24"/>
          <w:szCs w:val="24"/>
        </w:rPr>
        <w:t xml:space="preserve">the </w:t>
      </w:r>
      <w:r w:rsidRPr="00B65AB3">
        <w:rPr>
          <w:rFonts w:cstheme="minorHAnsi"/>
          <w:color w:val="000000"/>
          <w:sz w:val="24"/>
          <w:szCs w:val="24"/>
        </w:rPr>
        <w:t>problem.</w:t>
      </w:r>
    </w:p>
    <w:p w:rsidR="00B65AB3" w:rsidRPr="00B65AB3" w:rsidRDefault="00B65AB3" w:rsidP="00B65AB3">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cstheme="minorHAnsi"/>
          <w:color w:val="000000"/>
          <w:sz w:val="24"/>
          <w:szCs w:val="24"/>
        </w:rPr>
      </w:pPr>
    </w:p>
    <w:p w:rsidR="00C30BC6" w:rsidRPr="00B65AB3" w:rsidRDefault="00B65AB3" w:rsidP="00C30BC6">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cstheme="minorHAnsi"/>
          <w:color w:val="000000"/>
          <w:sz w:val="24"/>
          <w:szCs w:val="24"/>
        </w:rPr>
      </w:pPr>
      <w:r w:rsidRPr="00B65AB3">
        <w:rPr>
          <w:rFonts w:cstheme="minorHAnsi"/>
          <w:color w:val="000000"/>
          <w:sz w:val="24"/>
          <w:szCs w:val="24"/>
        </w:rPr>
        <w:t>Subsequently, the Department addressed satisfactorily all comments made by the RPC and proposed to us</w:t>
      </w:r>
      <w:r w:rsidR="00967791">
        <w:rPr>
          <w:rFonts w:cstheme="minorHAnsi"/>
          <w:color w:val="000000"/>
          <w:sz w:val="24"/>
          <w:szCs w:val="24"/>
        </w:rPr>
        <w:t>e</w:t>
      </w:r>
      <w:r w:rsidRPr="00B65AB3">
        <w:rPr>
          <w:rFonts w:cstheme="minorHAnsi"/>
          <w:color w:val="000000"/>
          <w:sz w:val="24"/>
          <w:szCs w:val="24"/>
        </w:rPr>
        <w:t xml:space="preserve"> the consultation to strengthen its assessment of possible impacts. </w:t>
      </w:r>
    </w:p>
    <w:p w:rsidR="00C30BC6" w:rsidRDefault="00C30BC6" w:rsidP="00412F7F">
      <w:pPr>
        <w:spacing w:after="0"/>
        <w:rPr>
          <w:rFonts w:cstheme="minorHAnsi"/>
          <w:sz w:val="24"/>
          <w:szCs w:val="24"/>
        </w:rPr>
      </w:pPr>
    </w:p>
    <w:p w:rsidR="0014583B" w:rsidRDefault="0014583B" w:rsidP="00E21EBA">
      <w:pPr>
        <w:spacing w:after="0"/>
        <w:rPr>
          <w:b/>
          <w:sz w:val="24"/>
          <w:szCs w:val="24"/>
        </w:rPr>
      </w:pPr>
    </w:p>
    <w:p w:rsidR="00C339DA" w:rsidRPr="00B04E4D" w:rsidRDefault="00C339DA" w:rsidP="00E21EBA">
      <w:pPr>
        <w:spacing w:after="0"/>
        <w:rPr>
          <w:b/>
          <w:i/>
          <w:sz w:val="24"/>
          <w:szCs w:val="24"/>
        </w:rPr>
      </w:pPr>
      <w:r w:rsidRPr="00B04E4D">
        <w:rPr>
          <w:b/>
          <w:i/>
          <w:sz w:val="24"/>
          <w:szCs w:val="24"/>
        </w:rPr>
        <w:t xml:space="preserve">Additional examples in relation to problem </w:t>
      </w:r>
      <w:r w:rsidR="00412F7F" w:rsidRPr="00B04E4D">
        <w:rPr>
          <w:b/>
          <w:i/>
          <w:sz w:val="24"/>
          <w:szCs w:val="24"/>
        </w:rPr>
        <w:t xml:space="preserve">identification and policy justification </w:t>
      </w:r>
    </w:p>
    <w:p w:rsidR="002329DB" w:rsidRDefault="002329DB" w:rsidP="00561401">
      <w:pPr>
        <w:rPr>
          <w:b/>
          <w:color w:val="E36C0A" w:themeColor="accent6" w:themeShade="BF"/>
          <w:sz w:val="32"/>
          <w:szCs w:val="32"/>
        </w:rPr>
      </w:pPr>
    </w:p>
    <w:p w:rsidR="00B65AB3" w:rsidRPr="00D92A4C" w:rsidRDefault="00B65AB3" w:rsidP="00B65AB3">
      <w:pPr>
        <w:pBdr>
          <w:top w:val="single" w:sz="12" w:space="0" w:color="984806" w:themeColor="accent6" w:themeShade="80"/>
          <w:left w:val="single" w:sz="12" w:space="1" w:color="984806" w:themeColor="accent6" w:themeShade="80"/>
          <w:bottom w:val="single" w:sz="12" w:space="1" w:color="984806" w:themeColor="accent6" w:themeShade="80"/>
          <w:right w:val="single" w:sz="12" w:space="1" w:color="984806" w:themeColor="accent6" w:themeShade="80"/>
        </w:pBdr>
        <w:shd w:val="clear" w:color="auto" w:fill="FDE9D9" w:themeFill="accent6" w:themeFillTint="33"/>
        <w:spacing w:after="0"/>
        <w:rPr>
          <w:rFonts w:eastAsia="Times New Roman" w:cstheme="minorHAnsi"/>
          <w:sz w:val="24"/>
          <w:szCs w:val="24"/>
          <w:lang w:eastAsia="en-GB"/>
        </w:rPr>
      </w:pPr>
      <w:r w:rsidRPr="008271F5">
        <w:rPr>
          <w:rFonts w:eastAsia="Times New Roman" w:cstheme="minorHAnsi"/>
          <w:b/>
          <w:sz w:val="24"/>
          <w:szCs w:val="24"/>
          <w:lang w:eastAsia="en-GB"/>
        </w:rPr>
        <w:t xml:space="preserve">Ex-military aircraft occupant placard (Final Stage, Red) (RPC12-DFT-1371(2)): </w:t>
      </w:r>
      <w:r w:rsidR="003162F9">
        <w:rPr>
          <w:rFonts w:eastAsia="Times New Roman" w:cstheme="minorHAnsi"/>
          <w:sz w:val="24"/>
          <w:szCs w:val="24"/>
          <w:lang w:eastAsia="en-GB"/>
        </w:rPr>
        <w:t>T</w:t>
      </w:r>
      <w:r w:rsidRPr="008271F5">
        <w:rPr>
          <w:rFonts w:eastAsia="Times New Roman" w:cstheme="minorHAnsi"/>
          <w:sz w:val="24"/>
          <w:szCs w:val="24"/>
          <w:lang w:eastAsia="en-GB"/>
        </w:rPr>
        <w:t xml:space="preserve">his </w:t>
      </w:r>
      <w:r w:rsidR="003162F9">
        <w:rPr>
          <w:rFonts w:eastAsia="Times New Roman" w:cstheme="minorHAnsi"/>
          <w:sz w:val="24"/>
          <w:szCs w:val="24"/>
          <w:lang w:eastAsia="en-GB"/>
        </w:rPr>
        <w:t>proposal</w:t>
      </w:r>
      <w:r w:rsidRPr="008271F5">
        <w:rPr>
          <w:rFonts w:eastAsia="Times New Roman" w:cstheme="minorHAnsi"/>
          <w:sz w:val="24"/>
          <w:szCs w:val="24"/>
          <w:lang w:eastAsia="en-GB"/>
        </w:rPr>
        <w:t xml:space="preserve"> required ex-military aircraft to display a placard explaining </w:t>
      </w:r>
      <w:r w:rsidR="006920D4">
        <w:rPr>
          <w:rFonts w:eastAsia="Times New Roman" w:cstheme="minorHAnsi"/>
          <w:sz w:val="24"/>
          <w:szCs w:val="24"/>
          <w:lang w:eastAsia="en-GB"/>
        </w:rPr>
        <w:t xml:space="preserve">that </w:t>
      </w:r>
      <w:r w:rsidRPr="008271F5">
        <w:rPr>
          <w:rFonts w:eastAsia="Times New Roman" w:cstheme="minorHAnsi"/>
          <w:sz w:val="24"/>
          <w:szCs w:val="24"/>
          <w:lang w:eastAsia="en-GB"/>
        </w:rPr>
        <w:t>the aircraft is not certified under international airworthiness requirements. The IA failed to demonstrate that there was currently any lack of safety awareness among passengers travelling in such aircraft</w:t>
      </w:r>
      <w:r w:rsidR="007D48D8">
        <w:rPr>
          <w:rFonts w:eastAsia="Times New Roman" w:cstheme="minorHAnsi"/>
          <w:sz w:val="24"/>
          <w:szCs w:val="24"/>
          <w:lang w:eastAsia="en-GB"/>
        </w:rPr>
        <w:t xml:space="preserve">.  Indeed, </w:t>
      </w:r>
      <w:r w:rsidRPr="008271F5">
        <w:rPr>
          <w:rFonts w:eastAsia="Times New Roman" w:cstheme="minorHAnsi"/>
          <w:sz w:val="24"/>
          <w:szCs w:val="24"/>
          <w:lang w:eastAsia="en-GB"/>
        </w:rPr>
        <w:t>responses from stakeholders suggested this was not a problem. As the IA was submitted before limitations were placed on RPC ratings of final stage IAs, the IA received a red rating for this and other reasons.  A revised IA was submitted addressing other concerns but not the rationale issue.  As the problem did not relate to direct cost to business the IA received a green rating, but with highly critical comments on the quality of the analysis. (</w:t>
      </w:r>
      <w:hyperlink r:id="rId11" w:history="1">
        <w:r w:rsidRPr="00D92A4C">
          <w:rPr>
            <w:rFonts w:eastAsia="Times New Roman" w:cstheme="minorHAnsi"/>
            <w:color w:val="0000FF"/>
            <w:sz w:val="24"/>
            <w:szCs w:val="24"/>
            <w:u w:val="single"/>
            <w:lang w:eastAsia="en-GB"/>
          </w:rPr>
          <w:t>Opinion</w:t>
        </w:r>
      </w:hyperlink>
      <w:r w:rsidRPr="008271F5">
        <w:rPr>
          <w:rFonts w:eastAsia="Times New Roman" w:cstheme="minorHAnsi"/>
          <w:sz w:val="24"/>
          <w:szCs w:val="24"/>
          <w:lang w:eastAsia="en-GB"/>
        </w:rPr>
        <w:t>)</w:t>
      </w:r>
    </w:p>
    <w:p w:rsidR="00B65AB3" w:rsidRDefault="00B65AB3" w:rsidP="00561401">
      <w:pPr>
        <w:rPr>
          <w:b/>
          <w:color w:val="E36C0A" w:themeColor="accent6" w:themeShade="BF"/>
          <w:sz w:val="32"/>
          <w:szCs w:val="32"/>
        </w:rPr>
      </w:pPr>
    </w:p>
    <w:p w:rsidR="00B65AB3" w:rsidRPr="008271F5" w:rsidRDefault="00B65AB3" w:rsidP="00B65AB3">
      <w:pPr>
        <w:pBdr>
          <w:top w:val="single" w:sz="12" w:space="0" w:color="984806" w:themeColor="accent6" w:themeShade="80"/>
          <w:left w:val="single" w:sz="12" w:space="1" w:color="984806" w:themeColor="accent6" w:themeShade="80"/>
          <w:bottom w:val="single" w:sz="12" w:space="1" w:color="984806" w:themeColor="accent6" w:themeShade="80"/>
          <w:right w:val="single" w:sz="12" w:space="1" w:color="984806" w:themeColor="accent6" w:themeShade="80"/>
        </w:pBdr>
        <w:shd w:val="clear" w:color="auto" w:fill="FDE9D9" w:themeFill="accent6" w:themeFillTint="33"/>
        <w:spacing w:after="0"/>
        <w:rPr>
          <w:rFonts w:eastAsia="Times New Roman" w:cstheme="minorHAnsi"/>
          <w:sz w:val="24"/>
          <w:szCs w:val="24"/>
          <w:lang w:eastAsia="en-GB"/>
        </w:rPr>
      </w:pPr>
      <w:r w:rsidRPr="008271F5">
        <w:rPr>
          <w:rFonts w:eastAsia="Times New Roman" w:cstheme="minorHAnsi"/>
          <w:b/>
          <w:sz w:val="24"/>
          <w:szCs w:val="24"/>
          <w:lang w:eastAsia="en-GB"/>
        </w:rPr>
        <w:t xml:space="preserve">Sheep identification – electronic slaughter tag (Consultation Stage, Red), (RPC13-DEFRA-1721):  </w:t>
      </w:r>
      <w:r w:rsidR="006920D4" w:rsidRPr="006920D4">
        <w:rPr>
          <w:rFonts w:eastAsia="Times New Roman" w:cstheme="minorHAnsi"/>
          <w:sz w:val="24"/>
          <w:szCs w:val="24"/>
          <w:lang w:eastAsia="en-GB"/>
        </w:rPr>
        <w:t>T</w:t>
      </w:r>
      <w:r w:rsidRPr="008271F5">
        <w:rPr>
          <w:rFonts w:eastAsia="Times New Roman" w:cstheme="minorHAnsi"/>
          <w:sz w:val="24"/>
          <w:szCs w:val="24"/>
          <w:lang w:eastAsia="en-GB"/>
        </w:rPr>
        <w:t>his p</w:t>
      </w:r>
      <w:r w:rsidR="006920D4">
        <w:rPr>
          <w:rFonts w:eastAsia="Times New Roman" w:cstheme="minorHAnsi"/>
          <w:sz w:val="24"/>
          <w:szCs w:val="24"/>
          <w:lang w:eastAsia="en-GB"/>
        </w:rPr>
        <w:t>roposal</w:t>
      </w:r>
      <w:r w:rsidRPr="008271F5">
        <w:rPr>
          <w:rFonts w:eastAsia="Times New Roman" w:cstheme="minorHAnsi"/>
          <w:sz w:val="24"/>
          <w:szCs w:val="24"/>
          <w:lang w:eastAsia="en-GB"/>
        </w:rPr>
        <w:t xml:space="preserve"> introduced mandatory use of electronic identification (EID) slaughter tags, and electronic reading by markets and abattoirs. The preferred option would result in a net benefit to business</w:t>
      </w:r>
      <w:r w:rsidR="00FA2635">
        <w:rPr>
          <w:rFonts w:eastAsia="Times New Roman" w:cstheme="minorHAnsi"/>
          <w:sz w:val="24"/>
          <w:szCs w:val="24"/>
          <w:lang w:eastAsia="en-GB"/>
        </w:rPr>
        <w:t xml:space="preserve"> because</w:t>
      </w:r>
      <w:r w:rsidRPr="008271F5">
        <w:rPr>
          <w:rFonts w:eastAsia="Times New Roman" w:cstheme="minorHAnsi"/>
          <w:sz w:val="24"/>
          <w:szCs w:val="24"/>
          <w:lang w:eastAsia="en-GB"/>
        </w:rPr>
        <w:t xml:space="preserve"> the benefits to markets, keepers and abattoirs, due to the reduced cost of reading animals, is greater than the costs to farmers who will need to purchase more expensive electronic tags. The original IA suggested that it was thought</w:t>
      </w:r>
      <w:r w:rsidR="00FA2635">
        <w:rPr>
          <w:rFonts w:eastAsia="Times New Roman" w:cstheme="minorHAnsi"/>
          <w:sz w:val="24"/>
          <w:szCs w:val="24"/>
          <w:lang w:eastAsia="en-GB"/>
        </w:rPr>
        <w:t xml:space="preserve"> that</w:t>
      </w:r>
      <w:r w:rsidRPr="008271F5">
        <w:rPr>
          <w:rFonts w:eastAsia="Times New Roman" w:cstheme="minorHAnsi"/>
          <w:sz w:val="24"/>
          <w:szCs w:val="24"/>
          <w:lang w:eastAsia="en-GB"/>
        </w:rPr>
        <w:t xml:space="preserve"> commercial pressures would drive the take up of EID tags for lambs intended for slaughter, but that this did not happen. The RPC asked for a clearer explanation of the market failures which had been identified as preventing these commercial drivers from taking effect. This resulted in a red-rated RPC opinion of the consultation stage IA.  A revised IA was submitted; it explained that the marketplace had not driven the use of the EID slaughter tags because of competition for trade, and fear that it would divert sales direct to abattoirs away from livestock markets. The revised IA received a green-rated RPC opinion.</w:t>
      </w:r>
    </w:p>
    <w:p w:rsidR="0014583B" w:rsidRDefault="0014583B" w:rsidP="00561401">
      <w:pPr>
        <w:rPr>
          <w:b/>
          <w:color w:val="E36C0A" w:themeColor="accent6" w:themeShade="BF"/>
          <w:sz w:val="32"/>
          <w:szCs w:val="32"/>
        </w:rPr>
      </w:pPr>
      <w:r>
        <w:rPr>
          <w:b/>
          <w:color w:val="E36C0A" w:themeColor="accent6" w:themeShade="BF"/>
          <w:sz w:val="32"/>
          <w:szCs w:val="32"/>
        </w:rPr>
        <w:br w:type="page"/>
      </w:r>
    </w:p>
    <w:p w:rsidR="00561401" w:rsidRPr="00280563" w:rsidRDefault="00E86AC4" w:rsidP="00561401">
      <w:pPr>
        <w:rPr>
          <w:b/>
          <w:color w:val="E36C0A" w:themeColor="accent6" w:themeShade="BF"/>
          <w:sz w:val="32"/>
          <w:szCs w:val="32"/>
        </w:rPr>
      </w:pPr>
      <w:r>
        <w:rPr>
          <w:b/>
          <w:color w:val="E36C0A" w:themeColor="accent6" w:themeShade="BF"/>
          <w:sz w:val="32"/>
          <w:szCs w:val="32"/>
        </w:rPr>
        <w:lastRenderedPageBreak/>
        <w:t>Section 2:</w:t>
      </w:r>
      <w:r w:rsidR="006A4F96" w:rsidRPr="00280563">
        <w:rPr>
          <w:b/>
          <w:color w:val="E36C0A" w:themeColor="accent6" w:themeShade="BF"/>
          <w:sz w:val="32"/>
          <w:szCs w:val="32"/>
        </w:rPr>
        <w:t xml:space="preserve"> </w:t>
      </w:r>
      <w:r w:rsidR="00561401" w:rsidRPr="00280563">
        <w:rPr>
          <w:b/>
          <w:color w:val="E36C0A" w:themeColor="accent6" w:themeShade="BF"/>
          <w:sz w:val="32"/>
          <w:szCs w:val="32"/>
        </w:rPr>
        <w:t>Impact assessment options</w:t>
      </w:r>
    </w:p>
    <w:p w:rsidR="009423BE" w:rsidRPr="00E86AC4" w:rsidRDefault="00E86AC4" w:rsidP="009423BE">
      <w:pPr>
        <w:spacing w:line="240" w:lineRule="auto"/>
        <w:rPr>
          <w:rFonts w:cstheme="minorHAnsi"/>
          <w:b/>
          <w:color w:val="984806" w:themeColor="accent6" w:themeShade="80"/>
          <w:sz w:val="28"/>
          <w:szCs w:val="28"/>
        </w:rPr>
      </w:pPr>
      <w:r>
        <w:rPr>
          <w:rFonts w:cstheme="minorHAnsi"/>
          <w:b/>
          <w:color w:val="984806" w:themeColor="accent6" w:themeShade="80"/>
          <w:sz w:val="28"/>
          <w:szCs w:val="28"/>
        </w:rPr>
        <w:t>2</w:t>
      </w:r>
      <w:r w:rsidR="00FA7154" w:rsidRPr="00E86AC4">
        <w:rPr>
          <w:rFonts w:cstheme="minorHAnsi"/>
          <w:b/>
          <w:color w:val="984806" w:themeColor="accent6" w:themeShade="80"/>
          <w:sz w:val="28"/>
          <w:szCs w:val="28"/>
        </w:rPr>
        <w:t xml:space="preserve">.1 </w:t>
      </w:r>
      <w:r w:rsidR="009423BE" w:rsidRPr="00E86AC4">
        <w:rPr>
          <w:rFonts w:cstheme="minorHAnsi"/>
          <w:b/>
          <w:color w:val="984806" w:themeColor="accent6" w:themeShade="80"/>
          <w:sz w:val="28"/>
          <w:szCs w:val="28"/>
        </w:rPr>
        <w:t>Non-regulatory options</w:t>
      </w:r>
      <w:r w:rsidR="00F504BE">
        <w:rPr>
          <w:rFonts w:cstheme="minorHAnsi"/>
          <w:b/>
          <w:color w:val="984806" w:themeColor="accent6" w:themeShade="80"/>
          <w:sz w:val="28"/>
          <w:szCs w:val="28"/>
        </w:rPr>
        <w:t xml:space="preserve"> to regulation</w:t>
      </w:r>
    </w:p>
    <w:p w:rsidR="009423BE" w:rsidRPr="003032B3" w:rsidRDefault="00132045" w:rsidP="002D123A">
      <w:pPr>
        <w:spacing w:after="120"/>
        <w:rPr>
          <w:rFonts w:cstheme="minorHAnsi"/>
          <w:sz w:val="24"/>
          <w:szCs w:val="24"/>
        </w:rPr>
      </w:pPr>
      <w:r>
        <w:rPr>
          <w:noProof/>
          <w:lang w:eastAsia="en-GB"/>
        </w:rPr>
        <mc:AlternateContent>
          <mc:Choice Requires="wps">
            <w:drawing>
              <wp:anchor distT="0" distB="0" distL="114300" distR="114300" simplePos="0" relativeHeight="251685888" behindDoc="0" locked="0" layoutInCell="1" allowOverlap="1" wp14:anchorId="5333B415" wp14:editId="01905A42">
                <wp:simplePos x="0" y="0"/>
                <wp:positionH relativeFrom="column">
                  <wp:posOffset>5876925</wp:posOffset>
                </wp:positionH>
                <wp:positionV relativeFrom="paragraph">
                  <wp:posOffset>1193165</wp:posOffset>
                </wp:positionV>
                <wp:extent cx="683895" cy="44831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895" cy="448310"/>
                        </a:xfrm>
                        <a:prstGeom prst="rect">
                          <a:avLst/>
                        </a:prstGeom>
                        <a:noFill/>
                        <a:ln w="6350">
                          <a:noFill/>
                        </a:ln>
                        <a:effectLst/>
                      </wps:spPr>
                      <wps:txbx>
                        <w:txbxContent>
                          <w:p w:rsidR="005D7CBE" w:rsidRPr="00F3504F" w:rsidRDefault="005D7CBE" w:rsidP="00FB2550">
                            <w:pPr>
                              <w:pBdr>
                                <w:top w:val="single" w:sz="4" w:space="1" w:color="FABF8F" w:themeColor="accent6" w:themeTint="99"/>
                                <w:bottom w:val="single" w:sz="4" w:space="1" w:color="FABF8F" w:themeColor="accent6" w:themeTint="99"/>
                              </w:pBdr>
                              <w:spacing w:after="0"/>
                              <w:jc w:val="center"/>
                              <w:rPr>
                                <w:rFonts w:cstheme="minorHAnsi"/>
                                <w:i/>
                                <w:color w:val="E36C0A" w:themeColor="accent6" w:themeShade="BF"/>
                                <w:sz w:val="16"/>
                                <w:szCs w:val="16"/>
                              </w:rPr>
                            </w:pPr>
                            <w:r w:rsidRPr="00F3504F">
                              <w:rPr>
                                <w:rFonts w:cstheme="minorHAnsi"/>
                                <w:b/>
                                <w:i/>
                                <w:color w:val="E36C0A" w:themeColor="accent6" w:themeShade="BF"/>
                                <w:sz w:val="16"/>
                                <w:szCs w:val="16"/>
                              </w:rPr>
                              <w:t>Potential red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462.75pt;margin-top:93.95pt;width:53.85pt;height:35.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" filled="f" stroked="f" strokeweight=".5pt">
                <v:path arrowok="t"/>
                <v:textbox>
                  <w:txbxContent>
                    <w:p w:rsidR="005D7CBE" w:rsidRPr="00F3504F" w:rsidRDefault="005D7CBE" w:rsidP="00FB2550">
                      <w:pPr>
                        <w:pBdr>
                          <w:top w:val="single" w:sz="4" w:space="1" w:color="FABF8F" w:themeColor="accent6" w:themeTint="99"/>
                          <w:bottom w:val="single" w:sz="4" w:space="1" w:color="FABF8F" w:themeColor="accent6" w:themeTint="99"/>
                        </w:pBdr>
                        <w:spacing w:after="0"/>
                        <w:jc w:val="center"/>
                        <w:rPr>
                          <w:rFonts w:cstheme="minorHAnsi"/>
                          <w:i/>
                          <w:color w:val="E36C0A" w:themeColor="accent6" w:themeShade="BF"/>
                          <w:sz w:val="16"/>
                          <w:szCs w:val="16"/>
                        </w:rPr>
                      </w:pPr>
                      <w:r w:rsidRPr="00F3504F">
                        <w:rPr>
                          <w:rFonts w:cstheme="minorHAnsi"/>
                          <w:b/>
                          <w:i/>
                          <w:color w:val="E36C0A" w:themeColor="accent6" w:themeShade="BF"/>
                          <w:sz w:val="16"/>
                          <w:szCs w:val="16"/>
                        </w:rPr>
                        <w:t>Potential red point</w:t>
                      </w:r>
                    </w:p>
                  </w:txbxContent>
                </v:textbox>
                <w10:wrap type="square"/>
              </v:shape>
            </w:pict>
          </mc:Fallback>
        </mc:AlternateContent>
      </w:r>
      <w:r w:rsidR="009423BE" w:rsidRPr="003032B3">
        <w:rPr>
          <w:rFonts w:cstheme="minorHAnsi"/>
          <w:sz w:val="24"/>
          <w:szCs w:val="24"/>
        </w:rPr>
        <w:t xml:space="preserve">The Government’s Principles of Regulation state that </w:t>
      </w:r>
      <w:r w:rsidR="009423BE" w:rsidRPr="003032B3">
        <w:rPr>
          <w:sz w:val="24"/>
          <w:szCs w:val="24"/>
        </w:rPr>
        <w:t>“</w:t>
      </w:r>
      <w:r w:rsidR="009423BE" w:rsidRPr="003032B3">
        <w:rPr>
          <w:i/>
          <w:sz w:val="24"/>
          <w:szCs w:val="24"/>
        </w:rPr>
        <w:t>in many instances alternatives to regulation are more effective, such as simplifying existing regulation, giving clearer information to consumers or developing voluntary codes of practice</w:t>
      </w:r>
      <w:r w:rsidR="009423BE" w:rsidRPr="003032B3">
        <w:rPr>
          <w:sz w:val="24"/>
          <w:szCs w:val="24"/>
        </w:rPr>
        <w:t>”.</w:t>
      </w:r>
      <w:r w:rsidR="009423BE" w:rsidRPr="003032B3">
        <w:rPr>
          <w:rStyle w:val="FootnoteReference"/>
          <w:rFonts w:cstheme="minorHAnsi"/>
          <w:i/>
          <w:sz w:val="24"/>
          <w:szCs w:val="24"/>
        </w:rPr>
        <w:footnoteReference w:id="1"/>
      </w:r>
      <w:r w:rsidR="009423BE" w:rsidRPr="003032B3">
        <w:rPr>
          <w:sz w:val="24"/>
          <w:szCs w:val="24"/>
        </w:rPr>
        <w:t xml:space="preserve"> </w:t>
      </w:r>
      <w:r w:rsidR="00625BC7">
        <w:rPr>
          <w:sz w:val="24"/>
          <w:szCs w:val="24"/>
        </w:rPr>
        <w:t>Therefore, the RPC expects d</w:t>
      </w:r>
      <w:r w:rsidR="009423BE" w:rsidRPr="003032B3">
        <w:rPr>
          <w:sz w:val="24"/>
          <w:szCs w:val="24"/>
        </w:rPr>
        <w:t xml:space="preserve">epartments </w:t>
      </w:r>
      <w:r w:rsidR="00625BC7">
        <w:rPr>
          <w:sz w:val="24"/>
          <w:szCs w:val="24"/>
        </w:rPr>
        <w:t xml:space="preserve">to </w:t>
      </w:r>
      <w:r w:rsidR="009423BE" w:rsidRPr="003032B3">
        <w:rPr>
          <w:sz w:val="24"/>
          <w:szCs w:val="24"/>
        </w:rPr>
        <w:t xml:space="preserve">consider </w:t>
      </w:r>
      <w:r w:rsidR="00625BC7">
        <w:rPr>
          <w:sz w:val="24"/>
          <w:szCs w:val="24"/>
        </w:rPr>
        <w:t xml:space="preserve">non-regulatory </w:t>
      </w:r>
      <w:r w:rsidR="009423BE" w:rsidRPr="003032B3">
        <w:rPr>
          <w:sz w:val="24"/>
          <w:szCs w:val="24"/>
        </w:rPr>
        <w:t>options</w:t>
      </w:r>
      <w:r w:rsidR="00625BC7">
        <w:rPr>
          <w:sz w:val="24"/>
          <w:szCs w:val="24"/>
        </w:rPr>
        <w:t xml:space="preserve"> (also commonly known as “alternatives to regulation”) </w:t>
      </w:r>
      <w:r w:rsidR="00625BC7" w:rsidRPr="003032B3">
        <w:rPr>
          <w:sz w:val="24"/>
          <w:szCs w:val="24"/>
        </w:rPr>
        <w:t>and</w:t>
      </w:r>
      <w:r w:rsidR="009423BE" w:rsidRPr="003032B3">
        <w:rPr>
          <w:sz w:val="24"/>
          <w:szCs w:val="24"/>
        </w:rPr>
        <w:t xml:space="preserve"> analyse their viability and effectiveness.</w:t>
      </w:r>
      <w:r w:rsidR="002D123A" w:rsidRPr="003032B3">
        <w:rPr>
          <w:sz w:val="24"/>
          <w:szCs w:val="24"/>
        </w:rPr>
        <w:t xml:space="preserve"> </w:t>
      </w:r>
      <w:r w:rsidR="00A60A97">
        <w:rPr>
          <w:sz w:val="24"/>
          <w:szCs w:val="24"/>
        </w:rPr>
        <w:t xml:space="preserve"> A lack of such analysis is likely to result in a </w:t>
      </w:r>
      <w:r w:rsidR="002960B7">
        <w:rPr>
          <w:sz w:val="24"/>
          <w:szCs w:val="24"/>
        </w:rPr>
        <w:t>not fit</w:t>
      </w:r>
      <w:r w:rsidR="00A60A97">
        <w:rPr>
          <w:sz w:val="24"/>
          <w:szCs w:val="24"/>
        </w:rPr>
        <w:t xml:space="preserve"> for purpose opinion from </w:t>
      </w:r>
      <w:r w:rsidR="00FB2550">
        <w:rPr>
          <w:sz w:val="24"/>
          <w:szCs w:val="24"/>
        </w:rPr>
        <w:t xml:space="preserve">the </w:t>
      </w:r>
      <w:r w:rsidR="00A60A97">
        <w:rPr>
          <w:sz w:val="24"/>
          <w:szCs w:val="24"/>
        </w:rPr>
        <w:t>RPC</w:t>
      </w:r>
      <w:r w:rsidR="00C03E31">
        <w:rPr>
          <w:sz w:val="24"/>
          <w:szCs w:val="24"/>
        </w:rPr>
        <w:t xml:space="preserve"> at consultation stage</w:t>
      </w:r>
      <w:r w:rsidR="00A60A97">
        <w:rPr>
          <w:sz w:val="24"/>
          <w:szCs w:val="24"/>
        </w:rPr>
        <w:t>.</w:t>
      </w:r>
    </w:p>
    <w:p w:rsidR="00625BC7" w:rsidRDefault="00625BC7" w:rsidP="002D123A">
      <w:pPr>
        <w:pStyle w:val="Default"/>
        <w:spacing w:after="120" w:line="276" w:lineRule="auto"/>
        <w:rPr>
          <w:rFonts w:asciiTheme="minorHAnsi" w:hAnsiTheme="minorHAnsi" w:cstheme="minorHAnsi"/>
        </w:rPr>
      </w:pPr>
      <w:r>
        <w:rPr>
          <w:rFonts w:asciiTheme="minorHAnsi" w:hAnsiTheme="minorHAnsi" w:cstheme="minorHAnsi"/>
        </w:rPr>
        <w:t xml:space="preserve">A summary of RPC expectations by stage </w:t>
      </w:r>
      <w:r w:rsidR="00A60A97">
        <w:rPr>
          <w:rFonts w:asciiTheme="minorHAnsi" w:hAnsiTheme="minorHAnsi" w:cstheme="minorHAnsi"/>
        </w:rPr>
        <w:t>and type of impact assessment process is presented below.</w:t>
      </w:r>
    </w:p>
    <w:p w:rsidR="00A60A97" w:rsidRPr="002D123A" w:rsidRDefault="00A60A97" w:rsidP="00A60A97">
      <w:pPr>
        <w:spacing w:after="120" w:line="240" w:lineRule="auto"/>
        <w:rPr>
          <w:rFonts w:cstheme="minorHAnsi"/>
          <w:b/>
          <w:sz w:val="26"/>
          <w:szCs w:val="26"/>
        </w:rPr>
      </w:pPr>
      <w:r w:rsidRPr="002D123A">
        <w:rPr>
          <w:rFonts w:cstheme="minorHAnsi"/>
          <w:b/>
          <w:sz w:val="26"/>
          <w:szCs w:val="26"/>
        </w:rPr>
        <w:t xml:space="preserve">Table </w:t>
      </w:r>
      <w:r w:rsidRPr="002D123A">
        <w:rPr>
          <w:rFonts w:cstheme="minorHAnsi"/>
          <w:b/>
          <w:color w:val="943634" w:themeColor="accent2" w:themeShade="BF"/>
          <w:sz w:val="26"/>
          <w:szCs w:val="26"/>
        </w:rPr>
        <w:t>[XX]</w:t>
      </w:r>
      <w:r w:rsidRPr="002D123A">
        <w:rPr>
          <w:rFonts w:cstheme="minorHAnsi"/>
          <w:b/>
          <w:sz w:val="26"/>
          <w:szCs w:val="26"/>
        </w:rPr>
        <w:t xml:space="preserve">: Non-regulatory options - </w:t>
      </w:r>
      <w:r>
        <w:rPr>
          <w:rFonts w:cstheme="minorHAnsi"/>
          <w:b/>
          <w:sz w:val="26"/>
          <w:szCs w:val="26"/>
        </w:rPr>
        <w:t xml:space="preserve">RPC expectations </w:t>
      </w:r>
      <w:r w:rsidRPr="002D123A">
        <w:rPr>
          <w:rFonts w:cstheme="minorHAnsi"/>
          <w:b/>
          <w:sz w:val="26"/>
          <w:szCs w:val="26"/>
        </w:rPr>
        <w:t>by stage and type</w:t>
      </w:r>
    </w:p>
    <w:tbl>
      <w:tblPr>
        <w:tblStyle w:val="TableGrid"/>
        <w:tblW w:w="0" w:type="auto"/>
        <w:tbl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insideH w:val="single" w:sz="12" w:space="0" w:color="984806" w:themeColor="accent6" w:themeShade="80"/>
          <w:insideV w:val="single" w:sz="12" w:space="0" w:color="984806" w:themeColor="accent6" w:themeShade="80"/>
        </w:tblBorders>
        <w:tblLook w:val="04A0" w:firstRow="1" w:lastRow="0" w:firstColumn="1" w:lastColumn="0" w:noHBand="0" w:noVBand="1"/>
      </w:tblPr>
      <w:tblGrid>
        <w:gridCol w:w="1985"/>
        <w:gridCol w:w="2092"/>
        <w:gridCol w:w="4763"/>
      </w:tblGrid>
      <w:tr w:rsidR="00A60A97" w:rsidTr="004838AF">
        <w:tc>
          <w:tcPr>
            <w:tcW w:w="1985" w:type="dxa"/>
            <w:vMerge w:val="restart"/>
            <w:shd w:val="clear" w:color="auto" w:fill="E36C0A" w:themeFill="accent6" w:themeFillShade="BF"/>
            <w:vAlign w:val="center"/>
          </w:tcPr>
          <w:p w:rsidR="00A60A97" w:rsidRPr="00B3646A" w:rsidRDefault="00A60A97" w:rsidP="004838AF">
            <w:pPr>
              <w:spacing w:after="120"/>
              <w:jc w:val="center"/>
              <w:rPr>
                <w:rFonts w:cstheme="minorHAnsi"/>
                <w:sz w:val="24"/>
                <w:szCs w:val="24"/>
              </w:rPr>
            </w:pPr>
            <w:r w:rsidRPr="00B3646A">
              <w:rPr>
                <w:rFonts w:cstheme="minorHAnsi"/>
                <w:sz w:val="24"/>
                <w:szCs w:val="24"/>
              </w:rPr>
              <w:t>Domestic</w:t>
            </w:r>
          </w:p>
        </w:tc>
        <w:tc>
          <w:tcPr>
            <w:tcW w:w="2092" w:type="dxa"/>
            <w:shd w:val="clear" w:color="auto" w:fill="FABF8F" w:themeFill="accent6" w:themeFillTint="99"/>
            <w:vAlign w:val="center"/>
          </w:tcPr>
          <w:p w:rsidR="00A60A97" w:rsidRPr="00B3646A" w:rsidRDefault="00A60A97" w:rsidP="004838AF">
            <w:pPr>
              <w:spacing w:after="120"/>
              <w:jc w:val="center"/>
              <w:rPr>
                <w:rFonts w:cstheme="minorHAnsi"/>
                <w:sz w:val="24"/>
                <w:szCs w:val="24"/>
              </w:rPr>
            </w:pPr>
            <w:r w:rsidRPr="00B3646A">
              <w:rPr>
                <w:rFonts w:cstheme="minorHAnsi"/>
                <w:sz w:val="24"/>
                <w:szCs w:val="24"/>
              </w:rPr>
              <w:t>Consultation stage</w:t>
            </w:r>
          </w:p>
        </w:tc>
        <w:tc>
          <w:tcPr>
            <w:tcW w:w="4763" w:type="dxa"/>
            <w:shd w:val="clear" w:color="auto" w:fill="FDE9D9" w:themeFill="accent6" w:themeFillTint="33"/>
          </w:tcPr>
          <w:p w:rsidR="00A60A97" w:rsidRDefault="00A60A97" w:rsidP="00A60A97">
            <w:pPr>
              <w:pStyle w:val="ListParagraph"/>
              <w:spacing w:after="120"/>
              <w:ind w:left="601"/>
              <w:rPr>
                <w:rFonts w:cstheme="minorHAnsi"/>
                <w:sz w:val="24"/>
                <w:szCs w:val="24"/>
              </w:rPr>
            </w:pPr>
          </w:p>
          <w:p w:rsidR="00A60A97" w:rsidRPr="00FB2550" w:rsidRDefault="00FB2550" w:rsidP="00A864AC">
            <w:pPr>
              <w:pStyle w:val="ListParagraph"/>
              <w:numPr>
                <w:ilvl w:val="0"/>
                <w:numId w:val="9"/>
              </w:numPr>
              <w:spacing w:after="120"/>
              <w:ind w:left="601" w:hanging="425"/>
              <w:rPr>
                <w:rFonts w:cstheme="minorHAnsi"/>
                <w:sz w:val="24"/>
                <w:szCs w:val="24"/>
              </w:rPr>
            </w:pPr>
            <w:r>
              <w:rPr>
                <w:rFonts w:cstheme="minorHAnsi"/>
                <w:sz w:val="24"/>
                <w:szCs w:val="24"/>
              </w:rPr>
              <w:t>D</w:t>
            </w:r>
            <w:r w:rsidR="00A60A97" w:rsidRPr="00FB2550">
              <w:rPr>
                <w:rFonts w:cstheme="minorHAnsi"/>
                <w:sz w:val="24"/>
                <w:szCs w:val="24"/>
              </w:rPr>
              <w:t>iscuss</w:t>
            </w:r>
            <w:r>
              <w:rPr>
                <w:rFonts w:cstheme="minorHAnsi"/>
                <w:sz w:val="24"/>
                <w:szCs w:val="24"/>
              </w:rPr>
              <w:t>ion of</w:t>
            </w:r>
            <w:r w:rsidR="00A60A97" w:rsidRPr="00FB2550">
              <w:rPr>
                <w:rFonts w:cstheme="minorHAnsi"/>
                <w:sz w:val="24"/>
                <w:szCs w:val="24"/>
              </w:rPr>
              <w:t xml:space="preserve"> non-regulatory options with the same level of detail as all other options, explaining clear</w:t>
            </w:r>
            <w:r w:rsidR="009F7898">
              <w:rPr>
                <w:rFonts w:cstheme="minorHAnsi"/>
                <w:sz w:val="24"/>
                <w:szCs w:val="24"/>
              </w:rPr>
              <w:t>ly</w:t>
            </w:r>
            <w:r w:rsidR="00A60A97" w:rsidRPr="00FB2550">
              <w:rPr>
                <w:rFonts w:cstheme="minorHAnsi"/>
                <w:sz w:val="24"/>
                <w:szCs w:val="24"/>
              </w:rPr>
              <w:t xml:space="preserve"> the incentives and potential costs and benefits.</w:t>
            </w:r>
          </w:p>
          <w:p w:rsidR="00A60A97" w:rsidRDefault="00A60A97" w:rsidP="00A60A97">
            <w:pPr>
              <w:pStyle w:val="ListParagraph"/>
              <w:spacing w:before="120" w:after="120"/>
              <w:ind w:left="601"/>
              <w:rPr>
                <w:rFonts w:cstheme="minorHAnsi"/>
                <w:sz w:val="24"/>
                <w:szCs w:val="24"/>
              </w:rPr>
            </w:pPr>
          </w:p>
          <w:p w:rsidR="00A60A97" w:rsidRDefault="00FB2550" w:rsidP="00A864AC">
            <w:pPr>
              <w:pStyle w:val="ListParagraph"/>
              <w:numPr>
                <w:ilvl w:val="0"/>
                <w:numId w:val="9"/>
              </w:numPr>
              <w:spacing w:before="120" w:after="120"/>
              <w:ind w:left="601" w:hanging="425"/>
              <w:rPr>
                <w:rFonts w:cstheme="minorHAnsi"/>
                <w:sz w:val="24"/>
                <w:szCs w:val="24"/>
              </w:rPr>
            </w:pPr>
            <w:r>
              <w:rPr>
                <w:rFonts w:cstheme="minorHAnsi"/>
                <w:sz w:val="24"/>
                <w:szCs w:val="24"/>
              </w:rPr>
              <w:t>C</w:t>
            </w:r>
            <w:r w:rsidR="00A60A97" w:rsidRPr="00B3646A">
              <w:rPr>
                <w:rFonts w:cstheme="minorHAnsi"/>
                <w:sz w:val="24"/>
                <w:szCs w:val="24"/>
              </w:rPr>
              <w:t xml:space="preserve">lear </w:t>
            </w:r>
            <w:r>
              <w:rPr>
                <w:rFonts w:cstheme="minorHAnsi"/>
                <w:sz w:val="24"/>
                <w:szCs w:val="24"/>
              </w:rPr>
              <w:t xml:space="preserve">explanation of </w:t>
            </w:r>
            <w:r w:rsidR="00A60A97" w:rsidRPr="00B3646A">
              <w:rPr>
                <w:rFonts w:cstheme="minorHAnsi"/>
                <w:sz w:val="24"/>
                <w:szCs w:val="24"/>
              </w:rPr>
              <w:t xml:space="preserve">legal requirements and/or the economic rationale why alternatives to regulation </w:t>
            </w:r>
            <w:r>
              <w:rPr>
                <w:rFonts w:cstheme="minorHAnsi"/>
                <w:sz w:val="24"/>
                <w:szCs w:val="24"/>
              </w:rPr>
              <w:t>might</w:t>
            </w:r>
            <w:r w:rsidRPr="00B3646A">
              <w:rPr>
                <w:rFonts w:cstheme="minorHAnsi"/>
                <w:sz w:val="24"/>
                <w:szCs w:val="24"/>
              </w:rPr>
              <w:t xml:space="preserve"> </w:t>
            </w:r>
            <w:r w:rsidR="00A60A97" w:rsidRPr="00B3646A">
              <w:rPr>
                <w:rFonts w:cstheme="minorHAnsi"/>
                <w:sz w:val="24"/>
                <w:szCs w:val="24"/>
              </w:rPr>
              <w:t xml:space="preserve">not </w:t>
            </w:r>
            <w:r>
              <w:rPr>
                <w:rFonts w:cstheme="minorHAnsi"/>
                <w:sz w:val="24"/>
                <w:szCs w:val="24"/>
              </w:rPr>
              <w:t xml:space="preserve">be </w:t>
            </w:r>
            <w:r w:rsidR="00A60A97" w:rsidRPr="00B3646A">
              <w:rPr>
                <w:rFonts w:cstheme="minorHAnsi"/>
                <w:sz w:val="24"/>
                <w:szCs w:val="24"/>
              </w:rPr>
              <w:t>viable.</w:t>
            </w:r>
          </w:p>
          <w:p w:rsidR="00A60A97" w:rsidRPr="00A60A97" w:rsidRDefault="00A60A97" w:rsidP="00A60A97">
            <w:pPr>
              <w:pStyle w:val="ListParagraph"/>
              <w:rPr>
                <w:rFonts w:cstheme="minorHAnsi"/>
                <w:sz w:val="24"/>
                <w:szCs w:val="24"/>
              </w:rPr>
            </w:pPr>
          </w:p>
          <w:p w:rsidR="00A60A97" w:rsidRPr="00A60A97" w:rsidRDefault="00C03E31" w:rsidP="00A864AC">
            <w:pPr>
              <w:pStyle w:val="ListParagraph"/>
              <w:numPr>
                <w:ilvl w:val="0"/>
                <w:numId w:val="9"/>
              </w:numPr>
              <w:spacing w:before="120" w:after="120"/>
              <w:ind w:left="601" w:hanging="425"/>
              <w:rPr>
                <w:rFonts w:cstheme="minorHAnsi"/>
                <w:sz w:val="24"/>
                <w:szCs w:val="24"/>
              </w:rPr>
            </w:pPr>
            <w:r>
              <w:rPr>
                <w:rFonts w:cstheme="minorHAnsi"/>
                <w:sz w:val="24"/>
                <w:szCs w:val="24"/>
              </w:rPr>
              <w:t xml:space="preserve">Monetisation of non-regulatory options as far as possible. </w:t>
            </w:r>
            <w:r w:rsidR="00A60A97" w:rsidRPr="00A60A97">
              <w:rPr>
                <w:rFonts w:cstheme="minorHAnsi"/>
                <w:sz w:val="24"/>
                <w:szCs w:val="24"/>
              </w:rPr>
              <w:t>If full monetisation is not feasible, provi</w:t>
            </w:r>
            <w:r>
              <w:rPr>
                <w:rFonts w:cstheme="minorHAnsi"/>
                <w:sz w:val="24"/>
                <w:szCs w:val="24"/>
              </w:rPr>
              <w:t>sion of</w:t>
            </w:r>
            <w:r w:rsidR="00A60A97" w:rsidRPr="00A60A97">
              <w:rPr>
                <w:rFonts w:cstheme="minorHAnsi"/>
                <w:sz w:val="24"/>
                <w:szCs w:val="24"/>
              </w:rPr>
              <w:t xml:space="preserve"> assumptions about potential uptake and effectiveness drawing from the experience in other sectors and the literature.</w:t>
            </w:r>
          </w:p>
          <w:p w:rsidR="00A60A97" w:rsidRPr="00B3646A" w:rsidRDefault="00A60A97" w:rsidP="004838AF">
            <w:pPr>
              <w:pStyle w:val="ListParagraph"/>
              <w:spacing w:after="120"/>
              <w:ind w:left="601"/>
              <w:rPr>
                <w:rFonts w:cstheme="minorHAnsi"/>
                <w:sz w:val="24"/>
                <w:szCs w:val="24"/>
              </w:rPr>
            </w:pPr>
          </w:p>
          <w:p w:rsidR="00A60A97" w:rsidRPr="00B3646A" w:rsidRDefault="00A60A97" w:rsidP="00A864AC">
            <w:pPr>
              <w:pStyle w:val="ListParagraph"/>
              <w:numPr>
                <w:ilvl w:val="0"/>
                <w:numId w:val="9"/>
              </w:numPr>
              <w:spacing w:after="120"/>
              <w:ind w:left="601" w:hanging="425"/>
              <w:rPr>
                <w:rFonts w:cstheme="minorHAnsi"/>
                <w:sz w:val="24"/>
                <w:szCs w:val="24"/>
              </w:rPr>
            </w:pPr>
            <w:r w:rsidRPr="00B3646A">
              <w:rPr>
                <w:rFonts w:cstheme="minorHAnsi"/>
                <w:sz w:val="24"/>
                <w:szCs w:val="24"/>
              </w:rPr>
              <w:t xml:space="preserve">Test </w:t>
            </w:r>
            <w:r w:rsidR="00C03E31">
              <w:rPr>
                <w:rFonts w:cstheme="minorHAnsi"/>
                <w:sz w:val="24"/>
                <w:szCs w:val="24"/>
              </w:rPr>
              <w:t xml:space="preserve">of </w:t>
            </w:r>
            <w:r w:rsidRPr="00B3646A">
              <w:rPr>
                <w:rFonts w:cstheme="minorHAnsi"/>
                <w:sz w:val="24"/>
                <w:szCs w:val="24"/>
              </w:rPr>
              <w:t>the assumptions during consultation.</w:t>
            </w:r>
          </w:p>
        </w:tc>
      </w:tr>
      <w:tr w:rsidR="00A60A97" w:rsidTr="004838AF">
        <w:tc>
          <w:tcPr>
            <w:tcW w:w="1985" w:type="dxa"/>
            <w:vMerge/>
            <w:shd w:val="clear" w:color="auto" w:fill="E36C0A" w:themeFill="accent6" w:themeFillShade="BF"/>
          </w:tcPr>
          <w:p w:rsidR="00A60A97" w:rsidRPr="00B3646A" w:rsidRDefault="00A60A97" w:rsidP="004838AF">
            <w:pPr>
              <w:spacing w:after="120"/>
              <w:rPr>
                <w:rFonts w:cstheme="minorHAnsi"/>
                <w:sz w:val="24"/>
                <w:szCs w:val="24"/>
              </w:rPr>
            </w:pPr>
          </w:p>
        </w:tc>
        <w:tc>
          <w:tcPr>
            <w:tcW w:w="2092" w:type="dxa"/>
            <w:shd w:val="clear" w:color="auto" w:fill="FABF8F" w:themeFill="accent6" w:themeFillTint="99"/>
            <w:vAlign w:val="center"/>
          </w:tcPr>
          <w:p w:rsidR="00A60A97" w:rsidRPr="00B3646A" w:rsidRDefault="00A60A97" w:rsidP="004838AF">
            <w:pPr>
              <w:spacing w:after="120"/>
              <w:jc w:val="center"/>
              <w:rPr>
                <w:rFonts w:cstheme="minorHAnsi"/>
                <w:sz w:val="24"/>
                <w:szCs w:val="24"/>
              </w:rPr>
            </w:pPr>
            <w:r w:rsidRPr="00B3646A">
              <w:rPr>
                <w:rFonts w:cstheme="minorHAnsi"/>
                <w:sz w:val="24"/>
                <w:szCs w:val="24"/>
              </w:rPr>
              <w:t>Final stage</w:t>
            </w:r>
          </w:p>
        </w:tc>
        <w:tc>
          <w:tcPr>
            <w:tcW w:w="4763" w:type="dxa"/>
            <w:shd w:val="clear" w:color="auto" w:fill="FDE9D9" w:themeFill="accent6" w:themeFillTint="33"/>
          </w:tcPr>
          <w:p w:rsidR="00A60A97" w:rsidRPr="00B3646A" w:rsidRDefault="00A60A97" w:rsidP="00A864AC">
            <w:pPr>
              <w:pStyle w:val="ListParagraph"/>
              <w:numPr>
                <w:ilvl w:val="0"/>
                <w:numId w:val="10"/>
              </w:numPr>
              <w:spacing w:before="120" w:after="120"/>
              <w:ind w:left="601" w:hanging="425"/>
              <w:rPr>
                <w:rFonts w:cstheme="minorHAnsi"/>
                <w:sz w:val="24"/>
                <w:szCs w:val="24"/>
              </w:rPr>
            </w:pPr>
            <w:r w:rsidRPr="00B3646A">
              <w:rPr>
                <w:rFonts w:cstheme="minorHAnsi"/>
                <w:sz w:val="24"/>
                <w:szCs w:val="24"/>
              </w:rPr>
              <w:t xml:space="preserve">Update </w:t>
            </w:r>
            <w:r w:rsidR="00C03E31">
              <w:rPr>
                <w:rFonts w:cstheme="minorHAnsi"/>
                <w:sz w:val="24"/>
                <w:szCs w:val="24"/>
              </w:rPr>
              <w:t xml:space="preserve">of </w:t>
            </w:r>
            <w:r w:rsidRPr="00B3646A">
              <w:rPr>
                <w:rFonts w:cstheme="minorHAnsi"/>
                <w:sz w:val="24"/>
                <w:szCs w:val="24"/>
              </w:rPr>
              <w:t xml:space="preserve">assumptions </w:t>
            </w:r>
            <w:r w:rsidR="00C03E31">
              <w:rPr>
                <w:rFonts w:cstheme="minorHAnsi"/>
                <w:sz w:val="24"/>
                <w:szCs w:val="24"/>
              </w:rPr>
              <w:t>from</w:t>
            </w:r>
            <w:r w:rsidRPr="00B3646A">
              <w:rPr>
                <w:rFonts w:cstheme="minorHAnsi"/>
                <w:sz w:val="24"/>
                <w:szCs w:val="24"/>
              </w:rPr>
              <w:t xml:space="preserve"> consultation responses.</w:t>
            </w:r>
          </w:p>
          <w:p w:rsidR="00A60A97" w:rsidRPr="00B3646A" w:rsidRDefault="00A60A97" w:rsidP="004838AF">
            <w:pPr>
              <w:pStyle w:val="ListParagraph"/>
              <w:spacing w:before="120" w:after="120"/>
              <w:ind w:left="601"/>
              <w:rPr>
                <w:rFonts w:cstheme="minorHAnsi"/>
                <w:sz w:val="24"/>
                <w:szCs w:val="24"/>
              </w:rPr>
            </w:pPr>
          </w:p>
          <w:p w:rsidR="00A60A97" w:rsidRPr="00B3646A" w:rsidRDefault="00A60A97" w:rsidP="00A864AC">
            <w:pPr>
              <w:pStyle w:val="ListParagraph"/>
              <w:numPr>
                <w:ilvl w:val="0"/>
                <w:numId w:val="10"/>
              </w:numPr>
              <w:spacing w:after="120"/>
              <w:ind w:left="601" w:hanging="425"/>
              <w:rPr>
                <w:rFonts w:cstheme="minorHAnsi"/>
                <w:sz w:val="24"/>
                <w:szCs w:val="24"/>
              </w:rPr>
            </w:pPr>
            <w:r w:rsidRPr="00B3646A">
              <w:rPr>
                <w:rFonts w:cstheme="minorHAnsi"/>
                <w:sz w:val="24"/>
                <w:szCs w:val="24"/>
              </w:rPr>
              <w:t>Monetis</w:t>
            </w:r>
            <w:r w:rsidR="002960B7">
              <w:rPr>
                <w:rFonts w:cstheme="minorHAnsi"/>
                <w:sz w:val="24"/>
                <w:szCs w:val="24"/>
              </w:rPr>
              <w:t>ation</w:t>
            </w:r>
            <w:r w:rsidRPr="00B3646A">
              <w:rPr>
                <w:rFonts w:cstheme="minorHAnsi"/>
                <w:sz w:val="24"/>
                <w:szCs w:val="24"/>
              </w:rPr>
              <w:t xml:space="preserve"> </w:t>
            </w:r>
            <w:r w:rsidR="002960B7">
              <w:rPr>
                <w:rFonts w:cstheme="minorHAnsi"/>
                <w:sz w:val="24"/>
                <w:szCs w:val="24"/>
              </w:rPr>
              <w:t xml:space="preserve">of </w:t>
            </w:r>
            <w:r w:rsidRPr="00B3646A">
              <w:rPr>
                <w:rFonts w:cstheme="minorHAnsi"/>
                <w:sz w:val="24"/>
                <w:szCs w:val="24"/>
              </w:rPr>
              <w:t xml:space="preserve">all options as </w:t>
            </w:r>
            <w:r w:rsidR="002960B7">
              <w:rPr>
                <w:rFonts w:cstheme="minorHAnsi"/>
                <w:sz w:val="24"/>
                <w:szCs w:val="24"/>
              </w:rPr>
              <w:t>far</w:t>
            </w:r>
            <w:r w:rsidR="002960B7" w:rsidRPr="00B3646A">
              <w:rPr>
                <w:rFonts w:cstheme="minorHAnsi"/>
                <w:sz w:val="24"/>
                <w:szCs w:val="24"/>
              </w:rPr>
              <w:t xml:space="preserve"> </w:t>
            </w:r>
            <w:r w:rsidRPr="00B3646A">
              <w:rPr>
                <w:rFonts w:cstheme="minorHAnsi"/>
                <w:sz w:val="24"/>
                <w:szCs w:val="24"/>
              </w:rPr>
              <w:t>as possible and proportionate.</w:t>
            </w:r>
          </w:p>
          <w:p w:rsidR="00A60A97" w:rsidRPr="00B3646A" w:rsidRDefault="00A60A97" w:rsidP="004838AF">
            <w:pPr>
              <w:pStyle w:val="ListParagraph"/>
              <w:spacing w:after="120"/>
              <w:ind w:left="601"/>
              <w:rPr>
                <w:rFonts w:cstheme="minorHAnsi"/>
                <w:sz w:val="24"/>
                <w:szCs w:val="24"/>
              </w:rPr>
            </w:pPr>
          </w:p>
          <w:p w:rsidR="00A60A97" w:rsidRPr="00B3646A" w:rsidRDefault="002960B7" w:rsidP="005619DE">
            <w:pPr>
              <w:pStyle w:val="ListParagraph"/>
              <w:numPr>
                <w:ilvl w:val="0"/>
                <w:numId w:val="10"/>
              </w:numPr>
              <w:spacing w:after="120"/>
              <w:ind w:left="601" w:hanging="425"/>
              <w:rPr>
                <w:rFonts w:cstheme="minorHAnsi"/>
                <w:sz w:val="24"/>
                <w:szCs w:val="24"/>
              </w:rPr>
            </w:pPr>
            <w:r>
              <w:rPr>
                <w:rFonts w:cstheme="minorHAnsi"/>
                <w:sz w:val="24"/>
                <w:szCs w:val="24"/>
              </w:rPr>
              <w:lastRenderedPageBreak/>
              <w:t xml:space="preserve">Clear explanation </w:t>
            </w:r>
            <w:r w:rsidR="005619DE">
              <w:rPr>
                <w:rFonts w:cstheme="minorHAnsi"/>
                <w:sz w:val="24"/>
                <w:szCs w:val="24"/>
              </w:rPr>
              <w:t xml:space="preserve">of </w:t>
            </w:r>
            <w:r>
              <w:rPr>
                <w:rFonts w:cstheme="minorHAnsi"/>
                <w:sz w:val="24"/>
                <w:szCs w:val="24"/>
              </w:rPr>
              <w:t>w</w:t>
            </w:r>
            <w:r w:rsidR="00A60A97" w:rsidRPr="00B3646A">
              <w:rPr>
                <w:rFonts w:cstheme="minorHAnsi"/>
                <w:sz w:val="24"/>
                <w:szCs w:val="24"/>
              </w:rPr>
              <w:t>hy regulation</w:t>
            </w:r>
            <w:r>
              <w:rPr>
                <w:rFonts w:cstheme="minorHAnsi"/>
                <w:sz w:val="24"/>
                <w:szCs w:val="24"/>
              </w:rPr>
              <w:t xml:space="preserve"> is</w:t>
            </w:r>
            <w:r w:rsidR="00A60A97" w:rsidRPr="00B3646A">
              <w:rPr>
                <w:rFonts w:cstheme="minorHAnsi"/>
                <w:sz w:val="24"/>
                <w:szCs w:val="24"/>
              </w:rPr>
              <w:t xml:space="preserve"> favoured</w:t>
            </w:r>
            <w:r>
              <w:rPr>
                <w:rFonts w:cstheme="minorHAnsi"/>
                <w:sz w:val="24"/>
                <w:szCs w:val="24"/>
              </w:rPr>
              <w:t>.</w:t>
            </w:r>
            <w:r w:rsidR="00A60A97" w:rsidRPr="00B3646A">
              <w:rPr>
                <w:rFonts w:cstheme="minorHAnsi"/>
                <w:sz w:val="24"/>
                <w:szCs w:val="24"/>
              </w:rPr>
              <w:t xml:space="preserve"> For example, why was a voluntary approach</w:t>
            </w:r>
            <w:r w:rsidR="005619DE">
              <w:rPr>
                <w:rFonts w:cstheme="minorHAnsi"/>
                <w:sz w:val="24"/>
                <w:szCs w:val="24"/>
              </w:rPr>
              <w:t xml:space="preserve">,say </w:t>
            </w:r>
            <w:r w:rsidR="00A60A97" w:rsidRPr="00B3646A">
              <w:rPr>
                <w:rFonts w:cstheme="minorHAnsi"/>
                <w:sz w:val="24"/>
                <w:szCs w:val="24"/>
              </w:rPr>
              <w:t xml:space="preserve"> resulting in half the costs to business but delivering 60% of the policy benefits, seen as an inferior approach?</w:t>
            </w:r>
          </w:p>
        </w:tc>
      </w:tr>
      <w:tr w:rsidR="00A60A97" w:rsidTr="004838AF">
        <w:trPr>
          <w:trHeight w:val="1985"/>
        </w:trPr>
        <w:tc>
          <w:tcPr>
            <w:tcW w:w="1985" w:type="dxa"/>
            <w:shd w:val="clear" w:color="auto" w:fill="E36C0A" w:themeFill="accent6" w:themeFillShade="BF"/>
            <w:vAlign w:val="center"/>
          </w:tcPr>
          <w:p w:rsidR="00A60A97" w:rsidRPr="00B3646A" w:rsidRDefault="00A60A97" w:rsidP="004838AF">
            <w:pPr>
              <w:spacing w:after="120"/>
              <w:jc w:val="center"/>
              <w:rPr>
                <w:rFonts w:cstheme="minorHAnsi"/>
                <w:sz w:val="24"/>
                <w:szCs w:val="24"/>
              </w:rPr>
            </w:pPr>
            <w:r w:rsidRPr="00B3646A">
              <w:rPr>
                <w:rFonts w:cstheme="minorHAnsi"/>
                <w:sz w:val="24"/>
                <w:szCs w:val="24"/>
              </w:rPr>
              <w:lastRenderedPageBreak/>
              <w:t>EU/International</w:t>
            </w:r>
          </w:p>
        </w:tc>
        <w:tc>
          <w:tcPr>
            <w:tcW w:w="6855" w:type="dxa"/>
            <w:gridSpan w:val="2"/>
            <w:shd w:val="clear" w:color="auto" w:fill="FDE9D9" w:themeFill="accent6" w:themeFillTint="33"/>
            <w:vAlign w:val="center"/>
          </w:tcPr>
          <w:p w:rsidR="00A60A97" w:rsidRPr="00B3646A" w:rsidRDefault="00A60A97" w:rsidP="004838AF">
            <w:pPr>
              <w:pStyle w:val="ListParagraph"/>
              <w:spacing w:before="120" w:after="120"/>
              <w:ind w:left="709"/>
              <w:rPr>
                <w:rFonts w:cstheme="minorHAnsi"/>
                <w:sz w:val="24"/>
                <w:szCs w:val="24"/>
              </w:rPr>
            </w:pPr>
          </w:p>
          <w:p w:rsidR="00A60A97" w:rsidRPr="00B3646A" w:rsidRDefault="00A60A97" w:rsidP="00A864AC">
            <w:pPr>
              <w:pStyle w:val="ListParagraph"/>
              <w:numPr>
                <w:ilvl w:val="0"/>
                <w:numId w:val="11"/>
              </w:numPr>
              <w:spacing w:after="120"/>
              <w:ind w:left="709" w:hanging="426"/>
              <w:rPr>
                <w:rFonts w:cstheme="minorHAnsi"/>
                <w:sz w:val="24"/>
                <w:szCs w:val="24"/>
              </w:rPr>
            </w:pPr>
            <w:r w:rsidRPr="00B3646A">
              <w:rPr>
                <w:rFonts w:cstheme="minorHAnsi"/>
                <w:sz w:val="24"/>
                <w:szCs w:val="24"/>
              </w:rPr>
              <w:t>Clear expla</w:t>
            </w:r>
            <w:r w:rsidR="002960B7">
              <w:rPr>
                <w:rFonts w:cstheme="minorHAnsi"/>
                <w:sz w:val="24"/>
                <w:szCs w:val="24"/>
              </w:rPr>
              <w:t>nation</w:t>
            </w:r>
            <w:r w:rsidRPr="00B3646A">
              <w:rPr>
                <w:rFonts w:cstheme="minorHAnsi"/>
                <w:sz w:val="24"/>
                <w:szCs w:val="24"/>
              </w:rPr>
              <w:t xml:space="preserve"> </w:t>
            </w:r>
            <w:r w:rsidR="002960B7">
              <w:rPr>
                <w:rFonts w:cstheme="minorHAnsi"/>
                <w:sz w:val="24"/>
                <w:szCs w:val="24"/>
              </w:rPr>
              <w:t xml:space="preserve">of whether </w:t>
            </w:r>
            <w:r w:rsidRPr="00B3646A">
              <w:rPr>
                <w:rFonts w:cstheme="minorHAnsi"/>
                <w:sz w:val="24"/>
                <w:szCs w:val="24"/>
              </w:rPr>
              <w:t xml:space="preserve">and why a regulatory approach by the UK is required to fulfil the </w:t>
            </w:r>
            <w:r w:rsidR="002960B7">
              <w:rPr>
                <w:rFonts w:cstheme="minorHAnsi"/>
                <w:sz w:val="24"/>
                <w:szCs w:val="24"/>
              </w:rPr>
              <w:t>EU obligations</w:t>
            </w:r>
            <w:r w:rsidRPr="00B3646A">
              <w:rPr>
                <w:rFonts w:cstheme="minorHAnsi"/>
                <w:sz w:val="24"/>
                <w:szCs w:val="24"/>
              </w:rPr>
              <w:t>.</w:t>
            </w:r>
          </w:p>
        </w:tc>
      </w:tr>
    </w:tbl>
    <w:p w:rsidR="00A60A97" w:rsidRDefault="00A60A97" w:rsidP="00A60A97">
      <w:pPr>
        <w:spacing w:after="120"/>
        <w:rPr>
          <w:rFonts w:cstheme="minorHAnsi"/>
        </w:rPr>
      </w:pPr>
    </w:p>
    <w:p w:rsidR="006C111F" w:rsidRDefault="00F92AAD" w:rsidP="002D123A">
      <w:pPr>
        <w:spacing w:after="120"/>
        <w:rPr>
          <w:rFonts w:cstheme="minorHAnsi"/>
          <w:sz w:val="24"/>
          <w:szCs w:val="24"/>
        </w:rPr>
      </w:pPr>
      <w:r>
        <w:rPr>
          <w:rFonts w:cstheme="minorHAnsi"/>
          <w:sz w:val="24"/>
          <w:szCs w:val="24"/>
        </w:rPr>
        <w:t>T</w:t>
      </w:r>
      <w:r w:rsidR="009423BE" w:rsidRPr="003032B3">
        <w:rPr>
          <w:rFonts w:cstheme="minorHAnsi"/>
          <w:sz w:val="24"/>
          <w:szCs w:val="24"/>
        </w:rPr>
        <w:t xml:space="preserve">he RPC would like to see more assessments </w:t>
      </w:r>
      <w:r w:rsidR="008E6314">
        <w:rPr>
          <w:rFonts w:cstheme="minorHAnsi"/>
          <w:sz w:val="24"/>
          <w:szCs w:val="24"/>
        </w:rPr>
        <w:t>and more</w:t>
      </w:r>
      <w:r w:rsidR="009423BE" w:rsidRPr="003032B3">
        <w:rPr>
          <w:rFonts w:cstheme="minorHAnsi"/>
          <w:sz w:val="24"/>
          <w:szCs w:val="24"/>
        </w:rPr>
        <w:t xml:space="preserve"> monetisation of costs and benefits </w:t>
      </w:r>
      <w:r w:rsidR="008E6314">
        <w:rPr>
          <w:rFonts w:cstheme="minorHAnsi"/>
          <w:sz w:val="24"/>
          <w:szCs w:val="24"/>
        </w:rPr>
        <w:t xml:space="preserve">for </w:t>
      </w:r>
      <w:r w:rsidR="009423BE" w:rsidRPr="003032B3">
        <w:rPr>
          <w:rFonts w:cstheme="minorHAnsi"/>
          <w:sz w:val="24"/>
          <w:szCs w:val="24"/>
        </w:rPr>
        <w:t xml:space="preserve">non-regulatory options. </w:t>
      </w:r>
      <w:r w:rsidR="006C111F">
        <w:rPr>
          <w:sz w:val="24"/>
          <w:szCs w:val="24"/>
        </w:rPr>
        <w:t>RPC analysis shows</w:t>
      </w:r>
      <w:r w:rsidR="006C111F" w:rsidRPr="006C111F">
        <w:rPr>
          <w:sz w:val="24"/>
          <w:szCs w:val="24"/>
        </w:rPr>
        <w:t xml:space="preserve"> that</w:t>
      </w:r>
      <w:r w:rsidR="00AD61B6">
        <w:rPr>
          <w:sz w:val="24"/>
          <w:szCs w:val="24"/>
        </w:rPr>
        <w:t>,</w:t>
      </w:r>
      <w:r w:rsidR="006C111F" w:rsidRPr="006C111F">
        <w:rPr>
          <w:sz w:val="24"/>
          <w:szCs w:val="24"/>
        </w:rPr>
        <w:t xml:space="preserve"> </w:t>
      </w:r>
      <w:r w:rsidR="001B316F">
        <w:rPr>
          <w:sz w:val="24"/>
          <w:szCs w:val="24"/>
        </w:rPr>
        <w:t>in 2014</w:t>
      </w:r>
      <w:r w:rsidR="00AD61B6">
        <w:rPr>
          <w:sz w:val="24"/>
          <w:szCs w:val="24"/>
        </w:rPr>
        <w:t>, only</w:t>
      </w:r>
      <w:r w:rsidR="001B316F">
        <w:rPr>
          <w:sz w:val="24"/>
          <w:szCs w:val="24"/>
        </w:rPr>
        <w:t xml:space="preserve"> </w:t>
      </w:r>
      <w:r w:rsidR="006C111F" w:rsidRPr="006C111F">
        <w:rPr>
          <w:sz w:val="24"/>
          <w:szCs w:val="24"/>
        </w:rPr>
        <w:t>one in two domestic</w:t>
      </w:r>
      <w:r w:rsidR="00654DE9">
        <w:rPr>
          <w:sz w:val="24"/>
          <w:szCs w:val="24"/>
        </w:rPr>
        <w:t xml:space="preserve"> </w:t>
      </w:r>
      <w:r w:rsidR="006C111F" w:rsidRPr="006C111F">
        <w:rPr>
          <w:sz w:val="24"/>
          <w:szCs w:val="24"/>
        </w:rPr>
        <w:t xml:space="preserve">regulatory measures </w:t>
      </w:r>
      <w:r w:rsidR="006C111F">
        <w:rPr>
          <w:sz w:val="24"/>
          <w:szCs w:val="24"/>
        </w:rPr>
        <w:t>submitted via a</w:t>
      </w:r>
      <w:r w:rsidR="006C111F" w:rsidRPr="006C111F">
        <w:rPr>
          <w:sz w:val="24"/>
          <w:szCs w:val="24"/>
        </w:rPr>
        <w:t xml:space="preserve"> full track </w:t>
      </w:r>
      <w:r w:rsidR="006C111F">
        <w:rPr>
          <w:sz w:val="24"/>
          <w:szCs w:val="24"/>
        </w:rPr>
        <w:t xml:space="preserve">route </w:t>
      </w:r>
      <w:r w:rsidR="006C111F" w:rsidRPr="006C111F">
        <w:rPr>
          <w:sz w:val="24"/>
          <w:szCs w:val="24"/>
        </w:rPr>
        <w:t>discussed non-regulatory options.</w:t>
      </w:r>
      <w:r w:rsidR="006C111F">
        <w:rPr>
          <w:sz w:val="24"/>
          <w:szCs w:val="24"/>
        </w:rPr>
        <w:t xml:space="preserve"> </w:t>
      </w:r>
      <w:r w:rsidR="0088388A">
        <w:rPr>
          <w:sz w:val="24"/>
          <w:szCs w:val="24"/>
        </w:rPr>
        <w:t>In addition, o</w:t>
      </w:r>
      <w:r w:rsidR="006C111F" w:rsidRPr="006C111F">
        <w:rPr>
          <w:sz w:val="24"/>
          <w:szCs w:val="24"/>
        </w:rPr>
        <w:t>nly one in eight quantified and monetised non-regulatory options fully.</w:t>
      </w:r>
    </w:p>
    <w:p w:rsidR="006E04F0" w:rsidRDefault="00667633" w:rsidP="002D123A">
      <w:pPr>
        <w:spacing w:after="120"/>
        <w:rPr>
          <w:rFonts w:cstheme="minorHAnsi"/>
          <w:sz w:val="24"/>
          <w:szCs w:val="24"/>
        </w:rPr>
      </w:pPr>
      <w:r>
        <w:rPr>
          <w:rFonts w:cstheme="minorHAnsi"/>
          <w:sz w:val="24"/>
          <w:szCs w:val="24"/>
        </w:rPr>
        <w:t xml:space="preserve">Where </w:t>
      </w:r>
      <w:r w:rsidR="008E6314">
        <w:rPr>
          <w:rFonts w:cstheme="minorHAnsi"/>
          <w:sz w:val="24"/>
          <w:szCs w:val="24"/>
        </w:rPr>
        <w:t xml:space="preserve">a </w:t>
      </w:r>
      <w:r>
        <w:rPr>
          <w:rFonts w:cstheme="minorHAnsi"/>
          <w:sz w:val="24"/>
          <w:szCs w:val="24"/>
        </w:rPr>
        <w:t>department is proposing to regulat</w:t>
      </w:r>
      <w:r w:rsidR="008E6314">
        <w:rPr>
          <w:rFonts w:cstheme="minorHAnsi"/>
          <w:sz w:val="24"/>
          <w:szCs w:val="24"/>
        </w:rPr>
        <w:t>e</w:t>
      </w:r>
      <w:r>
        <w:rPr>
          <w:rFonts w:cstheme="minorHAnsi"/>
          <w:sz w:val="24"/>
          <w:szCs w:val="24"/>
        </w:rPr>
        <w:t xml:space="preserve">, the RPC will look for </w:t>
      </w:r>
      <w:r w:rsidR="009423BE" w:rsidRPr="003032B3">
        <w:rPr>
          <w:rFonts w:cstheme="minorHAnsi"/>
          <w:sz w:val="24"/>
          <w:szCs w:val="24"/>
        </w:rPr>
        <w:t>analysis outlining why alternatives to regulation are not viable or will not be effective in achieving the policy objective. Where possible and proportionate</w:t>
      </w:r>
      <w:r w:rsidR="00C95AF9">
        <w:rPr>
          <w:rFonts w:cstheme="minorHAnsi"/>
          <w:sz w:val="24"/>
          <w:szCs w:val="24"/>
        </w:rPr>
        <w:t>,</w:t>
      </w:r>
      <w:r w:rsidR="009423BE" w:rsidRPr="003032B3">
        <w:rPr>
          <w:rFonts w:cstheme="minorHAnsi"/>
          <w:sz w:val="24"/>
          <w:szCs w:val="24"/>
        </w:rPr>
        <w:t xml:space="preserve"> this analysis should include quantification.</w:t>
      </w:r>
      <w:r w:rsidR="0066373D" w:rsidRPr="0066373D">
        <w:rPr>
          <w:rStyle w:val="FootnoteReference"/>
          <w:rFonts w:cstheme="minorHAnsi"/>
          <w:sz w:val="24"/>
          <w:szCs w:val="24"/>
        </w:rPr>
        <w:t xml:space="preserve"> </w:t>
      </w:r>
    </w:p>
    <w:p w:rsidR="008C4489" w:rsidRDefault="008C4489" w:rsidP="006E04F0">
      <w:pPr>
        <w:spacing w:after="120"/>
        <w:rPr>
          <w:rFonts w:cstheme="minorHAnsi"/>
          <w:sz w:val="24"/>
          <w:szCs w:val="24"/>
        </w:rPr>
      </w:pPr>
      <w:r w:rsidRPr="003032B3">
        <w:rPr>
          <w:rFonts w:cstheme="minorHAnsi"/>
          <w:sz w:val="24"/>
          <w:szCs w:val="24"/>
        </w:rPr>
        <w:t xml:space="preserve">At consultation stage, the focus of the impact assessment should be to present a suitable set of options, including non-regulatory </w:t>
      </w:r>
      <w:r w:rsidR="008E6314">
        <w:rPr>
          <w:rFonts w:cstheme="minorHAnsi"/>
          <w:sz w:val="24"/>
          <w:szCs w:val="24"/>
        </w:rPr>
        <w:t>alternatives</w:t>
      </w:r>
      <w:r w:rsidRPr="003032B3">
        <w:rPr>
          <w:rFonts w:cstheme="minorHAnsi"/>
          <w:sz w:val="24"/>
          <w:szCs w:val="24"/>
        </w:rPr>
        <w:t xml:space="preserve">, and to identify and explain costs and benefits of all options in a comparable fashion. At final stage, the focus should be </w:t>
      </w:r>
      <w:r w:rsidR="008E6314">
        <w:rPr>
          <w:rFonts w:cstheme="minorHAnsi"/>
          <w:sz w:val="24"/>
          <w:szCs w:val="24"/>
        </w:rPr>
        <w:t>on</w:t>
      </w:r>
      <w:r w:rsidR="008E6314" w:rsidRPr="003032B3">
        <w:rPr>
          <w:rFonts w:cstheme="minorHAnsi"/>
          <w:sz w:val="24"/>
          <w:szCs w:val="24"/>
        </w:rPr>
        <w:t xml:space="preserve"> </w:t>
      </w:r>
      <w:r w:rsidRPr="003032B3">
        <w:rPr>
          <w:rFonts w:cstheme="minorHAnsi"/>
          <w:sz w:val="24"/>
          <w:szCs w:val="24"/>
        </w:rPr>
        <w:t>monetis</w:t>
      </w:r>
      <w:r w:rsidR="008E6314">
        <w:rPr>
          <w:rFonts w:cstheme="minorHAnsi"/>
          <w:sz w:val="24"/>
          <w:szCs w:val="24"/>
        </w:rPr>
        <w:t>ing</w:t>
      </w:r>
      <w:r w:rsidRPr="003032B3">
        <w:rPr>
          <w:rFonts w:cstheme="minorHAnsi"/>
          <w:sz w:val="24"/>
          <w:szCs w:val="24"/>
        </w:rPr>
        <w:t xml:space="preserve"> the </w:t>
      </w:r>
      <w:r w:rsidR="008E6314">
        <w:rPr>
          <w:rFonts w:cstheme="minorHAnsi"/>
          <w:sz w:val="24"/>
          <w:szCs w:val="24"/>
        </w:rPr>
        <w:t>impacts</w:t>
      </w:r>
      <w:r w:rsidRPr="003032B3">
        <w:rPr>
          <w:rFonts w:cstheme="minorHAnsi"/>
          <w:sz w:val="24"/>
          <w:szCs w:val="24"/>
        </w:rPr>
        <w:t xml:space="preserve"> as much as feasible and proportionate</w:t>
      </w:r>
      <w:r w:rsidR="005D7CBE">
        <w:rPr>
          <w:rFonts w:cstheme="minorHAnsi"/>
          <w:sz w:val="24"/>
          <w:szCs w:val="24"/>
        </w:rPr>
        <w:t>,</w:t>
      </w:r>
      <w:r w:rsidRPr="003032B3">
        <w:rPr>
          <w:rFonts w:cstheme="minorHAnsi"/>
          <w:sz w:val="24"/>
          <w:szCs w:val="24"/>
        </w:rPr>
        <w:t xml:space="preserve"> to </w:t>
      </w:r>
      <w:r w:rsidR="00D32DA6">
        <w:rPr>
          <w:rFonts w:cstheme="minorHAnsi"/>
          <w:sz w:val="24"/>
          <w:szCs w:val="24"/>
        </w:rPr>
        <w:t xml:space="preserve">support any recommendation for </w:t>
      </w:r>
      <w:r w:rsidRPr="003032B3">
        <w:rPr>
          <w:rFonts w:cstheme="minorHAnsi"/>
          <w:sz w:val="24"/>
          <w:szCs w:val="24"/>
        </w:rPr>
        <w:t>a regulatory approach.</w:t>
      </w:r>
      <w:r>
        <w:rPr>
          <w:rFonts w:cstheme="minorHAnsi"/>
          <w:sz w:val="24"/>
          <w:szCs w:val="24"/>
        </w:rPr>
        <w:t xml:space="preserve"> Where non-regulatory approaches are currently in place, their effects should be fully assessed as part of the ‘do nothing’ option.</w:t>
      </w:r>
      <w:r w:rsidR="00812DB7">
        <w:rPr>
          <w:rFonts w:cstheme="minorHAnsi"/>
          <w:sz w:val="24"/>
          <w:szCs w:val="24"/>
        </w:rPr>
        <w:t xml:space="preserve"> </w:t>
      </w:r>
      <w:r w:rsidR="006E04F0">
        <w:rPr>
          <w:rFonts w:cstheme="minorHAnsi"/>
          <w:sz w:val="24"/>
          <w:szCs w:val="24"/>
        </w:rPr>
        <w:t>The RPC acknowledges that non-regulatory options are not feasible in all cases.</w:t>
      </w:r>
      <w:r>
        <w:rPr>
          <w:rFonts w:cstheme="minorHAnsi"/>
          <w:sz w:val="24"/>
          <w:szCs w:val="24"/>
        </w:rPr>
        <w:t xml:space="preserve"> The </w:t>
      </w:r>
      <w:r w:rsidR="006E04F0">
        <w:rPr>
          <w:rFonts w:cstheme="minorHAnsi"/>
          <w:sz w:val="24"/>
          <w:szCs w:val="24"/>
        </w:rPr>
        <w:t xml:space="preserve">RPC </w:t>
      </w:r>
      <w:r>
        <w:rPr>
          <w:rFonts w:cstheme="minorHAnsi"/>
          <w:sz w:val="24"/>
          <w:szCs w:val="24"/>
        </w:rPr>
        <w:t xml:space="preserve">recognises that the scope to implement the policy via different options might be </w:t>
      </w:r>
      <w:r w:rsidR="00D32DA6">
        <w:rPr>
          <w:rFonts w:cstheme="minorHAnsi"/>
          <w:sz w:val="24"/>
          <w:szCs w:val="24"/>
        </w:rPr>
        <w:t xml:space="preserve">particularly </w:t>
      </w:r>
      <w:r>
        <w:rPr>
          <w:rFonts w:cstheme="minorHAnsi"/>
          <w:sz w:val="24"/>
          <w:szCs w:val="24"/>
        </w:rPr>
        <w:t xml:space="preserve">limited </w:t>
      </w:r>
      <w:r w:rsidR="00D32DA6">
        <w:rPr>
          <w:rFonts w:cstheme="minorHAnsi"/>
          <w:sz w:val="24"/>
          <w:szCs w:val="24"/>
        </w:rPr>
        <w:t>with</w:t>
      </w:r>
      <w:r>
        <w:rPr>
          <w:rFonts w:cstheme="minorHAnsi"/>
          <w:sz w:val="24"/>
          <w:szCs w:val="24"/>
        </w:rPr>
        <w:t xml:space="preserve"> international measures or the transposition of EU directives. </w:t>
      </w:r>
    </w:p>
    <w:p w:rsidR="00967791" w:rsidRDefault="00967791" w:rsidP="009423BE">
      <w:pPr>
        <w:spacing w:line="240" w:lineRule="auto"/>
        <w:rPr>
          <w:rFonts w:cstheme="minorHAnsi"/>
        </w:rPr>
      </w:pPr>
    </w:p>
    <w:p w:rsidR="001B0A23" w:rsidRPr="00E86AC4" w:rsidRDefault="00B915C0" w:rsidP="00A864AC">
      <w:pPr>
        <w:pStyle w:val="ListParagraph"/>
        <w:numPr>
          <w:ilvl w:val="1"/>
          <w:numId w:val="13"/>
        </w:numPr>
        <w:spacing w:line="240" w:lineRule="auto"/>
        <w:rPr>
          <w:rFonts w:cstheme="minorHAnsi"/>
          <w:b/>
          <w:color w:val="984806" w:themeColor="accent6" w:themeShade="80"/>
          <w:sz w:val="28"/>
          <w:szCs w:val="28"/>
        </w:rPr>
      </w:pPr>
      <w:r>
        <w:rPr>
          <w:rFonts w:cstheme="minorHAnsi"/>
          <w:b/>
          <w:color w:val="984806" w:themeColor="accent6" w:themeShade="80"/>
          <w:sz w:val="28"/>
          <w:szCs w:val="28"/>
        </w:rPr>
        <w:t xml:space="preserve"> </w:t>
      </w:r>
      <w:r w:rsidR="00F504BE">
        <w:rPr>
          <w:rFonts w:cstheme="minorHAnsi"/>
          <w:b/>
          <w:color w:val="984806" w:themeColor="accent6" w:themeShade="80"/>
          <w:sz w:val="28"/>
          <w:szCs w:val="28"/>
        </w:rPr>
        <w:t xml:space="preserve">Broader issues </w:t>
      </w:r>
      <w:r w:rsidR="009423BE" w:rsidRPr="00E86AC4">
        <w:rPr>
          <w:rFonts w:cstheme="minorHAnsi"/>
          <w:b/>
          <w:color w:val="984806" w:themeColor="accent6" w:themeShade="80"/>
          <w:sz w:val="28"/>
          <w:szCs w:val="28"/>
        </w:rPr>
        <w:t xml:space="preserve">departments </w:t>
      </w:r>
      <w:r w:rsidR="00F504BE">
        <w:rPr>
          <w:rFonts w:cstheme="minorHAnsi"/>
          <w:b/>
          <w:color w:val="984806" w:themeColor="accent6" w:themeShade="80"/>
          <w:sz w:val="28"/>
          <w:szCs w:val="28"/>
        </w:rPr>
        <w:t xml:space="preserve">should consider in the </w:t>
      </w:r>
      <w:r w:rsidR="009423BE" w:rsidRPr="00E86AC4">
        <w:rPr>
          <w:rFonts w:cstheme="minorHAnsi"/>
          <w:b/>
          <w:color w:val="984806" w:themeColor="accent6" w:themeShade="80"/>
          <w:sz w:val="28"/>
          <w:szCs w:val="28"/>
        </w:rPr>
        <w:t>analysis</w:t>
      </w:r>
      <w:r w:rsidR="002D123A" w:rsidRPr="00E86AC4">
        <w:rPr>
          <w:rFonts w:cstheme="minorHAnsi"/>
          <w:b/>
          <w:color w:val="984806" w:themeColor="accent6" w:themeShade="80"/>
          <w:sz w:val="28"/>
          <w:szCs w:val="28"/>
        </w:rPr>
        <w:t xml:space="preserve"> of options</w:t>
      </w:r>
    </w:p>
    <w:p w:rsidR="001B0A23" w:rsidRPr="001B0A23" w:rsidRDefault="001B0A23" w:rsidP="009423BE">
      <w:pPr>
        <w:spacing w:line="240" w:lineRule="auto"/>
        <w:rPr>
          <w:rFonts w:cstheme="minorHAnsi"/>
          <w:b/>
          <w:color w:val="984806" w:themeColor="accent6" w:themeShade="80"/>
          <w:sz w:val="8"/>
          <w:szCs w:val="8"/>
        </w:rPr>
      </w:pPr>
    </w:p>
    <w:p w:rsidR="009423BE" w:rsidRPr="003032B3" w:rsidRDefault="00E86AC4" w:rsidP="00E86AC4">
      <w:pPr>
        <w:pStyle w:val="ListParagraph"/>
        <w:spacing w:after="120"/>
        <w:ind w:left="709" w:hanging="709"/>
        <w:rPr>
          <w:rFonts w:cstheme="minorHAnsi"/>
          <w:b/>
          <w:sz w:val="24"/>
          <w:szCs w:val="24"/>
        </w:rPr>
      </w:pPr>
      <w:r>
        <w:rPr>
          <w:rFonts w:cstheme="minorHAnsi"/>
          <w:b/>
          <w:sz w:val="24"/>
          <w:szCs w:val="24"/>
        </w:rPr>
        <w:t xml:space="preserve">2.2.1 </w:t>
      </w:r>
      <w:r>
        <w:rPr>
          <w:rFonts w:cstheme="minorHAnsi"/>
          <w:b/>
          <w:sz w:val="24"/>
          <w:szCs w:val="24"/>
        </w:rPr>
        <w:tab/>
      </w:r>
      <w:r w:rsidR="009423BE" w:rsidRPr="003032B3">
        <w:rPr>
          <w:rFonts w:cstheme="minorHAnsi"/>
          <w:b/>
          <w:sz w:val="24"/>
          <w:szCs w:val="24"/>
        </w:rPr>
        <w:t>The</w:t>
      </w:r>
      <w:r w:rsidR="00AD61B6">
        <w:rPr>
          <w:rFonts w:cstheme="minorHAnsi"/>
          <w:b/>
          <w:sz w:val="24"/>
          <w:szCs w:val="24"/>
        </w:rPr>
        <w:t xml:space="preserve"> relationship between regulatory</w:t>
      </w:r>
      <w:r w:rsidR="009423BE" w:rsidRPr="003032B3">
        <w:rPr>
          <w:rFonts w:cstheme="minorHAnsi"/>
          <w:b/>
          <w:sz w:val="24"/>
          <w:szCs w:val="24"/>
        </w:rPr>
        <w:t xml:space="preserve"> and non-regulatory approaches</w:t>
      </w:r>
    </w:p>
    <w:p w:rsidR="009423BE" w:rsidRPr="003032B3" w:rsidRDefault="009041FC" w:rsidP="001B0A23">
      <w:pPr>
        <w:spacing w:after="120"/>
        <w:rPr>
          <w:rFonts w:cstheme="minorHAnsi"/>
          <w:sz w:val="24"/>
          <w:szCs w:val="24"/>
        </w:rPr>
      </w:pPr>
      <w:r>
        <w:rPr>
          <w:rFonts w:cstheme="minorHAnsi"/>
          <w:sz w:val="24"/>
          <w:szCs w:val="24"/>
        </w:rPr>
        <w:t>The RPC expects d</w:t>
      </w:r>
      <w:r w:rsidR="009423BE" w:rsidRPr="003032B3">
        <w:rPr>
          <w:rFonts w:cstheme="minorHAnsi"/>
          <w:sz w:val="24"/>
          <w:szCs w:val="24"/>
        </w:rPr>
        <w:t xml:space="preserve">epartments </w:t>
      </w:r>
      <w:r>
        <w:rPr>
          <w:rFonts w:cstheme="minorHAnsi"/>
          <w:sz w:val="24"/>
          <w:szCs w:val="24"/>
        </w:rPr>
        <w:t xml:space="preserve">to </w:t>
      </w:r>
      <w:r w:rsidR="009423BE" w:rsidRPr="003032B3">
        <w:rPr>
          <w:rFonts w:cstheme="minorHAnsi"/>
          <w:sz w:val="24"/>
          <w:szCs w:val="24"/>
        </w:rPr>
        <w:t>show awareness and</w:t>
      </w:r>
      <w:r>
        <w:rPr>
          <w:rFonts w:cstheme="minorHAnsi"/>
          <w:sz w:val="24"/>
          <w:szCs w:val="24"/>
        </w:rPr>
        <w:t xml:space="preserve"> </w:t>
      </w:r>
      <w:r w:rsidR="00060053">
        <w:rPr>
          <w:rFonts w:cstheme="minorHAnsi"/>
          <w:sz w:val="24"/>
          <w:szCs w:val="24"/>
        </w:rPr>
        <w:t xml:space="preserve">provide </w:t>
      </w:r>
      <w:r>
        <w:rPr>
          <w:rFonts w:cstheme="minorHAnsi"/>
          <w:sz w:val="24"/>
          <w:szCs w:val="24"/>
        </w:rPr>
        <w:t>clear</w:t>
      </w:r>
      <w:r w:rsidR="009423BE" w:rsidRPr="003032B3">
        <w:rPr>
          <w:rFonts w:cstheme="minorHAnsi"/>
          <w:sz w:val="24"/>
          <w:szCs w:val="24"/>
        </w:rPr>
        <w:t xml:space="preserve"> analys</w:t>
      </w:r>
      <w:r w:rsidR="00060053">
        <w:rPr>
          <w:rFonts w:cstheme="minorHAnsi"/>
          <w:sz w:val="24"/>
          <w:szCs w:val="24"/>
        </w:rPr>
        <w:t>is</w:t>
      </w:r>
      <w:r w:rsidR="009423BE" w:rsidRPr="003032B3">
        <w:rPr>
          <w:rFonts w:cstheme="minorHAnsi"/>
          <w:sz w:val="24"/>
          <w:szCs w:val="24"/>
        </w:rPr>
        <w:t xml:space="preserve"> </w:t>
      </w:r>
      <w:r w:rsidR="00060053">
        <w:rPr>
          <w:rFonts w:cstheme="minorHAnsi"/>
          <w:sz w:val="24"/>
          <w:szCs w:val="24"/>
        </w:rPr>
        <w:t xml:space="preserve">of </w:t>
      </w:r>
      <w:r w:rsidR="009423BE" w:rsidRPr="003032B3">
        <w:rPr>
          <w:rFonts w:cstheme="minorHAnsi"/>
          <w:sz w:val="24"/>
          <w:szCs w:val="24"/>
        </w:rPr>
        <w:t xml:space="preserve">the relationship between non-regulatory approaches and regulatory ones. The effectiveness of regulation might depend on the level of voluntary schemes already in place. Existing forms </w:t>
      </w:r>
      <w:r w:rsidR="009423BE" w:rsidRPr="003032B3">
        <w:rPr>
          <w:rFonts w:cstheme="minorHAnsi"/>
          <w:sz w:val="24"/>
          <w:szCs w:val="24"/>
        </w:rPr>
        <w:lastRenderedPageBreak/>
        <w:t>of self-regulation or co-regulation might make new regulation partially redundant</w:t>
      </w:r>
      <w:r>
        <w:rPr>
          <w:rFonts w:cstheme="minorHAnsi"/>
          <w:sz w:val="24"/>
          <w:szCs w:val="24"/>
        </w:rPr>
        <w:t xml:space="preserve"> as the benefits of such new regulations would be reduced</w:t>
      </w:r>
      <w:r w:rsidR="009423BE" w:rsidRPr="003032B3">
        <w:rPr>
          <w:rFonts w:cstheme="minorHAnsi"/>
          <w:sz w:val="24"/>
          <w:szCs w:val="24"/>
        </w:rPr>
        <w:t>.</w:t>
      </w:r>
      <w:r w:rsidR="009423BE" w:rsidRPr="003032B3">
        <w:rPr>
          <w:rStyle w:val="FootnoteReference"/>
          <w:rFonts w:cstheme="minorHAnsi"/>
          <w:sz w:val="24"/>
          <w:szCs w:val="24"/>
        </w:rPr>
        <w:footnoteReference w:id="2"/>
      </w:r>
      <w:r w:rsidR="009423BE" w:rsidRPr="003032B3">
        <w:rPr>
          <w:rFonts w:cstheme="minorHAnsi"/>
          <w:sz w:val="24"/>
          <w:szCs w:val="24"/>
        </w:rPr>
        <w:t xml:space="preserve"> </w:t>
      </w:r>
    </w:p>
    <w:p w:rsidR="00060053" w:rsidRDefault="009423BE" w:rsidP="00060053">
      <w:pPr>
        <w:spacing w:after="120"/>
        <w:rPr>
          <w:rFonts w:cstheme="minorHAnsi"/>
          <w:sz w:val="24"/>
          <w:szCs w:val="24"/>
        </w:rPr>
      </w:pPr>
      <w:r w:rsidRPr="003032B3">
        <w:rPr>
          <w:rFonts w:cstheme="minorHAnsi"/>
          <w:sz w:val="24"/>
          <w:szCs w:val="24"/>
        </w:rPr>
        <w:t xml:space="preserve">Departments should </w:t>
      </w:r>
      <w:r w:rsidR="00060053">
        <w:rPr>
          <w:rFonts w:cstheme="minorHAnsi"/>
          <w:sz w:val="24"/>
          <w:szCs w:val="24"/>
        </w:rPr>
        <w:t xml:space="preserve">consider how the position might evolve over time. </w:t>
      </w:r>
      <w:r w:rsidRPr="003032B3">
        <w:rPr>
          <w:rFonts w:cstheme="minorHAnsi"/>
          <w:sz w:val="24"/>
          <w:szCs w:val="24"/>
        </w:rPr>
        <w:t xml:space="preserve"> Are businesses currently thinking about a voluntary approach and should it be included in the counterfactual? Would the introduction of </w:t>
      </w:r>
      <w:r w:rsidR="009041FC">
        <w:rPr>
          <w:rFonts w:cstheme="minorHAnsi"/>
          <w:sz w:val="24"/>
          <w:szCs w:val="24"/>
        </w:rPr>
        <w:t xml:space="preserve">statutory </w:t>
      </w:r>
      <w:r w:rsidRPr="003032B3">
        <w:rPr>
          <w:rFonts w:cstheme="minorHAnsi"/>
          <w:sz w:val="24"/>
          <w:szCs w:val="24"/>
        </w:rPr>
        <w:t>regulation stifle voluntary efforts by business?</w:t>
      </w:r>
    </w:p>
    <w:p w:rsidR="009423BE" w:rsidRPr="00E86AC4" w:rsidRDefault="009423BE" w:rsidP="00A864AC">
      <w:pPr>
        <w:pStyle w:val="ListParagraph"/>
        <w:numPr>
          <w:ilvl w:val="2"/>
          <w:numId w:val="14"/>
        </w:numPr>
        <w:spacing w:after="120"/>
        <w:rPr>
          <w:rFonts w:cstheme="minorHAnsi"/>
          <w:b/>
          <w:sz w:val="24"/>
          <w:szCs w:val="24"/>
        </w:rPr>
      </w:pPr>
      <w:r w:rsidRPr="00E86AC4">
        <w:rPr>
          <w:rFonts w:cstheme="minorHAnsi"/>
          <w:b/>
          <w:sz w:val="24"/>
          <w:szCs w:val="24"/>
        </w:rPr>
        <w:t>Incentives</w:t>
      </w:r>
    </w:p>
    <w:p w:rsidR="009423BE" w:rsidRPr="003032B3" w:rsidRDefault="009423BE" w:rsidP="001B0A23">
      <w:pPr>
        <w:spacing w:after="120"/>
        <w:rPr>
          <w:rFonts w:cstheme="minorHAnsi"/>
          <w:sz w:val="24"/>
          <w:szCs w:val="24"/>
        </w:rPr>
      </w:pPr>
      <w:r w:rsidRPr="003032B3">
        <w:rPr>
          <w:rFonts w:cstheme="minorHAnsi"/>
          <w:sz w:val="24"/>
          <w:szCs w:val="24"/>
        </w:rPr>
        <w:t xml:space="preserve">While there might be some degree of </w:t>
      </w:r>
      <w:r w:rsidR="001B0A23" w:rsidRPr="003032B3">
        <w:rPr>
          <w:rFonts w:cstheme="minorHAnsi"/>
          <w:sz w:val="24"/>
          <w:szCs w:val="24"/>
        </w:rPr>
        <w:t>substitutability</w:t>
      </w:r>
      <w:r w:rsidRPr="003032B3">
        <w:rPr>
          <w:rFonts w:cstheme="minorHAnsi"/>
          <w:sz w:val="24"/>
          <w:szCs w:val="24"/>
        </w:rPr>
        <w:t xml:space="preserve"> between regulatory and non-regulatory approaches, the incentives involved can be very different. For example, self-regulation could be imposed by dominant players in the market to stifle entry and competition and standards set by industry voluntarily could, therefore, be stricter at times.</w:t>
      </w:r>
      <w:r w:rsidRPr="003032B3">
        <w:rPr>
          <w:rStyle w:val="FootnoteReference"/>
          <w:rFonts w:cstheme="minorHAnsi"/>
          <w:sz w:val="24"/>
          <w:szCs w:val="24"/>
        </w:rPr>
        <w:footnoteReference w:id="3"/>
      </w:r>
    </w:p>
    <w:p w:rsidR="00967791" w:rsidRPr="003032B3" w:rsidRDefault="009423BE" w:rsidP="001B0A23">
      <w:pPr>
        <w:spacing w:after="240"/>
        <w:rPr>
          <w:rFonts w:cstheme="minorHAnsi"/>
          <w:sz w:val="24"/>
          <w:szCs w:val="24"/>
        </w:rPr>
      </w:pPr>
      <w:r w:rsidRPr="003032B3">
        <w:rPr>
          <w:rFonts w:cstheme="minorHAnsi"/>
          <w:sz w:val="24"/>
          <w:szCs w:val="24"/>
        </w:rPr>
        <w:t xml:space="preserve">Many non-regulatory options are based on building appropriate incentives for </w:t>
      </w:r>
      <w:r w:rsidR="00060053">
        <w:rPr>
          <w:rFonts w:cstheme="minorHAnsi"/>
          <w:sz w:val="24"/>
          <w:szCs w:val="24"/>
        </w:rPr>
        <w:t xml:space="preserve">the </w:t>
      </w:r>
      <w:r w:rsidRPr="003032B3">
        <w:rPr>
          <w:rFonts w:cstheme="minorHAnsi"/>
          <w:sz w:val="24"/>
          <w:szCs w:val="24"/>
        </w:rPr>
        <w:t xml:space="preserve">parties involved. Government has greatly increased its analysis of behavioural responses to incentive schemes, for example by setting up the UK Behavioural Insights Team (UKBIT) in 2010. Analysis by BIT and results from other academic research in the field of behavioural economics </w:t>
      </w:r>
      <w:r w:rsidR="008E6314">
        <w:rPr>
          <w:rFonts w:cstheme="minorHAnsi"/>
          <w:sz w:val="24"/>
          <w:szCs w:val="24"/>
        </w:rPr>
        <w:t>are</w:t>
      </w:r>
      <w:r w:rsidR="008E6314" w:rsidRPr="003032B3">
        <w:rPr>
          <w:rFonts w:cstheme="minorHAnsi"/>
          <w:sz w:val="24"/>
          <w:szCs w:val="24"/>
        </w:rPr>
        <w:t xml:space="preserve"> </w:t>
      </w:r>
      <w:r w:rsidRPr="003032B3">
        <w:rPr>
          <w:rFonts w:cstheme="minorHAnsi"/>
          <w:sz w:val="24"/>
          <w:szCs w:val="24"/>
        </w:rPr>
        <w:t xml:space="preserve">increasingly </w:t>
      </w:r>
      <w:r w:rsidR="008E6314">
        <w:rPr>
          <w:rFonts w:cstheme="minorHAnsi"/>
          <w:sz w:val="24"/>
          <w:szCs w:val="24"/>
        </w:rPr>
        <w:t>being</w:t>
      </w:r>
      <w:r w:rsidR="008E6314" w:rsidRPr="003032B3">
        <w:rPr>
          <w:rFonts w:cstheme="minorHAnsi"/>
          <w:sz w:val="24"/>
          <w:szCs w:val="24"/>
        </w:rPr>
        <w:t xml:space="preserve"> </w:t>
      </w:r>
      <w:r w:rsidRPr="003032B3">
        <w:rPr>
          <w:rFonts w:cstheme="minorHAnsi"/>
          <w:sz w:val="24"/>
          <w:szCs w:val="24"/>
        </w:rPr>
        <w:t>used for policy making and the design of regulation.</w:t>
      </w:r>
      <w:r w:rsidRPr="003032B3">
        <w:rPr>
          <w:rStyle w:val="FootnoteReference"/>
          <w:rFonts w:cstheme="minorHAnsi"/>
          <w:sz w:val="24"/>
          <w:szCs w:val="24"/>
        </w:rPr>
        <w:footnoteReference w:id="4"/>
      </w:r>
      <w:r w:rsidRPr="003032B3">
        <w:rPr>
          <w:rFonts w:cstheme="minorHAnsi"/>
          <w:sz w:val="24"/>
          <w:szCs w:val="24"/>
        </w:rPr>
        <w:t xml:space="preserve"> The principles arising from this research extend beyond regulatory policy. Departments should make use of such sources when analysing the potential outcomes of non-regulatory approaches</w:t>
      </w:r>
      <w:r w:rsidR="00FE5992">
        <w:rPr>
          <w:rFonts w:cstheme="minorHAnsi"/>
          <w:sz w:val="24"/>
          <w:szCs w:val="24"/>
        </w:rPr>
        <w:t>,</w:t>
      </w:r>
      <w:r w:rsidRPr="003032B3">
        <w:rPr>
          <w:rFonts w:cstheme="minorHAnsi"/>
          <w:sz w:val="24"/>
          <w:szCs w:val="24"/>
        </w:rPr>
        <w:t xml:space="preserve"> and the incentives involved</w:t>
      </w:r>
      <w:r w:rsidR="00FE5992">
        <w:rPr>
          <w:rFonts w:cstheme="minorHAnsi"/>
          <w:sz w:val="24"/>
          <w:szCs w:val="24"/>
        </w:rPr>
        <w:t>,</w:t>
      </w:r>
      <w:r w:rsidRPr="003032B3">
        <w:rPr>
          <w:rFonts w:cstheme="minorHAnsi"/>
          <w:sz w:val="24"/>
          <w:szCs w:val="24"/>
        </w:rPr>
        <w:t xml:space="preserve"> when more standard forms of data are not available.</w:t>
      </w:r>
    </w:p>
    <w:p w:rsidR="009423BE" w:rsidRPr="00E86AC4" w:rsidRDefault="009423BE" w:rsidP="00A864AC">
      <w:pPr>
        <w:pStyle w:val="ListParagraph"/>
        <w:numPr>
          <w:ilvl w:val="2"/>
          <w:numId w:val="14"/>
        </w:numPr>
        <w:spacing w:after="120"/>
        <w:rPr>
          <w:rFonts w:cstheme="minorHAnsi"/>
          <w:b/>
          <w:sz w:val="24"/>
          <w:szCs w:val="24"/>
        </w:rPr>
      </w:pPr>
      <w:r w:rsidRPr="00E86AC4">
        <w:rPr>
          <w:rFonts w:cstheme="minorHAnsi"/>
          <w:b/>
          <w:sz w:val="24"/>
          <w:szCs w:val="24"/>
        </w:rPr>
        <w:t>Set of non-regulatory approaches considered and justification for regulation</w:t>
      </w:r>
    </w:p>
    <w:p w:rsidR="009423BE" w:rsidRPr="003032B3" w:rsidRDefault="009423BE" w:rsidP="001B0A23">
      <w:pPr>
        <w:spacing w:after="120"/>
        <w:rPr>
          <w:rFonts w:cstheme="minorHAnsi"/>
          <w:sz w:val="24"/>
          <w:szCs w:val="24"/>
        </w:rPr>
      </w:pPr>
      <w:r w:rsidRPr="003032B3">
        <w:rPr>
          <w:rFonts w:cstheme="minorHAnsi"/>
          <w:sz w:val="24"/>
          <w:szCs w:val="24"/>
        </w:rPr>
        <w:t xml:space="preserve">Departments should not only consider formal non-regulatory </w:t>
      </w:r>
      <w:r w:rsidR="008E6314">
        <w:rPr>
          <w:rFonts w:cstheme="minorHAnsi"/>
          <w:sz w:val="24"/>
          <w:szCs w:val="24"/>
        </w:rPr>
        <w:t>options</w:t>
      </w:r>
      <w:r w:rsidRPr="003032B3">
        <w:rPr>
          <w:rFonts w:cstheme="minorHAnsi"/>
          <w:sz w:val="24"/>
          <w:szCs w:val="24"/>
        </w:rPr>
        <w:t xml:space="preserve">, such as </w:t>
      </w:r>
      <w:r w:rsidR="001B0A23" w:rsidRPr="003032B3">
        <w:rPr>
          <w:rFonts w:cstheme="minorHAnsi"/>
          <w:sz w:val="24"/>
          <w:szCs w:val="24"/>
        </w:rPr>
        <w:t>voluntary</w:t>
      </w:r>
      <w:r w:rsidRPr="003032B3">
        <w:rPr>
          <w:rFonts w:cstheme="minorHAnsi"/>
          <w:sz w:val="24"/>
          <w:szCs w:val="24"/>
        </w:rPr>
        <w:t xml:space="preserve"> codes of practice or industry standards, but also </w:t>
      </w:r>
      <w:r w:rsidR="001B0A23" w:rsidRPr="003032B3">
        <w:rPr>
          <w:rFonts w:cstheme="minorHAnsi"/>
          <w:sz w:val="24"/>
          <w:szCs w:val="24"/>
        </w:rPr>
        <w:t>analyse</w:t>
      </w:r>
      <w:r w:rsidRPr="003032B3">
        <w:rPr>
          <w:rFonts w:cstheme="minorHAnsi"/>
          <w:sz w:val="24"/>
          <w:szCs w:val="24"/>
        </w:rPr>
        <w:t xml:space="preserve"> to what extent </w:t>
      </w:r>
      <w:r w:rsidR="008E6314">
        <w:rPr>
          <w:rFonts w:cstheme="minorHAnsi"/>
          <w:sz w:val="24"/>
          <w:szCs w:val="24"/>
        </w:rPr>
        <w:t xml:space="preserve">recent developments and market </w:t>
      </w:r>
      <w:r w:rsidRPr="003032B3">
        <w:rPr>
          <w:rFonts w:cstheme="minorHAnsi"/>
          <w:sz w:val="24"/>
          <w:szCs w:val="24"/>
        </w:rPr>
        <w:t xml:space="preserve">mechanisms could partially </w:t>
      </w:r>
      <w:r w:rsidR="001B0A23" w:rsidRPr="003032B3">
        <w:rPr>
          <w:rFonts w:cstheme="minorHAnsi"/>
          <w:sz w:val="24"/>
          <w:szCs w:val="24"/>
        </w:rPr>
        <w:t>address</w:t>
      </w:r>
      <w:r w:rsidRPr="003032B3">
        <w:rPr>
          <w:rFonts w:cstheme="minorHAnsi"/>
          <w:sz w:val="24"/>
          <w:szCs w:val="24"/>
        </w:rPr>
        <w:t xml:space="preserve"> the issue. Such mechanisms could be, amongst others, the strengthening of consumer awareness and pressure </w:t>
      </w:r>
      <w:r w:rsidR="008E6314">
        <w:rPr>
          <w:rFonts w:cstheme="minorHAnsi"/>
          <w:sz w:val="24"/>
          <w:szCs w:val="24"/>
        </w:rPr>
        <w:t xml:space="preserve">from </w:t>
      </w:r>
      <w:r w:rsidRPr="003032B3">
        <w:rPr>
          <w:rFonts w:cstheme="minorHAnsi"/>
          <w:sz w:val="24"/>
          <w:szCs w:val="24"/>
        </w:rPr>
        <w:t>new technologies. These should be taken into account in the counterfactual.</w:t>
      </w:r>
    </w:p>
    <w:p w:rsidR="00DA5674" w:rsidRPr="003032B3" w:rsidRDefault="009423BE" w:rsidP="001B0A23">
      <w:pPr>
        <w:spacing w:after="120"/>
        <w:rPr>
          <w:rFonts w:cstheme="minorHAnsi"/>
          <w:sz w:val="24"/>
          <w:szCs w:val="24"/>
        </w:rPr>
      </w:pPr>
      <w:r w:rsidRPr="003032B3">
        <w:rPr>
          <w:rFonts w:cstheme="minorHAnsi"/>
          <w:sz w:val="24"/>
          <w:szCs w:val="24"/>
        </w:rPr>
        <w:t xml:space="preserve">Departments should avoid </w:t>
      </w:r>
      <w:r w:rsidR="008E6314">
        <w:rPr>
          <w:rFonts w:cstheme="minorHAnsi"/>
          <w:sz w:val="24"/>
          <w:szCs w:val="24"/>
        </w:rPr>
        <w:t>assuming</w:t>
      </w:r>
      <w:r w:rsidR="00FE5992">
        <w:rPr>
          <w:rFonts w:cstheme="minorHAnsi"/>
          <w:sz w:val="24"/>
          <w:szCs w:val="24"/>
        </w:rPr>
        <w:t xml:space="preserve"> as </w:t>
      </w:r>
      <w:r w:rsidRPr="003032B3">
        <w:rPr>
          <w:rFonts w:cstheme="minorHAnsi"/>
          <w:sz w:val="24"/>
          <w:szCs w:val="24"/>
        </w:rPr>
        <w:t xml:space="preserve">standard that non-regulatory options </w:t>
      </w:r>
      <w:r w:rsidR="0026400C">
        <w:rPr>
          <w:rFonts w:cstheme="minorHAnsi"/>
          <w:sz w:val="24"/>
          <w:szCs w:val="24"/>
        </w:rPr>
        <w:t xml:space="preserve">produce lower </w:t>
      </w:r>
      <w:r w:rsidRPr="003032B3">
        <w:rPr>
          <w:rFonts w:cstheme="minorHAnsi"/>
          <w:sz w:val="24"/>
          <w:szCs w:val="24"/>
        </w:rPr>
        <w:t xml:space="preserve">uptake than regulation and that they, therefore, lead to smaller costs to business </w:t>
      </w:r>
      <w:r w:rsidR="0026400C">
        <w:rPr>
          <w:rFonts w:cstheme="minorHAnsi"/>
          <w:sz w:val="24"/>
          <w:szCs w:val="24"/>
        </w:rPr>
        <w:t xml:space="preserve">while </w:t>
      </w:r>
      <w:r w:rsidR="008E6314">
        <w:rPr>
          <w:rFonts w:cstheme="minorHAnsi"/>
          <w:sz w:val="24"/>
          <w:szCs w:val="24"/>
        </w:rPr>
        <w:t>delivering</w:t>
      </w:r>
      <w:r w:rsidR="008E6314" w:rsidRPr="003032B3">
        <w:rPr>
          <w:rFonts w:cstheme="minorHAnsi"/>
          <w:sz w:val="24"/>
          <w:szCs w:val="24"/>
        </w:rPr>
        <w:t xml:space="preserve"> </w:t>
      </w:r>
      <w:r w:rsidRPr="003032B3">
        <w:rPr>
          <w:rFonts w:cstheme="minorHAnsi"/>
          <w:sz w:val="24"/>
          <w:szCs w:val="24"/>
        </w:rPr>
        <w:t xml:space="preserve">a smaller net benefit to society. While this might be true in many instances, it should be founded in evidence rather than just asserted. </w:t>
      </w:r>
      <w:r w:rsidR="0026400C">
        <w:rPr>
          <w:rFonts w:cstheme="minorHAnsi"/>
          <w:sz w:val="24"/>
          <w:szCs w:val="24"/>
        </w:rPr>
        <w:t>D</w:t>
      </w:r>
      <w:r w:rsidRPr="003032B3">
        <w:rPr>
          <w:rFonts w:cstheme="minorHAnsi"/>
          <w:sz w:val="24"/>
          <w:szCs w:val="24"/>
        </w:rPr>
        <w:t xml:space="preserve">epartments should </w:t>
      </w:r>
      <w:r w:rsidR="0026400C">
        <w:rPr>
          <w:rFonts w:cstheme="minorHAnsi"/>
          <w:sz w:val="24"/>
          <w:szCs w:val="24"/>
        </w:rPr>
        <w:t xml:space="preserve">also </w:t>
      </w:r>
      <w:r w:rsidRPr="003032B3">
        <w:rPr>
          <w:rFonts w:cstheme="minorHAnsi"/>
          <w:sz w:val="24"/>
          <w:szCs w:val="24"/>
        </w:rPr>
        <w:t xml:space="preserve">explain </w:t>
      </w:r>
      <w:r w:rsidRPr="003032B3">
        <w:rPr>
          <w:rFonts w:cstheme="minorHAnsi"/>
          <w:sz w:val="24"/>
          <w:szCs w:val="24"/>
        </w:rPr>
        <w:lastRenderedPageBreak/>
        <w:t>why the delivery of a smaller part of the policy objective at the benefit of a reduced cost to business is not acceptable.</w:t>
      </w:r>
    </w:p>
    <w:p w:rsidR="00B3646A" w:rsidRDefault="009423BE" w:rsidP="00B004F0">
      <w:pPr>
        <w:spacing w:after="0"/>
        <w:rPr>
          <w:sz w:val="24"/>
          <w:szCs w:val="24"/>
        </w:rPr>
      </w:pPr>
      <w:r w:rsidRPr="003032B3">
        <w:rPr>
          <w:sz w:val="24"/>
          <w:szCs w:val="24"/>
        </w:rPr>
        <w:t xml:space="preserve">By definition, The RPC does not, usually, see cases in which a non-regulatory option is taken forward. Below are some cases which included a good analysis of non-regulatory options. </w:t>
      </w:r>
    </w:p>
    <w:p w:rsidR="0023556D" w:rsidRDefault="0023556D" w:rsidP="00B004F0">
      <w:pPr>
        <w:spacing w:after="0"/>
        <w:rPr>
          <w:sz w:val="24"/>
          <w:szCs w:val="24"/>
        </w:rPr>
      </w:pPr>
    </w:p>
    <w:p w:rsidR="0023556D" w:rsidRPr="0023556D" w:rsidRDefault="0023556D" w:rsidP="0023556D">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rFonts w:cstheme="minorHAnsi"/>
          <w:b/>
          <w:color w:val="000000" w:themeColor="text1"/>
          <w:sz w:val="24"/>
          <w:szCs w:val="24"/>
        </w:rPr>
      </w:pPr>
      <w:r w:rsidRPr="0023556D">
        <w:rPr>
          <w:rFonts w:eastAsiaTheme="majorEastAsia" w:cstheme="minorHAnsi"/>
          <w:b/>
          <w:bCs/>
          <w:iCs/>
          <w:color w:val="000000" w:themeColor="text1"/>
          <w:sz w:val="24"/>
          <w:szCs w:val="24"/>
        </w:rPr>
        <w:t>Employers in Great Britain, with at least 250 employees, to publish mean and median gender pay gap figures, mean and median gender bonus gap figures and a table with the breakdown of the number of males and females by salary quartiles (RPC-GEO-3023(4))</w:t>
      </w:r>
      <w:r w:rsidRPr="0023556D">
        <w:rPr>
          <w:rFonts w:cstheme="minorHAnsi"/>
          <w:b/>
          <w:color w:val="000000" w:themeColor="text1"/>
          <w:sz w:val="24"/>
          <w:szCs w:val="24"/>
        </w:rPr>
        <w:t xml:space="preserve"> </w:t>
      </w:r>
    </w:p>
    <w:p w:rsidR="0023556D" w:rsidRPr="0023556D" w:rsidRDefault="0023556D" w:rsidP="0023556D">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rFonts w:cstheme="minorHAnsi"/>
          <w:sz w:val="24"/>
          <w:szCs w:val="24"/>
        </w:rPr>
      </w:pPr>
      <w:r w:rsidRPr="0023556D">
        <w:rPr>
          <w:rFonts w:cstheme="minorHAnsi"/>
          <w:sz w:val="24"/>
          <w:szCs w:val="24"/>
        </w:rPr>
        <w:t>These regulations will require companies with more than 250 employees to publish the following figures annually: (a) mean and median gender pay gaps; (b) mean and median gender bonus gaps; and (c) the number of men and women in each quartile of the company’s pay distribution.</w:t>
      </w:r>
    </w:p>
    <w:p w:rsidR="0023556D" w:rsidRPr="0023556D" w:rsidRDefault="0023556D" w:rsidP="0023556D">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rFonts w:cstheme="minorHAnsi"/>
          <w:sz w:val="24"/>
          <w:szCs w:val="24"/>
        </w:rPr>
      </w:pPr>
      <w:r w:rsidRPr="0023556D">
        <w:rPr>
          <w:rFonts w:cstheme="minorHAnsi"/>
          <w:sz w:val="24"/>
          <w:szCs w:val="24"/>
        </w:rPr>
        <w:t xml:space="preserve">The Government previously pursued alternatives to regulation. In particular, since 2011 the Department encouraged large employers to voluntary publish gender pay gap information through the </w:t>
      </w:r>
      <w:r w:rsidRPr="0023556D">
        <w:rPr>
          <w:rFonts w:cstheme="minorHAnsi"/>
          <w:i/>
          <w:sz w:val="24"/>
          <w:szCs w:val="24"/>
        </w:rPr>
        <w:t>Think Act Report</w:t>
      </w:r>
      <w:r w:rsidRPr="0023556D">
        <w:rPr>
          <w:rFonts w:cstheme="minorHAnsi"/>
          <w:sz w:val="24"/>
          <w:szCs w:val="24"/>
        </w:rPr>
        <w:t xml:space="preserve"> initiative. However, only 5 out of almost 280 employers who signed up to the voluntary initiative published the information. The Department explains that while the gender pay gap has slowly fallen over the last five years, decreasing from 19.85% in 2010 by 0.75% to 19.1% in 2015, the voluntary approach would be very unlikely to achieve the policy objective of accelerating the reduction in the gender pay gap over time.</w:t>
      </w:r>
    </w:p>
    <w:p w:rsidR="00FE5992" w:rsidRPr="003032B3" w:rsidRDefault="00FE5992" w:rsidP="00B004F0">
      <w:pPr>
        <w:spacing w:after="0"/>
        <w:rPr>
          <w:sz w:val="24"/>
          <w:szCs w:val="24"/>
        </w:rPr>
      </w:pPr>
    </w:p>
    <w:p w:rsidR="00B004F0" w:rsidRPr="00663D24" w:rsidRDefault="00B004F0" w:rsidP="00663D2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b/>
          <w:color w:val="000000" w:themeColor="text1"/>
          <w:sz w:val="24"/>
          <w:szCs w:val="24"/>
        </w:rPr>
      </w:pPr>
      <w:r w:rsidRPr="003032B3">
        <w:rPr>
          <w:b/>
          <w:color w:val="000000" w:themeColor="text1"/>
          <w:sz w:val="24"/>
          <w:szCs w:val="24"/>
        </w:rPr>
        <w:t>Material Recovery Facilities</w:t>
      </w:r>
      <w:r w:rsidR="005F14CD">
        <w:rPr>
          <w:b/>
          <w:color w:val="000000" w:themeColor="text1"/>
          <w:sz w:val="24"/>
          <w:szCs w:val="24"/>
        </w:rPr>
        <w:t xml:space="preserve"> (RPC12-DEFRA-1625)</w:t>
      </w:r>
      <w:r w:rsidR="00663D24">
        <w:rPr>
          <w:b/>
          <w:color w:val="000000" w:themeColor="text1"/>
          <w:sz w:val="24"/>
          <w:szCs w:val="24"/>
        </w:rPr>
        <w:t xml:space="preserve">: </w:t>
      </w:r>
      <w:r w:rsidRPr="003032B3">
        <w:rPr>
          <w:color w:val="000000" w:themeColor="text1"/>
          <w:sz w:val="24"/>
          <w:szCs w:val="24"/>
        </w:rPr>
        <w:t>The proposal requires Material Recovery Facilities to sample the quality of their input and output material streams in a standardised way and make information on this transparent and public.</w:t>
      </w:r>
    </w:p>
    <w:p w:rsidR="00B004F0" w:rsidRPr="003032B3" w:rsidRDefault="00B004F0" w:rsidP="00B004F0">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color w:val="000000" w:themeColor="text1"/>
          <w:sz w:val="24"/>
          <w:szCs w:val="24"/>
        </w:rPr>
      </w:pPr>
      <w:r w:rsidRPr="003032B3">
        <w:rPr>
          <w:color w:val="000000" w:themeColor="text1"/>
          <w:sz w:val="24"/>
          <w:szCs w:val="24"/>
        </w:rPr>
        <w:t xml:space="preserve">The IA does not </w:t>
      </w:r>
      <w:r w:rsidR="00812DB7">
        <w:rPr>
          <w:color w:val="000000" w:themeColor="text1"/>
          <w:sz w:val="24"/>
          <w:szCs w:val="24"/>
        </w:rPr>
        <w:t xml:space="preserve">provide an </w:t>
      </w:r>
      <w:r w:rsidRPr="003032B3">
        <w:rPr>
          <w:color w:val="000000" w:themeColor="text1"/>
          <w:sz w:val="24"/>
          <w:szCs w:val="24"/>
        </w:rPr>
        <w:t>assess</w:t>
      </w:r>
      <w:r w:rsidR="00812DB7">
        <w:rPr>
          <w:color w:val="000000" w:themeColor="text1"/>
          <w:sz w:val="24"/>
          <w:szCs w:val="24"/>
        </w:rPr>
        <w:t>ment of a</w:t>
      </w:r>
      <w:r w:rsidRPr="003032B3">
        <w:rPr>
          <w:color w:val="000000" w:themeColor="text1"/>
          <w:sz w:val="24"/>
          <w:szCs w:val="24"/>
        </w:rPr>
        <w:t xml:space="preserve"> non-regulatory approach as such, but explains clearly the pre-regulatory environment. It provides good theoretical analysis, which is backed up by consultation responses from the industry, on why existing voluntary approaches cannot address the issue at hand.</w:t>
      </w:r>
    </w:p>
    <w:p w:rsidR="00B004F0" w:rsidRPr="003032B3" w:rsidRDefault="00B004F0" w:rsidP="00B004F0">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color w:val="000000" w:themeColor="text1"/>
          <w:sz w:val="24"/>
          <w:szCs w:val="24"/>
        </w:rPr>
      </w:pPr>
      <w:r w:rsidRPr="003032B3">
        <w:rPr>
          <w:color w:val="000000" w:themeColor="text1"/>
          <w:sz w:val="24"/>
          <w:szCs w:val="24"/>
        </w:rPr>
        <w:t>The IA explains that competitive pressure on operating costs is very high in this sector. In addition, asymmetric information in this market means that buyers of recycle</w:t>
      </w:r>
      <w:r w:rsidR="00FE5992">
        <w:rPr>
          <w:color w:val="000000" w:themeColor="text1"/>
          <w:sz w:val="24"/>
          <w:szCs w:val="24"/>
        </w:rPr>
        <w:t>d material</w:t>
      </w:r>
      <w:r w:rsidRPr="003032B3">
        <w:rPr>
          <w:color w:val="000000" w:themeColor="text1"/>
          <w:sz w:val="24"/>
          <w:szCs w:val="24"/>
        </w:rPr>
        <w:t xml:space="preserve"> cannot verify the quality at the point of purchase. The pressure on costs means that businesses properly assessing the quality of their produce are often at a competitive disadvantage due to in</w:t>
      </w:r>
      <w:r w:rsidR="00F504BE">
        <w:rPr>
          <w:color w:val="000000" w:themeColor="text1"/>
          <w:sz w:val="24"/>
          <w:szCs w:val="24"/>
        </w:rPr>
        <w:t xml:space="preserve">creased costs, while the buyers’ </w:t>
      </w:r>
      <w:r w:rsidRPr="003032B3">
        <w:rPr>
          <w:color w:val="000000" w:themeColor="text1"/>
          <w:sz w:val="24"/>
          <w:szCs w:val="24"/>
        </w:rPr>
        <w:t>inability to verify quality means that any quality signal cannot be seen as credible in the absence of mandatory, standardised sampling and reporting requirements.</w:t>
      </w:r>
      <w:r w:rsidR="00967791" w:rsidRPr="00967791">
        <w:rPr>
          <w:color w:val="000000" w:themeColor="text1"/>
          <w:sz w:val="24"/>
          <w:szCs w:val="24"/>
        </w:rPr>
        <w:t xml:space="preserve"> </w:t>
      </w:r>
      <w:r w:rsidR="00967791">
        <w:rPr>
          <w:color w:val="000000" w:themeColor="text1"/>
          <w:sz w:val="24"/>
          <w:szCs w:val="24"/>
        </w:rPr>
        <w:t>(</w:t>
      </w:r>
      <w:hyperlink r:id="rId12" w:history="1">
        <w:r w:rsidR="00967791" w:rsidRPr="000D18F9">
          <w:rPr>
            <w:rStyle w:val="Hyperlink"/>
            <w:sz w:val="24"/>
            <w:szCs w:val="24"/>
          </w:rPr>
          <w:t>IA</w:t>
        </w:r>
      </w:hyperlink>
      <w:r w:rsidR="00967791">
        <w:rPr>
          <w:color w:val="000000" w:themeColor="text1"/>
          <w:sz w:val="24"/>
          <w:szCs w:val="24"/>
        </w:rPr>
        <w:t>)(</w:t>
      </w:r>
      <w:hyperlink r:id="rId13" w:history="1">
        <w:r w:rsidR="00967791" w:rsidRPr="000D18F9">
          <w:rPr>
            <w:rStyle w:val="Hyperlink"/>
            <w:sz w:val="24"/>
            <w:szCs w:val="24"/>
          </w:rPr>
          <w:t>Opinion</w:t>
        </w:r>
      </w:hyperlink>
      <w:r w:rsidR="00967791">
        <w:rPr>
          <w:color w:val="000000" w:themeColor="text1"/>
          <w:sz w:val="24"/>
          <w:szCs w:val="24"/>
        </w:rPr>
        <w:t>)</w:t>
      </w:r>
    </w:p>
    <w:p w:rsidR="00B004F0" w:rsidRPr="003032B3" w:rsidRDefault="00B004F0" w:rsidP="00B004F0">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color w:val="000000" w:themeColor="text1"/>
          <w:sz w:val="24"/>
          <w:szCs w:val="24"/>
          <w:u w:val="single"/>
        </w:rPr>
      </w:pPr>
    </w:p>
    <w:p w:rsidR="005A41F1" w:rsidRDefault="005A41F1" w:rsidP="00B004F0">
      <w:pPr>
        <w:rPr>
          <w:rFonts w:cstheme="minorHAnsi"/>
          <w:color w:val="000000" w:themeColor="text1"/>
        </w:rPr>
      </w:pPr>
    </w:p>
    <w:p w:rsidR="005A41F1" w:rsidRPr="00663D24" w:rsidRDefault="005A41F1" w:rsidP="005A41F1">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b/>
          <w:bCs/>
          <w:color w:val="000000" w:themeColor="text1"/>
          <w:sz w:val="24"/>
          <w:szCs w:val="24"/>
        </w:rPr>
      </w:pPr>
      <w:r w:rsidRPr="003032B3">
        <w:rPr>
          <w:b/>
          <w:bCs/>
          <w:color w:val="000000" w:themeColor="text1"/>
          <w:sz w:val="24"/>
          <w:szCs w:val="24"/>
        </w:rPr>
        <w:lastRenderedPageBreak/>
        <w:t>Community right to buy into renewable electricity developments</w:t>
      </w:r>
      <w:r>
        <w:rPr>
          <w:b/>
          <w:bCs/>
          <w:color w:val="000000" w:themeColor="text1"/>
          <w:sz w:val="24"/>
          <w:szCs w:val="24"/>
        </w:rPr>
        <w:t xml:space="preserve"> (RPC14-DECC-2027):</w:t>
      </w:r>
      <w:r w:rsidRPr="003032B3">
        <w:rPr>
          <w:b/>
          <w:bCs/>
          <w:color w:val="000000" w:themeColor="text1"/>
          <w:sz w:val="24"/>
          <w:szCs w:val="24"/>
        </w:rPr>
        <w:t xml:space="preserve"> </w:t>
      </w:r>
      <w:r w:rsidRPr="003032B3">
        <w:rPr>
          <w:bCs/>
          <w:color w:val="000000" w:themeColor="text1"/>
          <w:sz w:val="24"/>
          <w:szCs w:val="24"/>
        </w:rPr>
        <w:t>This final stage IA is, in general</w:t>
      </w:r>
      <w:r>
        <w:rPr>
          <w:bCs/>
          <w:color w:val="000000" w:themeColor="text1"/>
          <w:sz w:val="24"/>
          <w:szCs w:val="24"/>
        </w:rPr>
        <w:t>, very detailed</w:t>
      </w:r>
      <w:r w:rsidR="00C53C8B">
        <w:rPr>
          <w:bCs/>
          <w:color w:val="000000" w:themeColor="text1"/>
          <w:sz w:val="24"/>
          <w:szCs w:val="24"/>
        </w:rPr>
        <w:t xml:space="preserve"> and</w:t>
      </w:r>
      <w:r>
        <w:rPr>
          <w:bCs/>
          <w:color w:val="000000" w:themeColor="text1"/>
          <w:sz w:val="24"/>
          <w:szCs w:val="24"/>
        </w:rPr>
        <w:t xml:space="preserve"> </w:t>
      </w:r>
      <w:r w:rsidRPr="003032B3">
        <w:rPr>
          <w:bCs/>
          <w:color w:val="000000" w:themeColor="text1"/>
          <w:sz w:val="24"/>
          <w:szCs w:val="24"/>
        </w:rPr>
        <w:t>provides a lot of evidence</w:t>
      </w:r>
      <w:r w:rsidR="00C53C8B">
        <w:rPr>
          <w:bCs/>
          <w:color w:val="000000" w:themeColor="text1"/>
          <w:sz w:val="24"/>
          <w:szCs w:val="24"/>
        </w:rPr>
        <w:t>. It</w:t>
      </w:r>
      <w:r w:rsidRPr="003032B3">
        <w:rPr>
          <w:bCs/>
          <w:color w:val="000000" w:themeColor="text1"/>
          <w:sz w:val="24"/>
          <w:szCs w:val="24"/>
        </w:rPr>
        <w:t xml:space="preserve"> assesses </w:t>
      </w:r>
      <w:r w:rsidR="00C53C8B">
        <w:rPr>
          <w:bCs/>
          <w:color w:val="000000" w:themeColor="text1"/>
          <w:sz w:val="24"/>
          <w:szCs w:val="24"/>
        </w:rPr>
        <w:t xml:space="preserve">the </w:t>
      </w:r>
      <w:r w:rsidRPr="003032B3">
        <w:rPr>
          <w:bCs/>
          <w:color w:val="000000" w:themeColor="text1"/>
          <w:sz w:val="24"/>
          <w:szCs w:val="24"/>
        </w:rPr>
        <w:t>cost and benefits of the primary legislation enabling government to introduce a legal framework in which individuals in the community are guaranteed the opportunity to purchase a stake in a renewable electricity development.</w:t>
      </w:r>
    </w:p>
    <w:p w:rsidR="005A41F1" w:rsidRPr="003032B3" w:rsidRDefault="005A41F1" w:rsidP="005A41F1">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bCs/>
          <w:color w:val="000000" w:themeColor="text1"/>
          <w:sz w:val="24"/>
          <w:szCs w:val="24"/>
        </w:rPr>
      </w:pPr>
      <w:r w:rsidRPr="003032B3">
        <w:rPr>
          <w:bCs/>
          <w:color w:val="000000" w:themeColor="text1"/>
          <w:sz w:val="24"/>
          <w:szCs w:val="24"/>
        </w:rPr>
        <w:t>The Department explains how it has worked closely with industry to develop a voluntary framework to facilitate shared ownership. It explains that the government intends to stay with the voluntary approach, but wants to be ready to intervene if a review shows that progress under the voluntary scheme is insufficient. The IA assesses the incremental costs and benefits associated with taking up these powers against three scenarios for the voluntary uptake. While it could be argued that the threat of legislation undermines how “voluntary” the current approach is, the Department, by providing different scenarios</w:t>
      </w:r>
      <w:r w:rsidR="00BE4D64">
        <w:rPr>
          <w:bCs/>
          <w:color w:val="000000" w:themeColor="text1"/>
          <w:sz w:val="24"/>
          <w:szCs w:val="24"/>
        </w:rPr>
        <w:t>,</w:t>
      </w:r>
      <w:r w:rsidRPr="003032B3">
        <w:rPr>
          <w:bCs/>
          <w:color w:val="000000" w:themeColor="text1"/>
          <w:sz w:val="24"/>
          <w:szCs w:val="24"/>
        </w:rPr>
        <w:t xml:space="preserve"> can make a case for when the overall benefits of legislation will outweigh those derived under the voluntary framework. </w:t>
      </w:r>
      <w:r>
        <w:rPr>
          <w:bCs/>
          <w:color w:val="000000" w:themeColor="text1"/>
          <w:sz w:val="24"/>
          <w:szCs w:val="24"/>
        </w:rPr>
        <w:t>(</w:t>
      </w:r>
      <w:hyperlink r:id="rId14" w:history="1">
        <w:r w:rsidRPr="000D18F9">
          <w:rPr>
            <w:rStyle w:val="Hyperlink"/>
            <w:bCs/>
            <w:sz w:val="24"/>
            <w:szCs w:val="24"/>
          </w:rPr>
          <w:t>IA</w:t>
        </w:r>
      </w:hyperlink>
      <w:r>
        <w:rPr>
          <w:bCs/>
          <w:color w:val="000000" w:themeColor="text1"/>
          <w:sz w:val="24"/>
          <w:szCs w:val="24"/>
        </w:rPr>
        <w:t>)(</w:t>
      </w:r>
      <w:hyperlink r:id="rId15" w:history="1">
        <w:r>
          <w:rPr>
            <w:rStyle w:val="Hyperlink"/>
          </w:rPr>
          <w:t>O</w:t>
        </w:r>
        <w:r w:rsidRPr="000D18F9">
          <w:rPr>
            <w:rStyle w:val="Hyperlink"/>
          </w:rPr>
          <w:t>pinion</w:t>
        </w:r>
      </w:hyperlink>
      <w:r>
        <w:t>)</w:t>
      </w:r>
    </w:p>
    <w:p w:rsidR="005A41F1" w:rsidRDefault="005A41F1" w:rsidP="00B004F0">
      <w:pPr>
        <w:rPr>
          <w:rFonts w:cstheme="minorHAnsi"/>
          <w:color w:val="000000" w:themeColor="text1"/>
        </w:rPr>
      </w:pPr>
    </w:p>
    <w:p w:rsidR="005A41F1" w:rsidRPr="00663D24" w:rsidRDefault="005A41F1" w:rsidP="005A41F1">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rFonts w:cstheme="minorHAnsi"/>
          <w:b/>
          <w:color w:val="000000" w:themeColor="text1"/>
          <w:sz w:val="24"/>
          <w:szCs w:val="24"/>
        </w:rPr>
      </w:pPr>
      <w:r w:rsidRPr="003032B3">
        <w:rPr>
          <w:rFonts w:cstheme="minorHAnsi"/>
          <w:b/>
          <w:color w:val="000000" w:themeColor="text1"/>
          <w:sz w:val="24"/>
          <w:szCs w:val="24"/>
        </w:rPr>
        <w:t>Tackling avoidance of the ban on exclusivity clauses in zero hours contracts</w:t>
      </w:r>
      <w:r>
        <w:rPr>
          <w:rFonts w:cstheme="minorHAnsi"/>
          <w:b/>
          <w:color w:val="000000" w:themeColor="text1"/>
          <w:sz w:val="24"/>
          <w:szCs w:val="24"/>
        </w:rPr>
        <w:t xml:space="preserve"> (RPC14-BIS-2236): </w:t>
      </w:r>
      <w:r w:rsidRPr="003032B3">
        <w:rPr>
          <w:color w:val="000000" w:themeColor="text1"/>
          <w:sz w:val="24"/>
          <w:szCs w:val="24"/>
        </w:rPr>
        <w:t>This consultation stage IA investigates possible responses to tackle the avoidance of the ban of the use of exclusivity clauses in employment contracts which guarantee no hours (zero hour contracts). The IA presents legislative options as well as the introduction of non-statutory codes of practice. The IA takes all options to consultation and does not state any preference at this stage.</w:t>
      </w:r>
    </w:p>
    <w:p w:rsidR="005A41F1" w:rsidRPr="003032B3" w:rsidRDefault="005A41F1" w:rsidP="005A41F1">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color w:val="000000" w:themeColor="text1"/>
          <w:sz w:val="24"/>
          <w:szCs w:val="24"/>
        </w:rPr>
      </w:pPr>
      <w:r w:rsidRPr="003032B3">
        <w:rPr>
          <w:color w:val="000000" w:themeColor="text1"/>
          <w:sz w:val="24"/>
          <w:szCs w:val="24"/>
        </w:rPr>
        <w:t>All options are considered in similar detail, although the Department explains that it has only been able to estimate familiarisation costs associated with the non-statutory code. It explains that it would assume that ongoing benefits to businesses taking up the voluntary code must outweigh ongoing costs.</w:t>
      </w:r>
    </w:p>
    <w:p w:rsidR="00C53C8B" w:rsidRPr="003032B3" w:rsidRDefault="005A41F1" w:rsidP="005A41F1">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color w:val="000000" w:themeColor="text1"/>
          <w:sz w:val="24"/>
          <w:szCs w:val="24"/>
        </w:rPr>
      </w:pPr>
      <w:r w:rsidRPr="003032B3">
        <w:rPr>
          <w:color w:val="000000" w:themeColor="text1"/>
          <w:sz w:val="24"/>
          <w:szCs w:val="24"/>
        </w:rPr>
        <w:t>The Department expects the non-statutory code to deliver a smaller proportion of the benefits associated with the policy at a lower cost to business. The evidence presented makes clear that this assertion is appropriate in this case.</w:t>
      </w:r>
      <w:r>
        <w:rPr>
          <w:color w:val="000000" w:themeColor="text1"/>
          <w:sz w:val="24"/>
          <w:szCs w:val="24"/>
        </w:rPr>
        <w:t xml:space="preserve"> </w:t>
      </w:r>
      <w:r w:rsidRPr="00967791">
        <w:rPr>
          <w:color w:val="000000" w:themeColor="text1"/>
          <w:sz w:val="24"/>
          <w:szCs w:val="24"/>
        </w:rPr>
        <w:t>(</w:t>
      </w:r>
      <w:hyperlink r:id="rId16" w:history="1">
        <w:r w:rsidRPr="00967791">
          <w:rPr>
            <w:color w:val="0000FF" w:themeColor="hyperlink"/>
            <w:sz w:val="24"/>
            <w:szCs w:val="24"/>
            <w:u w:val="single"/>
          </w:rPr>
          <w:t>IA</w:t>
        </w:r>
      </w:hyperlink>
      <w:r w:rsidRPr="00967791">
        <w:rPr>
          <w:color w:val="000000" w:themeColor="text1"/>
          <w:sz w:val="24"/>
          <w:szCs w:val="24"/>
        </w:rPr>
        <w:t>)</w:t>
      </w:r>
      <w:r w:rsidR="005761CA">
        <w:rPr>
          <w:color w:val="000000" w:themeColor="text1"/>
          <w:sz w:val="24"/>
          <w:szCs w:val="24"/>
        </w:rPr>
        <w:t xml:space="preserve"> </w:t>
      </w:r>
      <w:r w:rsidR="005761CA" w:rsidRPr="005761CA">
        <w:rPr>
          <w:color w:val="C00000"/>
          <w:sz w:val="24"/>
          <w:szCs w:val="24"/>
        </w:rPr>
        <w:t>[Opinion not published</w:t>
      </w:r>
      <w:r w:rsidR="00C53C8B">
        <w:rPr>
          <w:color w:val="C00000"/>
          <w:sz w:val="24"/>
          <w:szCs w:val="24"/>
        </w:rPr>
        <w:t>]</w:t>
      </w:r>
    </w:p>
    <w:p w:rsidR="005A41F1" w:rsidRDefault="005A41F1" w:rsidP="00B004F0">
      <w:pPr>
        <w:rPr>
          <w:rFonts w:cstheme="minorHAnsi"/>
          <w:color w:val="000000" w:themeColor="text1"/>
        </w:rPr>
      </w:pPr>
    </w:p>
    <w:p w:rsidR="005A41F1" w:rsidRPr="00663D24" w:rsidRDefault="005A41F1" w:rsidP="005A41F1">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before="120"/>
        <w:rPr>
          <w:b/>
          <w:color w:val="000000" w:themeColor="text1"/>
          <w:sz w:val="24"/>
          <w:szCs w:val="24"/>
        </w:rPr>
      </w:pPr>
      <w:r w:rsidRPr="003032B3">
        <w:rPr>
          <w:b/>
          <w:color w:val="000000" w:themeColor="text1"/>
          <w:sz w:val="24"/>
          <w:szCs w:val="24"/>
        </w:rPr>
        <w:t>Smoke alarms in private rented properties</w:t>
      </w:r>
      <w:r>
        <w:rPr>
          <w:b/>
          <w:color w:val="000000" w:themeColor="text1"/>
          <w:sz w:val="24"/>
          <w:szCs w:val="24"/>
        </w:rPr>
        <w:t xml:space="preserve"> (RPC14-CLG-2266): </w:t>
      </w:r>
      <w:r w:rsidRPr="003032B3">
        <w:rPr>
          <w:color w:val="000000" w:themeColor="text1"/>
          <w:sz w:val="24"/>
          <w:szCs w:val="24"/>
        </w:rPr>
        <w:t xml:space="preserve">The proposal makes the installation of smoke alarms on each floor of private rented properties mandatory. The final stage IA sets out the long history of non-regulatory approaches over the last decades. It shows that non-regulatory approaches have been successful in achieving close to 90% coverage. The Department provides evidence and argues, given the long history of non-regulatory approaches, that a small percentage of landlords will never respond to these approaches. It further explains that these landlords often own high-risk properties. </w:t>
      </w:r>
    </w:p>
    <w:p w:rsidR="005A41F1" w:rsidRPr="003032B3" w:rsidRDefault="005A41F1" w:rsidP="005A41F1">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color w:val="000000" w:themeColor="text1"/>
          <w:sz w:val="24"/>
          <w:szCs w:val="24"/>
        </w:rPr>
      </w:pPr>
      <w:r w:rsidRPr="003032B3">
        <w:rPr>
          <w:color w:val="000000" w:themeColor="text1"/>
          <w:sz w:val="24"/>
          <w:szCs w:val="24"/>
        </w:rPr>
        <w:lastRenderedPageBreak/>
        <w:t>The IA shows that increasing coverage to (almost) full coverage will result in overall benefits to society as the reduction of domestic fires comes with large benefits. In its assessment of the policy option, the Department assumes a reasonable growth in uptake in the counterfactual. By doing this, the Department shows awareness of the effects of existing non-regulatory approaches and their effect on the costs and benefits associated with the regulatory proposal. In effect, it provides a full cost-benefit analysis of the regulatory approach compared to the counterfactual of solely continuing with existing non-regulatory approaches.</w:t>
      </w:r>
      <w:r>
        <w:rPr>
          <w:color w:val="000000" w:themeColor="text1"/>
          <w:sz w:val="24"/>
          <w:szCs w:val="24"/>
        </w:rPr>
        <w:t xml:space="preserve"> </w:t>
      </w:r>
      <w:r w:rsidRPr="005A41F1">
        <w:t>(</w:t>
      </w:r>
      <w:hyperlink r:id="rId17" w:history="1">
        <w:r w:rsidRPr="005A41F1">
          <w:rPr>
            <w:color w:val="0000FF" w:themeColor="hyperlink"/>
            <w:sz w:val="24"/>
            <w:szCs w:val="24"/>
            <w:u w:val="single"/>
          </w:rPr>
          <w:t>IA</w:t>
        </w:r>
      </w:hyperlink>
      <w:r w:rsidRPr="005A41F1">
        <w:rPr>
          <w:color w:val="000000" w:themeColor="text1"/>
          <w:sz w:val="24"/>
          <w:szCs w:val="24"/>
        </w:rPr>
        <w:t>)</w:t>
      </w:r>
      <w:r w:rsidR="005761CA">
        <w:rPr>
          <w:color w:val="000000" w:themeColor="text1"/>
          <w:sz w:val="24"/>
          <w:szCs w:val="24"/>
        </w:rPr>
        <w:t xml:space="preserve"> </w:t>
      </w:r>
      <w:r w:rsidR="005761CA" w:rsidRPr="005761CA">
        <w:rPr>
          <w:color w:val="C00000"/>
          <w:sz w:val="24"/>
          <w:szCs w:val="24"/>
        </w:rPr>
        <w:t>[Opinion not published]</w:t>
      </w:r>
    </w:p>
    <w:p w:rsidR="00BE4D64" w:rsidRDefault="00BE4D64" w:rsidP="00004281">
      <w:pPr>
        <w:spacing w:after="0"/>
        <w:ind w:left="709" w:hanging="709"/>
        <w:rPr>
          <w:rFonts w:eastAsia="Times New Roman" w:cstheme="minorHAnsi"/>
          <w:b/>
          <w:sz w:val="24"/>
          <w:szCs w:val="24"/>
          <w:lang w:eastAsia="en-GB"/>
        </w:rPr>
      </w:pPr>
    </w:p>
    <w:p w:rsidR="00606A0F" w:rsidRPr="00606A0F" w:rsidRDefault="00004281" w:rsidP="00004281">
      <w:pPr>
        <w:spacing w:after="0"/>
        <w:ind w:left="709" w:hanging="709"/>
        <w:rPr>
          <w:rFonts w:eastAsia="Times New Roman" w:cstheme="minorHAnsi"/>
          <w:b/>
          <w:sz w:val="24"/>
          <w:szCs w:val="24"/>
          <w:lang w:eastAsia="en-GB"/>
        </w:rPr>
      </w:pPr>
      <w:r w:rsidRPr="00004281">
        <w:rPr>
          <w:rFonts w:eastAsia="Times New Roman" w:cstheme="minorHAnsi"/>
          <w:b/>
          <w:sz w:val="24"/>
          <w:szCs w:val="24"/>
          <w:lang w:eastAsia="en-GB"/>
        </w:rPr>
        <w:t xml:space="preserve">2.2.4  </w:t>
      </w:r>
      <w:r>
        <w:rPr>
          <w:rFonts w:eastAsia="Times New Roman" w:cstheme="minorHAnsi"/>
          <w:b/>
          <w:sz w:val="24"/>
          <w:szCs w:val="24"/>
          <w:lang w:eastAsia="en-GB"/>
        </w:rPr>
        <w:tab/>
      </w:r>
      <w:r w:rsidRPr="00004281">
        <w:rPr>
          <w:rFonts w:eastAsia="Times New Roman" w:cstheme="minorHAnsi"/>
          <w:b/>
          <w:sz w:val="24"/>
          <w:szCs w:val="24"/>
          <w:lang w:eastAsia="en-GB"/>
        </w:rPr>
        <w:t xml:space="preserve">Explaining </w:t>
      </w:r>
      <w:r w:rsidR="00606A0F" w:rsidRPr="00606A0F">
        <w:rPr>
          <w:rFonts w:eastAsia="Times New Roman" w:cstheme="minorHAnsi"/>
          <w:b/>
          <w:sz w:val="24"/>
          <w:szCs w:val="24"/>
          <w:lang w:eastAsia="en-GB"/>
        </w:rPr>
        <w:t>why options are not being taken forward</w:t>
      </w:r>
    </w:p>
    <w:p w:rsidR="00606A0F" w:rsidRPr="00606A0F" w:rsidRDefault="00606A0F" w:rsidP="00606A0F">
      <w:pPr>
        <w:spacing w:after="0"/>
        <w:rPr>
          <w:rFonts w:eastAsia="Times New Roman" w:cstheme="minorHAnsi"/>
          <w:b/>
          <w:sz w:val="24"/>
          <w:szCs w:val="24"/>
          <w:u w:val="single"/>
          <w:lang w:eastAsia="en-GB"/>
        </w:rPr>
      </w:pPr>
    </w:p>
    <w:p w:rsidR="00663D24" w:rsidRDefault="00606A0F" w:rsidP="00844CEB">
      <w:pPr>
        <w:spacing w:after="0"/>
        <w:rPr>
          <w:b/>
          <w:color w:val="E36C0A" w:themeColor="accent6" w:themeShade="BF"/>
          <w:sz w:val="32"/>
          <w:szCs w:val="32"/>
        </w:rPr>
      </w:pPr>
      <w:r w:rsidRPr="00606A0F">
        <w:rPr>
          <w:rFonts w:eastAsia="Times New Roman" w:cstheme="minorHAnsi"/>
          <w:sz w:val="24"/>
          <w:szCs w:val="24"/>
          <w:lang w:eastAsia="en-GB"/>
        </w:rPr>
        <w:t>When a decision has been made not to take forward an option, the</w:t>
      </w:r>
      <w:r w:rsidR="00A85191">
        <w:rPr>
          <w:rFonts w:eastAsia="Times New Roman" w:cstheme="minorHAnsi"/>
          <w:sz w:val="24"/>
          <w:szCs w:val="24"/>
          <w:lang w:eastAsia="en-GB"/>
        </w:rPr>
        <w:t xml:space="preserve"> </w:t>
      </w:r>
      <w:r w:rsidRPr="00606A0F">
        <w:rPr>
          <w:rFonts w:eastAsia="Times New Roman" w:cstheme="minorHAnsi"/>
          <w:sz w:val="24"/>
          <w:szCs w:val="24"/>
          <w:lang w:eastAsia="en-GB"/>
        </w:rPr>
        <w:t>IA needs to explain why. This does not mean that full monetisation of costs and benefits should be undertaken for options when it becomes apparent early on in the process that they are not feasible, or will be significantly worse value for money than other options. An IA need</w:t>
      </w:r>
      <w:r w:rsidR="00C53C8B">
        <w:rPr>
          <w:rFonts w:eastAsia="Times New Roman" w:cstheme="minorHAnsi"/>
          <w:sz w:val="24"/>
          <w:szCs w:val="24"/>
          <w:lang w:eastAsia="en-GB"/>
        </w:rPr>
        <w:t>s to</w:t>
      </w:r>
      <w:r w:rsidRPr="00606A0F">
        <w:rPr>
          <w:rFonts w:eastAsia="Times New Roman" w:cstheme="minorHAnsi"/>
          <w:sz w:val="24"/>
          <w:szCs w:val="24"/>
          <w:lang w:eastAsia="en-GB"/>
        </w:rPr>
        <w:t xml:space="preserve"> contain sufficient analysis of each option to explain why it is not being taken forward. In a consultation stage IA, if options are not being taken forward without sufficient justification this is likely to result in a red-rated opinion. At final stage it is expected that a single option will be recommended, although the </w:t>
      </w:r>
      <w:r w:rsidR="00F526E0">
        <w:rPr>
          <w:rFonts w:eastAsia="Times New Roman" w:cstheme="minorHAnsi"/>
          <w:sz w:val="24"/>
          <w:szCs w:val="24"/>
          <w:lang w:eastAsia="en-GB"/>
        </w:rPr>
        <w:t>RPC</w:t>
      </w:r>
      <w:r w:rsidRPr="00606A0F">
        <w:rPr>
          <w:rFonts w:eastAsia="Times New Roman" w:cstheme="minorHAnsi"/>
          <w:sz w:val="24"/>
          <w:szCs w:val="24"/>
          <w:lang w:eastAsia="en-GB"/>
        </w:rPr>
        <w:t xml:space="preserve"> may comment if it is not clear wh</w:t>
      </w:r>
      <w:r w:rsidR="00BE4D64">
        <w:rPr>
          <w:rFonts w:eastAsia="Times New Roman" w:cstheme="minorHAnsi"/>
          <w:sz w:val="24"/>
          <w:szCs w:val="24"/>
          <w:lang w:eastAsia="en-GB"/>
        </w:rPr>
        <w:t>ether</w:t>
      </w:r>
      <w:r w:rsidRPr="00606A0F">
        <w:rPr>
          <w:rFonts w:eastAsia="Times New Roman" w:cstheme="minorHAnsi"/>
          <w:sz w:val="24"/>
          <w:szCs w:val="24"/>
          <w:lang w:eastAsia="en-GB"/>
        </w:rPr>
        <w:t xml:space="preserve"> other options were considered or why they were discarded.</w:t>
      </w:r>
    </w:p>
    <w:sectPr w:rsidR="00663D24" w:rsidSect="00085949">
      <w:headerReference w:type="default" r:id="rId18"/>
      <w:footerReference w:type="default" r:id="rId19"/>
      <w:pgSz w:w="11906" w:h="16838" w:code="9"/>
      <w:pgMar w:top="1440"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215" w:rsidRDefault="00562215" w:rsidP="00584A82">
      <w:pPr>
        <w:spacing w:after="0" w:line="240" w:lineRule="auto"/>
      </w:pPr>
      <w:r>
        <w:separator/>
      </w:r>
    </w:p>
  </w:endnote>
  <w:endnote w:type="continuationSeparator" w:id="0">
    <w:p w:rsidR="00562215" w:rsidRDefault="00562215" w:rsidP="0058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902783"/>
      <w:docPartObj>
        <w:docPartGallery w:val="Page Numbers (Bottom of Page)"/>
        <w:docPartUnique/>
      </w:docPartObj>
    </w:sdtPr>
    <w:sdtEndPr>
      <w:rPr>
        <w:noProof/>
      </w:rPr>
    </w:sdtEndPr>
    <w:sdtContent>
      <w:p w:rsidR="005D7CBE" w:rsidRDefault="003827FB">
        <w:pPr>
          <w:pStyle w:val="Footer"/>
          <w:jc w:val="center"/>
        </w:pPr>
        <w:r>
          <w:fldChar w:fldCharType="begin"/>
        </w:r>
        <w:r w:rsidR="005D7CBE">
          <w:instrText xml:space="preserve"> PAGE   \* MERGEFORMAT </w:instrText>
        </w:r>
        <w:r>
          <w:fldChar w:fldCharType="separate"/>
        </w:r>
        <w:r w:rsidR="00F60FEA">
          <w:rPr>
            <w:noProof/>
          </w:rPr>
          <w:t>10</w:t>
        </w:r>
        <w:r>
          <w:rPr>
            <w:noProof/>
          </w:rPr>
          <w:fldChar w:fldCharType="end"/>
        </w:r>
      </w:p>
    </w:sdtContent>
  </w:sdt>
  <w:p w:rsidR="005D7CBE" w:rsidRDefault="005D7C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215" w:rsidRDefault="00562215" w:rsidP="00584A82">
      <w:pPr>
        <w:spacing w:after="0" w:line="240" w:lineRule="auto"/>
      </w:pPr>
      <w:r>
        <w:separator/>
      </w:r>
    </w:p>
  </w:footnote>
  <w:footnote w:type="continuationSeparator" w:id="0">
    <w:p w:rsidR="00562215" w:rsidRDefault="00562215" w:rsidP="00584A82">
      <w:pPr>
        <w:spacing w:after="0" w:line="240" w:lineRule="auto"/>
      </w:pPr>
      <w:r>
        <w:continuationSeparator/>
      </w:r>
    </w:p>
  </w:footnote>
  <w:footnote w:id="1">
    <w:p w:rsidR="005D7CBE" w:rsidRDefault="005D7CBE" w:rsidP="009423BE">
      <w:pPr>
        <w:pStyle w:val="FootnoteText"/>
        <w:rPr>
          <w:rStyle w:val="Hyperlink"/>
          <w:sz w:val="18"/>
          <w:szCs w:val="18"/>
        </w:rPr>
      </w:pPr>
      <w:r w:rsidRPr="002D123A">
        <w:rPr>
          <w:rStyle w:val="FootnoteReference"/>
          <w:sz w:val="18"/>
          <w:szCs w:val="18"/>
        </w:rPr>
        <w:footnoteRef/>
      </w:r>
      <w:r w:rsidRPr="002D123A">
        <w:rPr>
          <w:sz w:val="18"/>
          <w:szCs w:val="18"/>
        </w:rPr>
        <w:t xml:space="preserve"> </w:t>
      </w:r>
      <w:hyperlink r:id="rId1" w:history="1">
        <w:r w:rsidRPr="002D123A">
          <w:rPr>
            <w:rStyle w:val="Hyperlink"/>
            <w:sz w:val="18"/>
            <w:szCs w:val="18"/>
          </w:rPr>
          <w:t>https://www.gov.uk/government/publications/2010-to-2015-government-policy-business-regulation/2010-to-2015-government-policy-business-regulation#appendix-2-using-alternatives-to-regulation</w:t>
        </w:r>
      </w:hyperlink>
    </w:p>
    <w:p w:rsidR="005D7CBE" w:rsidRPr="002D123A" w:rsidRDefault="005D7CBE" w:rsidP="009423BE">
      <w:pPr>
        <w:pStyle w:val="FootnoteText"/>
        <w:rPr>
          <w:sz w:val="18"/>
          <w:szCs w:val="18"/>
        </w:rPr>
      </w:pPr>
    </w:p>
  </w:footnote>
  <w:footnote w:id="2">
    <w:p w:rsidR="005D7CBE" w:rsidRDefault="005D7CBE" w:rsidP="009423BE">
      <w:pPr>
        <w:pStyle w:val="FootnoteText"/>
        <w:rPr>
          <w:rFonts w:cstheme="minorHAnsi"/>
          <w:color w:val="000000" w:themeColor="text1"/>
          <w:sz w:val="18"/>
          <w:szCs w:val="18"/>
        </w:rPr>
      </w:pPr>
      <w:r w:rsidRPr="001B0A23">
        <w:rPr>
          <w:rStyle w:val="FootnoteReference"/>
          <w:sz w:val="18"/>
          <w:szCs w:val="18"/>
        </w:rPr>
        <w:footnoteRef/>
      </w:r>
      <w:r w:rsidRPr="001B0A23">
        <w:rPr>
          <w:rFonts w:cstheme="minorHAnsi"/>
          <w:sz w:val="18"/>
          <w:szCs w:val="18"/>
        </w:rPr>
        <w:t xml:space="preserve"> Examples are agreements between employers and unions, </w:t>
      </w:r>
      <w:r w:rsidRPr="001B0A23">
        <w:rPr>
          <w:rFonts w:cstheme="minorHAnsi"/>
          <w:color w:val="000000" w:themeColor="text1"/>
          <w:sz w:val="18"/>
          <w:szCs w:val="18"/>
        </w:rPr>
        <w:t>where employment relations are largely achieved through agreement between the two parties, or similar more informal approaches in workplaces without unions. It appears that the principle of such agreements could be applied in other spheres.</w:t>
      </w:r>
    </w:p>
    <w:p w:rsidR="005D7CBE" w:rsidRPr="001B0A23" w:rsidRDefault="005D7CBE" w:rsidP="009423BE">
      <w:pPr>
        <w:pStyle w:val="FootnoteText"/>
        <w:rPr>
          <w:rFonts w:cstheme="minorHAnsi"/>
          <w:sz w:val="18"/>
          <w:szCs w:val="18"/>
        </w:rPr>
      </w:pPr>
    </w:p>
  </w:footnote>
  <w:footnote w:id="3">
    <w:p w:rsidR="005D7CBE" w:rsidRDefault="005D7CBE" w:rsidP="009423BE">
      <w:pPr>
        <w:pStyle w:val="FootnoteText"/>
        <w:rPr>
          <w:rFonts w:cstheme="minorHAnsi"/>
          <w:sz w:val="18"/>
          <w:szCs w:val="18"/>
        </w:rPr>
      </w:pPr>
      <w:r w:rsidRPr="001B0A23">
        <w:rPr>
          <w:rStyle w:val="FootnoteReference"/>
          <w:rFonts w:cstheme="minorHAnsi"/>
          <w:sz w:val="18"/>
          <w:szCs w:val="18"/>
        </w:rPr>
        <w:footnoteRef/>
      </w:r>
      <w:r w:rsidRPr="001B0A23">
        <w:rPr>
          <w:rFonts w:cstheme="minorHAnsi"/>
          <w:sz w:val="18"/>
          <w:szCs w:val="18"/>
        </w:rPr>
        <w:t xml:space="preserve"> The potential anti-competitive effect of both regulation and self-regulation if it favours incumbents at a cost to new entrants should be considered in impact assessments in general.</w:t>
      </w:r>
    </w:p>
    <w:p w:rsidR="005D7CBE" w:rsidRPr="001B0A23" w:rsidRDefault="005D7CBE" w:rsidP="009423BE">
      <w:pPr>
        <w:pStyle w:val="FootnoteText"/>
        <w:rPr>
          <w:rFonts w:cstheme="minorHAnsi"/>
          <w:sz w:val="18"/>
          <w:szCs w:val="18"/>
        </w:rPr>
      </w:pPr>
    </w:p>
  </w:footnote>
  <w:footnote w:id="4">
    <w:p w:rsidR="005D7CBE" w:rsidRPr="001B0A23" w:rsidRDefault="005D7CBE" w:rsidP="009423BE">
      <w:pPr>
        <w:pStyle w:val="FootnoteText"/>
        <w:rPr>
          <w:rFonts w:cstheme="minorHAnsi"/>
          <w:sz w:val="18"/>
          <w:szCs w:val="18"/>
        </w:rPr>
      </w:pPr>
      <w:r w:rsidRPr="001B0A23">
        <w:rPr>
          <w:rStyle w:val="FootnoteReference"/>
          <w:rFonts w:cstheme="minorHAnsi"/>
          <w:sz w:val="18"/>
          <w:szCs w:val="18"/>
        </w:rPr>
        <w:footnoteRef/>
      </w:r>
      <w:r w:rsidRPr="001B0A23">
        <w:rPr>
          <w:rFonts w:cstheme="minorHAnsi"/>
          <w:sz w:val="18"/>
          <w:szCs w:val="18"/>
        </w:rPr>
        <w:t xml:space="preserve"> The report “Regulatory Policy and Behavioural Economics” commissioned by the OECD provides a useful overview on the use of behavioural economics in regulatory policy: </w:t>
      </w:r>
      <w:hyperlink r:id="rId2" w:history="1">
        <w:r w:rsidRPr="001B0A23">
          <w:rPr>
            <w:rStyle w:val="Hyperlink"/>
            <w:rFonts w:cstheme="minorHAnsi"/>
            <w:sz w:val="18"/>
            <w:szCs w:val="18"/>
          </w:rPr>
          <w:t>http://www.oecd-ilibrary.org/governance/regulatory-policy-and-behavioural-economics_9789264207851-en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BE" w:rsidRPr="003764A9" w:rsidRDefault="005D7CBE">
    <w:pPr>
      <w:pStyle w:val="Header"/>
      <w:rPr>
        <w:i/>
      </w:rPr>
    </w:pPr>
    <w:r>
      <w:rPr>
        <w:i/>
      </w:rPr>
      <w:t xml:space="preserve">RPC Case Histories                                                                                                                        </w:t>
    </w:r>
    <w:r w:rsidR="00E41C8D">
      <w:rPr>
        <w:i/>
      </w:rPr>
      <w:t xml:space="preserve">July </w:t>
    </w:r>
    <w:r>
      <w:rPr>
        <w:i/>
      </w:rPr>
      <w:t>201</w:t>
    </w:r>
    <w:r w:rsidR="00E41C8D">
      <w:rPr>
        <w:i/>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4ED7"/>
    <w:multiLevelType w:val="multilevel"/>
    <w:tmpl w:val="127A1346"/>
    <w:lvl w:ilvl="0">
      <w:start w:val="1"/>
      <w:numFmt w:val="lowerRoman"/>
      <w:lvlText w:val="%1."/>
      <w:lvlJc w:val="right"/>
      <w:pPr>
        <w:ind w:left="720" w:hanging="360"/>
      </w:pPr>
      <w:rPr>
        <w:rFonts w:hint="default"/>
        <w:b/>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871A0D"/>
    <w:multiLevelType w:val="multilevel"/>
    <w:tmpl w:val="240641F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6F5743"/>
    <w:multiLevelType w:val="hybridMultilevel"/>
    <w:tmpl w:val="B0649344"/>
    <w:lvl w:ilvl="0" w:tplc="3F6202D0">
      <w:start w:val="1"/>
      <w:numFmt w:val="lowerLetter"/>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86299E"/>
    <w:multiLevelType w:val="hybridMultilevel"/>
    <w:tmpl w:val="FC84E608"/>
    <w:lvl w:ilvl="0" w:tplc="628028F6">
      <w:start w:val="1"/>
      <w:numFmt w:val="lowerRoman"/>
      <w:lvlText w:val="%1."/>
      <w:lvlJc w:val="right"/>
      <w:pPr>
        <w:ind w:left="720" w:hanging="360"/>
      </w:pPr>
      <w:rPr>
        <w:rFonts w:hint="default"/>
        <w:b/>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2035C9"/>
    <w:multiLevelType w:val="multilevel"/>
    <w:tmpl w:val="37B45AC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676C99"/>
    <w:multiLevelType w:val="multilevel"/>
    <w:tmpl w:val="E3ACDDE2"/>
    <w:lvl w:ilvl="0">
      <w:start w:val="1"/>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0DE37FB1"/>
    <w:multiLevelType w:val="multilevel"/>
    <w:tmpl w:val="DCE040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C12483"/>
    <w:multiLevelType w:val="hybridMultilevel"/>
    <w:tmpl w:val="D5DA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263F7A"/>
    <w:multiLevelType w:val="multilevel"/>
    <w:tmpl w:val="8D520592"/>
    <w:lvl w:ilvl="0">
      <w:start w:val="1"/>
      <w:numFmt w:val="lowerRoman"/>
      <w:lvlText w:val="%1."/>
      <w:lvlJc w:val="right"/>
      <w:pPr>
        <w:ind w:left="720" w:hanging="360"/>
      </w:pPr>
      <w:rPr>
        <w:rFonts w:hint="default"/>
        <w:b/>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0FA0786"/>
    <w:multiLevelType w:val="multilevel"/>
    <w:tmpl w:val="BC349D70"/>
    <w:lvl w:ilvl="0">
      <w:start w:val="1"/>
      <w:numFmt w:val="lowerRoman"/>
      <w:lvlText w:val="%1."/>
      <w:lvlJc w:val="righ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49125E2"/>
    <w:multiLevelType w:val="multilevel"/>
    <w:tmpl w:val="FB324292"/>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DAF789D"/>
    <w:multiLevelType w:val="multilevel"/>
    <w:tmpl w:val="DA9C17EE"/>
    <w:lvl w:ilvl="0">
      <w:start w:val="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1F327AAE"/>
    <w:multiLevelType w:val="hybridMultilevel"/>
    <w:tmpl w:val="7A4AF24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34A1717"/>
    <w:multiLevelType w:val="hybridMultilevel"/>
    <w:tmpl w:val="79308B0C"/>
    <w:lvl w:ilvl="0" w:tplc="EC18F372">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58589A"/>
    <w:multiLevelType w:val="multilevel"/>
    <w:tmpl w:val="F69A379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ECA43AA"/>
    <w:multiLevelType w:val="hybridMultilevel"/>
    <w:tmpl w:val="18F25F8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DD1826"/>
    <w:multiLevelType w:val="hybridMultilevel"/>
    <w:tmpl w:val="58A2C31E"/>
    <w:lvl w:ilvl="0" w:tplc="F77E5818">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DC035A"/>
    <w:multiLevelType w:val="hybridMultilevel"/>
    <w:tmpl w:val="DE8880B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96022F"/>
    <w:multiLevelType w:val="hybridMultilevel"/>
    <w:tmpl w:val="3390A0C8"/>
    <w:lvl w:ilvl="0" w:tplc="830603E2">
      <w:start w:val="1"/>
      <w:numFmt w:val="low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A0393E"/>
    <w:multiLevelType w:val="hybridMultilevel"/>
    <w:tmpl w:val="8FFAF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8B342D"/>
    <w:multiLevelType w:val="hybridMultilevel"/>
    <w:tmpl w:val="317CCA5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3641B8B"/>
    <w:multiLevelType w:val="hybridMultilevel"/>
    <w:tmpl w:val="B52C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1E0492"/>
    <w:multiLevelType w:val="hybridMultilevel"/>
    <w:tmpl w:val="B958E0C2"/>
    <w:lvl w:ilvl="0" w:tplc="37C01E46">
      <w:start w:val="1"/>
      <w:numFmt w:val="decimal"/>
      <w:lvlText w:val="%1."/>
      <w:lvlJc w:val="left"/>
      <w:pPr>
        <w:tabs>
          <w:tab w:val="num" w:pos="360"/>
        </w:tabs>
        <w:ind w:left="360" w:hanging="360"/>
      </w:pPr>
      <w:rPr>
        <w:rFonts w:asciiTheme="minorHAnsi" w:hAnsiTheme="minorHAnsi" w:cstheme="minorHAnsi" w:hint="default"/>
      </w:rPr>
    </w:lvl>
    <w:lvl w:ilvl="1" w:tplc="CBBA3ED0" w:tentative="1">
      <w:start w:val="1"/>
      <w:numFmt w:val="decimal"/>
      <w:lvlText w:val="%2."/>
      <w:lvlJc w:val="left"/>
      <w:pPr>
        <w:tabs>
          <w:tab w:val="num" w:pos="1440"/>
        </w:tabs>
        <w:ind w:left="1440" w:hanging="360"/>
      </w:pPr>
    </w:lvl>
    <w:lvl w:ilvl="2" w:tplc="31E8197E" w:tentative="1">
      <w:start w:val="1"/>
      <w:numFmt w:val="decimal"/>
      <w:lvlText w:val="%3."/>
      <w:lvlJc w:val="left"/>
      <w:pPr>
        <w:tabs>
          <w:tab w:val="num" w:pos="2160"/>
        </w:tabs>
        <w:ind w:left="2160" w:hanging="360"/>
      </w:pPr>
    </w:lvl>
    <w:lvl w:ilvl="3" w:tplc="66F688AC" w:tentative="1">
      <w:start w:val="1"/>
      <w:numFmt w:val="decimal"/>
      <w:lvlText w:val="%4."/>
      <w:lvlJc w:val="left"/>
      <w:pPr>
        <w:tabs>
          <w:tab w:val="num" w:pos="2880"/>
        </w:tabs>
        <w:ind w:left="2880" w:hanging="360"/>
      </w:pPr>
    </w:lvl>
    <w:lvl w:ilvl="4" w:tplc="CF4C0B2C" w:tentative="1">
      <w:start w:val="1"/>
      <w:numFmt w:val="decimal"/>
      <w:lvlText w:val="%5."/>
      <w:lvlJc w:val="left"/>
      <w:pPr>
        <w:tabs>
          <w:tab w:val="num" w:pos="3600"/>
        </w:tabs>
        <w:ind w:left="3600" w:hanging="360"/>
      </w:pPr>
    </w:lvl>
    <w:lvl w:ilvl="5" w:tplc="F094F25C" w:tentative="1">
      <w:start w:val="1"/>
      <w:numFmt w:val="decimal"/>
      <w:lvlText w:val="%6."/>
      <w:lvlJc w:val="left"/>
      <w:pPr>
        <w:tabs>
          <w:tab w:val="num" w:pos="4320"/>
        </w:tabs>
        <w:ind w:left="4320" w:hanging="360"/>
      </w:pPr>
    </w:lvl>
    <w:lvl w:ilvl="6" w:tplc="69488AF6" w:tentative="1">
      <w:start w:val="1"/>
      <w:numFmt w:val="decimal"/>
      <w:lvlText w:val="%7."/>
      <w:lvlJc w:val="left"/>
      <w:pPr>
        <w:tabs>
          <w:tab w:val="num" w:pos="5040"/>
        </w:tabs>
        <w:ind w:left="5040" w:hanging="360"/>
      </w:pPr>
    </w:lvl>
    <w:lvl w:ilvl="7" w:tplc="8BAE21CC" w:tentative="1">
      <w:start w:val="1"/>
      <w:numFmt w:val="decimal"/>
      <w:lvlText w:val="%8."/>
      <w:lvlJc w:val="left"/>
      <w:pPr>
        <w:tabs>
          <w:tab w:val="num" w:pos="5760"/>
        </w:tabs>
        <w:ind w:left="5760" w:hanging="360"/>
      </w:pPr>
    </w:lvl>
    <w:lvl w:ilvl="8" w:tplc="E152BDC6" w:tentative="1">
      <w:start w:val="1"/>
      <w:numFmt w:val="decimal"/>
      <w:lvlText w:val="%9."/>
      <w:lvlJc w:val="left"/>
      <w:pPr>
        <w:tabs>
          <w:tab w:val="num" w:pos="6480"/>
        </w:tabs>
        <w:ind w:left="6480" w:hanging="360"/>
      </w:pPr>
    </w:lvl>
  </w:abstractNum>
  <w:abstractNum w:abstractNumId="23">
    <w:nsid w:val="49BA2553"/>
    <w:multiLevelType w:val="hybridMultilevel"/>
    <w:tmpl w:val="58A2C31E"/>
    <w:lvl w:ilvl="0" w:tplc="F77E5818">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7A6696"/>
    <w:multiLevelType w:val="multilevel"/>
    <w:tmpl w:val="83EC603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4CFD5C1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DAF6809"/>
    <w:multiLevelType w:val="hybridMultilevel"/>
    <w:tmpl w:val="8AEE523C"/>
    <w:lvl w:ilvl="0" w:tplc="C0DA2362">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5A29BE"/>
    <w:multiLevelType w:val="hybridMultilevel"/>
    <w:tmpl w:val="10165A42"/>
    <w:lvl w:ilvl="0" w:tplc="C39A7892">
      <w:start w:val="3"/>
      <w:numFmt w:val="bullet"/>
      <w:lvlText w:val="-"/>
      <w:lvlJc w:val="left"/>
      <w:pPr>
        <w:ind w:left="2203" w:hanging="360"/>
      </w:pPr>
      <w:rPr>
        <w:rFonts w:ascii="Calibri" w:eastAsiaTheme="minorHAnsi" w:hAnsi="Calibri" w:cs="Calibri"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8">
    <w:nsid w:val="4E5D1D78"/>
    <w:multiLevelType w:val="multilevel"/>
    <w:tmpl w:val="F69A379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4E7D53CD"/>
    <w:multiLevelType w:val="multilevel"/>
    <w:tmpl w:val="3182B5B8"/>
    <w:lvl w:ilvl="0">
      <w:start w:val="1"/>
      <w:numFmt w:val="decimal"/>
      <w:lvlText w:val="%1."/>
      <w:lvlJc w:val="left"/>
      <w:pPr>
        <w:ind w:left="780" w:hanging="360"/>
      </w:pPr>
      <w:rPr>
        <w:rFonts w:hint="default"/>
      </w:rPr>
    </w:lvl>
    <w:lvl w:ilvl="1">
      <w:start w:val="3"/>
      <w:numFmt w:val="decimal"/>
      <w:isLgl/>
      <w:lvlText w:val="%1.%2"/>
      <w:lvlJc w:val="left"/>
      <w:pPr>
        <w:ind w:left="840" w:hanging="4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30">
    <w:nsid w:val="52751060"/>
    <w:multiLevelType w:val="multilevel"/>
    <w:tmpl w:val="F69A379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52996F58"/>
    <w:multiLevelType w:val="hybridMultilevel"/>
    <w:tmpl w:val="A8F8D9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7576A51"/>
    <w:multiLevelType w:val="hybridMultilevel"/>
    <w:tmpl w:val="C400DE64"/>
    <w:lvl w:ilvl="0" w:tplc="5984A818">
      <w:start w:val="1"/>
      <w:numFmt w:val="lowerRoman"/>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F016DA9"/>
    <w:multiLevelType w:val="multilevel"/>
    <w:tmpl w:val="83EC603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60653ABD"/>
    <w:multiLevelType w:val="multilevel"/>
    <w:tmpl w:val="4F3C20C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12173FC"/>
    <w:multiLevelType w:val="multilevel"/>
    <w:tmpl w:val="9918B05C"/>
    <w:lvl w:ilvl="0">
      <w:start w:val="3"/>
      <w:numFmt w:val="decimal"/>
      <w:lvlText w:val="%1"/>
      <w:lvlJc w:val="left"/>
      <w:pPr>
        <w:ind w:left="480" w:hanging="480"/>
      </w:pPr>
      <w:rPr>
        <w:rFonts w:cstheme="minorHAnsi" w:hint="default"/>
      </w:rPr>
    </w:lvl>
    <w:lvl w:ilvl="1">
      <w:start w:val="1"/>
      <w:numFmt w:val="decimal"/>
      <w:lvlText w:val="%1.%2"/>
      <w:lvlJc w:val="left"/>
      <w:pPr>
        <w:ind w:left="1401" w:hanging="480"/>
      </w:pPr>
      <w:rPr>
        <w:rFonts w:cstheme="minorHAnsi" w:hint="default"/>
      </w:rPr>
    </w:lvl>
    <w:lvl w:ilvl="2">
      <w:start w:val="4"/>
      <w:numFmt w:val="decimal"/>
      <w:lvlText w:val="%1.%2.%3"/>
      <w:lvlJc w:val="left"/>
      <w:pPr>
        <w:ind w:left="2562" w:hanging="720"/>
      </w:pPr>
      <w:rPr>
        <w:rFonts w:cstheme="minorHAnsi" w:hint="default"/>
      </w:rPr>
    </w:lvl>
    <w:lvl w:ilvl="3">
      <w:start w:val="1"/>
      <w:numFmt w:val="decimal"/>
      <w:lvlText w:val="%1.%2.%3.%4"/>
      <w:lvlJc w:val="left"/>
      <w:pPr>
        <w:ind w:left="3483" w:hanging="720"/>
      </w:pPr>
      <w:rPr>
        <w:rFonts w:cstheme="minorHAnsi" w:hint="default"/>
      </w:rPr>
    </w:lvl>
    <w:lvl w:ilvl="4">
      <w:start w:val="1"/>
      <w:numFmt w:val="decimal"/>
      <w:lvlText w:val="%1.%2.%3.%4.%5"/>
      <w:lvlJc w:val="left"/>
      <w:pPr>
        <w:ind w:left="4764" w:hanging="1080"/>
      </w:pPr>
      <w:rPr>
        <w:rFonts w:cstheme="minorHAnsi" w:hint="default"/>
      </w:rPr>
    </w:lvl>
    <w:lvl w:ilvl="5">
      <w:start w:val="1"/>
      <w:numFmt w:val="decimal"/>
      <w:lvlText w:val="%1.%2.%3.%4.%5.%6"/>
      <w:lvlJc w:val="left"/>
      <w:pPr>
        <w:ind w:left="5685" w:hanging="1080"/>
      </w:pPr>
      <w:rPr>
        <w:rFonts w:cstheme="minorHAnsi" w:hint="default"/>
      </w:rPr>
    </w:lvl>
    <w:lvl w:ilvl="6">
      <w:start w:val="1"/>
      <w:numFmt w:val="decimal"/>
      <w:lvlText w:val="%1.%2.%3.%4.%5.%6.%7"/>
      <w:lvlJc w:val="left"/>
      <w:pPr>
        <w:ind w:left="6966" w:hanging="1440"/>
      </w:pPr>
      <w:rPr>
        <w:rFonts w:cstheme="minorHAnsi" w:hint="default"/>
      </w:rPr>
    </w:lvl>
    <w:lvl w:ilvl="7">
      <w:start w:val="1"/>
      <w:numFmt w:val="decimal"/>
      <w:lvlText w:val="%1.%2.%3.%4.%5.%6.%7.%8"/>
      <w:lvlJc w:val="left"/>
      <w:pPr>
        <w:ind w:left="7887" w:hanging="1440"/>
      </w:pPr>
      <w:rPr>
        <w:rFonts w:cstheme="minorHAnsi" w:hint="default"/>
      </w:rPr>
    </w:lvl>
    <w:lvl w:ilvl="8">
      <w:start w:val="1"/>
      <w:numFmt w:val="decimal"/>
      <w:lvlText w:val="%1.%2.%3.%4.%5.%6.%7.%8.%9"/>
      <w:lvlJc w:val="left"/>
      <w:pPr>
        <w:ind w:left="9168" w:hanging="1800"/>
      </w:pPr>
      <w:rPr>
        <w:rFonts w:cstheme="minorHAnsi" w:hint="default"/>
      </w:rPr>
    </w:lvl>
  </w:abstractNum>
  <w:abstractNum w:abstractNumId="36">
    <w:nsid w:val="695C3142"/>
    <w:multiLevelType w:val="hybridMultilevel"/>
    <w:tmpl w:val="C536285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6ADE01CC"/>
    <w:multiLevelType w:val="hybridMultilevel"/>
    <w:tmpl w:val="0B9810EE"/>
    <w:lvl w:ilvl="0" w:tplc="C0DA2362">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BA5526"/>
    <w:multiLevelType w:val="multilevel"/>
    <w:tmpl w:val="BFD4B046"/>
    <w:lvl w:ilvl="0">
      <w:start w:val="1"/>
      <w:numFmt w:val="bullet"/>
      <w:lvlText w:val=""/>
      <w:lvlJc w:val="left"/>
      <w:pPr>
        <w:ind w:left="720" w:hanging="360"/>
      </w:pPr>
      <w:rPr>
        <w:rFonts w:ascii="Wingdings" w:hAnsi="Wingding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1DB21CF"/>
    <w:multiLevelType w:val="hybridMultilevel"/>
    <w:tmpl w:val="79288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AD6477D"/>
    <w:multiLevelType w:val="hybridMultilevel"/>
    <w:tmpl w:val="C73A736E"/>
    <w:lvl w:ilvl="0" w:tplc="B4E0A0BA">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D3E0385"/>
    <w:multiLevelType w:val="hybridMultilevel"/>
    <w:tmpl w:val="B5FE461A"/>
    <w:lvl w:ilvl="0" w:tplc="C0CCF4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EF71A6C"/>
    <w:multiLevelType w:val="hybridMultilevel"/>
    <w:tmpl w:val="5804FB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31"/>
  </w:num>
  <w:num w:numId="3">
    <w:abstractNumId w:val="15"/>
  </w:num>
  <w:num w:numId="4">
    <w:abstractNumId w:val="16"/>
  </w:num>
  <w:num w:numId="5">
    <w:abstractNumId w:val="37"/>
  </w:num>
  <w:num w:numId="6">
    <w:abstractNumId w:val="19"/>
  </w:num>
  <w:num w:numId="7">
    <w:abstractNumId w:val="21"/>
  </w:num>
  <w:num w:numId="8">
    <w:abstractNumId w:val="29"/>
  </w:num>
  <w:num w:numId="9">
    <w:abstractNumId w:val="5"/>
  </w:num>
  <w:num w:numId="10">
    <w:abstractNumId w:val="20"/>
  </w:num>
  <w:num w:numId="11">
    <w:abstractNumId w:val="12"/>
  </w:num>
  <w:num w:numId="12">
    <w:abstractNumId w:val="41"/>
  </w:num>
  <w:num w:numId="13">
    <w:abstractNumId w:val="6"/>
  </w:num>
  <w:num w:numId="14">
    <w:abstractNumId w:val="4"/>
  </w:num>
  <w:num w:numId="15">
    <w:abstractNumId w:val="1"/>
  </w:num>
  <w:num w:numId="16">
    <w:abstractNumId w:val="33"/>
  </w:num>
  <w:num w:numId="17">
    <w:abstractNumId w:val="24"/>
  </w:num>
  <w:num w:numId="18">
    <w:abstractNumId w:val="27"/>
  </w:num>
  <w:num w:numId="19">
    <w:abstractNumId w:val="11"/>
  </w:num>
  <w:num w:numId="20">
    <w:abstractNumId w:val="35"/>
  </w:num>
  <w:num w:numId="21">
    <w:abstractNumId w:val="14"/>
  </w:num>
  <w:num w:numId="22">
    <w:abstractNumId w:val="39"/>
  </w:num>
  <w:num w:numId="23">
    <w:abstractNumId w:val="22"/>
  </w:num>
  <w:num w:numId="24">
    <w:abstractNumId w:val="18"/>
  </w:num>
  <w:num w:numId="25">
    <w:abstractNumId w:val="7"/>
  </w:num>
  <w:num w:numId="26">
    <w:abstractNumId w:val="34"/>
  </w:num>
  <w:num w:numId="27">
    <w:abstractNumId w:val="3"/>
  </w:num>
  <w:num w:numId="28">
    <w:abstractNumId w:val="32"/>
  </w:num>
  <w:num w:numId="29">
    <w:abstractNumId w:val="40"/>
  </w:num>
  <w:num w:numId="30">
    <w:abstractNumId w:val="13"/>
  </w:num>
  <w:num w:numId="31">
    <w:abstractNumId w:val="36"/>
  </w:num>
  <w:num w:numId="32">
    <w:abstractNumId w:val="10"/>
  </w:num>
  <w:num w:numId="33">
    <w:abstractNumId w:val="23"/>
  </w:num>
  <w:num w:numId="34">
    <w:abstractNumId w:val="26"/>
  </w:num>
  <w:num w:numId="35">
    <w:abstractNumId w:val="30"/>
  </w:num>
  <w:num w:numId="36">
    <w:abstractNumId w:val="28"/>
  </w:num>
  <w:num w:numId="37">
    <w:abstractNumId w:val="17"/>
  </w:num>
  <w:num w:numId="38">
    <w:abstractNumId w:val="2"/>
  </w:num>
  <w:num w:numId="39">
    <w:abstractNumId w:val="9"/>
  </w:num>
  <w:num w:numId="40">
    <w:abstractNumId w:val="38"/>
  </w:num>
  <w:num w:numId="41">
    <w:abstractNumId w:val="8"/>
  </w:num>
  <w:num w:numId="42">
    <w:abstractNumId w:val="0"/>
  </w:num>
  <w:num w:numId="43">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4CA"/>
    <w:rsid w:val="000029FB"/>
    <w:rsid w:val="00004281"/>
    <w:rsid w:val="0000487B"/>
    <w:rsid w:val="00011532"/>
    <w:rsid w:val="000143F4"/>
    <w:rsid w:val="00017D7E"/>
    <w:rsid w:val="000206CF"/>
    <w:rsid w:val="00021AE8"/>
    <w:rsid w:val="00021E8C"/>
    <w:rsid w:val="00024D69"/>
    <w:rsid w:val="00031089"/>
    <w:rsid w:val="00032862"/>
    <w:rsid w:val="000329B2"/>
    <w:rsid w:val="00040D6A"/>
    <w:rsid w:val="00041C20"/>
    <w:rsid w:val="000421D2"/>
    <w:rsid w:val="00043A82"/>
    <w:rsid w:val="00045FF8"/>
    <w:rsid w:val="00051784"/>
    <w:rsid w:val="0005276F"/>
    <w:rsid w:val="0005278D"/>
    <w:rsid w:val="00055F42"/>
    <w:rsid w:val="00057322"/>
    <w:rsid w:val="00060053"/>
    <w:rsid w:val="00066AB1"/>
    <w:rsid w:val="00070D0F"/>
    <w:rsid w:val="0007171C"/>
    <w:rsid w:val="00073C67"/>
    <w:rsid w:val="00076491"/>
    <w:rsid w:val="00077822"/>
    <w:rsid w:val="000815CB"/>
    <w:rsid w:val="00083DFA"/>
    <w:rsid w:val="00084EC7"/>
    <w:rsid w:val="00085949"/>
    <w:rsid w:val="000868C1"/>
    <w:rsid w:val="0008713A"/>
    <w:rsid w:val="000879AB"/>
    <w:rsid w:val="00093082"/>
    <w:rsid w:val="000972B9"/>
    <w:rsid w:val="00097D90"/>
    <w:rsid w:val="000A0F3D"/>
    <w:rsid w:val="000A3296"/>
    <w:rsid w:val="000B12AE"/>
    <w:rsid w:val="000B1904"/>
    <w:rsid w:val="000B408A"/>
    <w:rsid w:val="000B6068"/>
    <w:rsid w:val="000B7054"/>
    <w:rsid w:val="000C6115"/>
    <w:rsid w:val="000C7970"/>
    <w:rsid w:val="000D1295"/>
    <w:rsid w:val="000D4983"/>
    <w:rsid w:val="000E5A76"/>
    <w:rsid w:val="000E6907"/>
    <w:rsid w:val="000E7D1C"/>
    <w:rsid w:val="000F09C3"/>
    <w:rsid w:val="000F682C"/>
    <w:rsid w:val="00104852"/>
    <w:rsid w:val="00105320"/>
    <w:rsid w:val="0010568D"/>
    <w:rsid w:val="00110CE5"/>
    <w:rsid w:val="00112B33"/>
    <w:rsid w:val="00112B5F"/>
    <w:rsid w:val="00114D66"/>
    <w:rsid w:val="001161D4"/>
    <w:rsid w:val="00116CA5"/>
    <w:rsid w:val="00117FCC"/>
    <w:rsid w:val="00125B98"/>
    <w:rsid w:val="00132045"/>
    <w:rsid w:val="0013337A"/>
    <w:rsid w:val="00133B33"/>
    <w:rsid w:val="00133FD1"/>
    <w:rsid w:val="00134E12"/>
    <w:rsid w:val="001424E9"/>
    <w:rsid w:val="001437AA"/>
    <w:rsid w:val="0014583B"/>
    <w:rsid w:val="0015079D"/>
    <w:rsid w:val="00150C44"/>
    <w:rsid w:val="00150EA1"/>
    <w:rsid w:val="001570F0"/>
    <w:rsid w:val="001614B8"/>
    <w:rsid w:val="00165996"/>
    <w:rsid w:val="00165D14"/>
    <w:rsid w:val="00167A1A"/>
    <w:rsid w:val="00171279"/>
    <w:rsid w:val="001748E8"/>
    <w:rsid w:val="001815DA"/>
    <w:rsid w:val="00183953"/>
    <w:rsid w:val="00192054"/>
    <w:rsid w:val="00192CE5"/>
    <w:rsid w:val="00194656"/>
    <w:rsid w:val="0019540D"/>
    <w:rsid w:val="00195E6C"/>
    <w:rsid w:val="00196196"/>
    <w:rsid w:val="00197334"/>
    <w:rsid w:val="001A0C9D"/>
    <w:rsid w:val="001B074F"/>
    <w:rsid w:val="001B0A23"/>
    <w:rsid w:val="001B316F"/>
    <w:rsid w:val="001B3BF1"/>
    <w:rsid w:val="001C1B5B"/>
    <w:rsid w:val="001C1D92"/>
    <w:rsid w:val="001C2F14"/>
    <w:rsid w:val="001D0769"/>
    <w:rsid w:val="001D2DA2"/>
    <w:rsid w:val="001D64D3"/>
    <w:rsid w:val="001D6F63"/>
    <w:rsid w:val="001E1839"/>
    <w:rsid w:val="001E4A83"/>
    <w:rsid w:val="001F0DB2"/>
    <w:rsid w:val="001F4ED5"/>
    <w:rsid w:val="0020010C"/>
    <w:rsid w:val="0020149D"/>
    <w:rsid w:val="002020A3"/>
    <w:rsid w:val="00202A98"/>
    <w:rsid w:val="0021660D"/>
    <w:rsid w:val="00220CDD"/>
    <w:rsid w:val="00222362"/>
    <w:rsid w:val="0022243F"/>
    <w:rsid w:val="002229EC"/>
    <w:rsid w:val="00222A78"/>
    <w:rsid w:val="002329DB"/>
    <w:rsid w:val="00233494"/>
    <w:rsid w:val="0023556D"/>
    <w:rsid w:val="00240004"/>
    <w:rsid w:val="00242A7A"/>
    <w:rsid w:val="00242A80"/>
    <w:rsid w:val="0024440E"/>
    <w:rsid w:val="00244711"/>
    <w:rsid w:val="00245F64"/>
    <w:rsid w:val="00246145"/>
    <w:rsid w:val="002468F2"/>
    <w:rsid w:val="00253B6D"/>
    <w:rsid w:val="002547BD"/>
    <w:rsid w:val="00256288"/>
    <w:rsid w:val="002574C8"/>
    <w:rsid w:val="00262613"/>
    <w:rsid w:val="00263A9A"/>
    <w:rsid w:val="0026400C"/>
    <w:rsid w:val="00271E8B"/>
    <w:rsid w:val="00277F7E"/>
    <w:rsid w:val="00280563"/>
    <w:rsid w:val="00287E72"/>
    <w:rsid w:val="002908CE"/>
    <w:rsid w:val="00293A7D"/>
    <w:rsid w:val="002960B7"/>
    <w:rsid w:val="002963D1"/>
    <w:rsid w:val="002A3D84"/>
    <w:rsid w:val="002A76BD"/>
    <w:rsid w:val="002B5E9E"/>
    <w:rsid w:val="002B6D21"/>
    <w:rsid w:val="002B70FD"/>
    <w:rsid w:val="002B7EBA"/>
    <w:rsid w:val="002D123A"/>
    <w:rsid w:val="002D2E21"/>
    <w:rsid w:val="002D333A"/>
    <w:rsid w:val="002D53B6"/>
    <w:rsid w:val="002D67F2"/>
    <w:rsid w:val="002D739E"/>
    <w:rsid w:val="002E1BAA"/>
    <w:rsid w:val="002E2863"/>
    <w:rsid w:val="002E56C2"/>
    <w:rsid w:val="002F3308"/>
    <w:rsid w:val="003032B3"/>
    <w:rsid w:val="00306CFB"/>
    <w:rsid w:val="0030722E"/>
    <w:rsid w:val="003134B9"/>
    <w:rsid w:val="00314DA6"/>
    <w:rsid w:val="00315572"/>
    <w:rsid w:val="003162F9"/>
    <w:rsid w:val="003173C3"/>
    <w:rsid w:val="00320682"/>
    <w:rsid w:val="003213FB"/>
    <w:rsid w:val="00326221"/>
    <w:rsid w:val="00330EF0"/>
    <w:rsid w:val="003352AF"/>
    <w:rsid w:val="003448C3"/>
    <w:rsid w:val="00345D7A"/>
    <w:rsid w:val="0034748C"/>
    <w:rsid w:val="00352FE6"/>
    <w:rsid w:val="00353358"/>
    <w:rsid w:val="003537BE"/>
    <w:rsid w:val="00357EA5"/>
    <w:rsid w:val="00360506"/>
    <w:rsid w:val="00365785"/>
    <w:rsid w:val="003662CD"/>
    <w:rsid w:val="00370D8E"/>
    <w:rsid w:val="00371A0C"/>
    <w:rsid w:val="003764A9"/>
    <w:rsid w:val="00376659"/>
    <w:rsid w:val="003823D3"/>
    <w:rsid w:val="003827FB"/>
    <w:rsid w:val="00383DBD"/>
    <w:rsid w:val="003842FD"/>
    <w:rsid w:val="003C2606"/>
    <w:rsid w:val="003C27D7"/>
    <w:rsid w:val="003C28F8"/>
    <w:rsid w:val="003C2C2B"/>
    <w:rsid w:val="003C3574"/>
    <w:rsid w:val="003C4B65"/>
    <w:rsid w:val="003C4C3C"/>
    <w:rsid w:val="003C6364"/>
    <w:rsid w:val="003D3B6A"/>
    <w:rsid w:val="003D633A"/>
    <w:rsid w:val="003D6900"/>
    <w:rsid w:val="003E0985"/>
    <w:rsid w:val="003E3582"/>
    <w:rsid w:val="003E4800"/>
    <w:rsid w:val="003E4940"/>
    <w:rsid w:val="003F0C45"/>
    <w:rsid w:val="003F292D"/>
    <w:rsid w:val="003F79BB"/>
    <w:rsid w:val="0040157A"/>
    <w:rsid w:val="00403287"/>
    <w:rsid w:val="00406297"/>
    <w:rsid w:val="004071E7"/>
    <w:rsid w:val="00412F7F"/>
    <w:rsid w:val="004169E2"/>
    <w:rsid w:val="00432649"/>
    <w:rsid w:val="00433243"/>
    <w:rsid w:val="004378C1"/>
    <w:rsid w:val="00443716"/>
    <w:rsid w:val="00444591"/>
    <w:rsid w:val="00446FF3"/>
    <w:rsid w:val="004534C8"/>
    <w:rsid w:val="0045365B"/>
    <w:rsid w:val="00455391"/>
    <w:rsid w:val="004554E3"/>
    <w:rsid w:val="00455751"/>
    <w:rsid w:val="00461D5F"/>
    <w:rsid w:val="0046296B"/>
    <w:rsid w:val="00462DEF"/>
    <w:rsid w:val="00462F6B"/>
    <w:rsid w:val="00466472"/>
    <w:rsid w:val="00466E79"/>
    <w:rsid w:val="00471E2D"/>
    <w:rsid w:val="00477FD1"/>
    <w:rsid w:val="004814B5"/>
    <w:rsid w:val="004838AF"/>
    <w:rsid w:val="00485807"/>
    <w:rsid w:val="00487CAD"/>
    <w:rsid w:val="00490F32"/>
    <w:rsid w:val="0049287B"/>
    <w:rsid w:val="00495677"/>
    <w:rsid w:val="004A086F"/>
    <w:rsid w:val="004A2D88"/>
    <w:rsid w:val="004A5019"/>
    <w:rsid w:val="004B6C24"/>
    <w:rsid w:val="004B7DAC"/>
    <w:rsid w:val="004C1B12"/>
    <w:rsid w:val="004C540C"/>
    <w:rsid w:val="004D0525"/>
    <w:rsid w:val="004D1F49"/>
    <w:rsid w:val="004D4B74"/>
    <w:rsid w:val="004E050F"/>
    <w:rsid w:val="004E36F5"/>
    <w:rsid w:val="004E57CE"/>
    <w:rsid w:val="004E5BBC"/>
    <w:rsid w:val="004F6667"/>
    <w:rsid w:val="004F69FE"/>
    <w:rsid w:val="0050105A"/>
    <w:rsid w:val="005017DD"/>
    <w:rsid w:val="00504C1D"/>
    <w:rsid w:val="00504F62"/>
    <w:rsid w:val="00507177"/>
    <w:rsid w:val="00507D7A"/>
    <w:rsid w:val="0051126F"/>
    <w:rsid w:val="005155EC"/>
    <w:rsid w:val="00515BAC"/>
    <w:rsid w:val="0052151F"/>
    <w:rsid w:val="00523D47"/>
    <w:rsid w:val="00524045"/>
    <w:rsid w:val="00525254"/>
    <w:rsid w:val="00527684"/>
    <w:rsid w:val="005335BB"/>
    <w:rsid w:val="00534307"/>
    <w:rsid w:val="00537CE5"/>
    <w:rsid w:val="00540462"/>
    <w:rsid w:val="00541F6D"/>
    <w:rsid w:val="00544924"/>
    <w:rsid w:val="00545432"/>
    <w:rsid w:val="00546D32"/>
    <w:rsid w:val="00560C88"/>
    <w:rsid w:val="00561401"/>
    <w:rsid w:val="005619DE"/>
    <w:rsid w:val="00562215"/>
    <w:rsid w:val="00565C52"/>
    <w:rsid w:val="00565D13"/>
    <w:rsid w:val="00565F63"/>
    <w:rsid w:val="005709C4"/>
    <w:rsid w:val="00571835"/>
    <w:rsid w:val="005741B4"/>
    <w:rsid w:val="005761CA"/>
    <w:rsid w:val="005821BF"/>
    <w:rsid w:val="00582229"/>
    <w:rsid w:val="00583EF0"/>
    <w:rsid w:val="00584672"/>
    <w:rsid w:val="00584A82"/>
    <w:rsid w:val="00590E12"/>
    <w:rsid w:val="00591542"/>
    <w:rsid w:val="00594067"/>
    <w:rsid w:val="00595D80"/>
    <w:rsid w:val="005A0FA7"/>
    <w:rsid w:val="005A3B59"/>
    <w:rsid w:val="005A41F1"/>
    <w:rsid w:val="005A78F4"/>
    <w:rsid w:val="005B0922"/>
    <w:rsid w:val="005B0B78"/>
    <w:rsid w:val="005B18B9"/>
    <w:rsid w:val="005B1F19"/>
    <w:rsid w:val="005B3051"/>
    <w:rsid w:val="005C5730"/>
    <w:rsid w:val="005D24CC"/>
    <w:rsid w:val="005D2726"/>
    <w:rsid w:val="005D7CBE"/>
    <w:rsid w:val="005E0909"/>
    <w:rsid w:val="005E1706"/>
    <w:rsid w:val="005F0EA8"/>
    <w:rsid w:val="005F14CD"/>
    <w:rsid w:val="005F1C94"/>
    <w:rsid w:val="005F1FCA"/>
    <w:rsid w:val="005F464C"/>
    <w:rsid w:val="005F6558"/>
    <w:rsid w:val="00602270"/>
    <w:rsid w:val="006040C6"/>
    <w:rsid w:val="00606A0F"/>
    <w:rsid w:val="006078A2"/>
    <w:rsid w:val="00611713"/>
    <w:rsid w:val="00613BA3"/>
    <w:rsid w:val="006145DA"/>
    <w:rsid w:val="006208FB"/>
    <w:rsid w:val="00622EF5"/>
    <w:rsid w:val="00625430"/>
    <w:rsid w:val="00625BC7"/>
    <w:rsid w:val="00627EB7"/>
    <w:rsid w:val="00633F9B"/>
    <w:rsid w:val="00634DE0"/>
    <w:rsid w:val="00636207"/>
    <w:rsid w:val="00636CF8"/>
    <w:rsid w:val="00640FB1"/>
    <w:rsid w:val="00645118"/>
    <w:rsid w:val="00645493"/>
    <w:rsid w:val="006458ED"/>
    <w:rsid w:val="006459D1"/>
    <w:rsid w:val="00650582"/>
    <w:rsid w:val="00652086"/>
    <w:rsid w:val="00654DE9"/>
    <w:rsid w:val="00655058"/>
    <w:rsid w:val="006567A4"/>
    <w:rsid w:val="006571E5"/>
    <w:rsid w:val="00662B61"/>
    <w:rsid w:val="0066373D"/>
    <w:rsid w:val="00663D24"/>
    <w:rsid w:val="0066731D"/>
    <w:rsid w:val="00667633"/>
    <w:rsid w:val="00670AD1"/>
    <w:rsid w:val="00677600"/>
    <w:rsid w:val="00681D31"/>
    <w:rsid w:val="00683CDA"/>
    <w:rsid w:val="006920D4"/>
    <w:rsid w:val="006922F0"/>
    <w:rsid w:val="00695C67"/>
    <w:rsid w:val="006A3983"/>
    <w:rsid w:val="006A4F96"/>
    <w:rsid w:val="006A52DE"/>
    <w:rsid w:val="006A5432"/>
    <w:rsid w:val="006A70D8"/>
    <w:rsid w:val="006B0767"/>
    <w:rsid w:val="006B0EFE"/>
    <w:rsid w:val="006B3DB3"/>
    <w:rsid w:val="006B3EFF"/>
    <w:rsid w:val="006B4EFE"/>
    <w:rsid w:val="006B6946"/>
    <w:rsid w:val="006C0DF5"/>
    <w:rsid w:val="006C111F"/>
    <w:rsid w:val="006C6F3C"/>
    <w:rsid w:val="006D0BDA"/>
    <w:rsid w:val="006D2EA7"/>
    <w:rsid w:val="006D4696"/>
    <w:rsid w:val="006D677C"/>
    <w:rsid w:val="006E04F0"/>
    <w:rsid w:val="006E1402"/>
    <w:rsid w:val="006E4B78"/>
    <w:rsid w:val="006F3631"/>
    <w:rsid w:val="006F408A"/>
    <w:rsid w:val="00700BBC"/>
    <w:rsid w:val="00702C8A"/>
    <w:rsid w:val="007078EA"/>
    <w:rsid w:val="00710663"/>
    <w:rsid w:val="00711B78"/>
    <w:rsid w:val="007129CA"/>
    <w:rsid w:val="0071323A"/>
    <w:rsid w:val="007235B7"/>
    <w:rsid w:val="007278E0"/>
    <w:rsid w:val="007328A2"/>
    <w:rsid w:val="007335EC"/>
    <w:rsid w:val="00733DF8"/>
    <w:rsid w:val="007348F2"/>
    <w:rsid w:val="00741B06"/>
    <w:rsid w:val="00741F38"/>
    <w:rsid w:val="00745A85"/>
    <w:rsid w:val="00746A8F"/>
    <w:rsid w:val="00746CC1"/>
    <w:rsid w:val="00750E17"/>
    <w:rsid w:val="00753694"/>
    <w:rsid w:val="00763C28"/>
    <w:rsid w:val="00767551"/>
    <w:rsid w:val="00767898"/>
    <w:rsid w:val="00771E9E"/>
    <w:rsid w:val="0077290C"/>
    <w:rsid w:val="00775532"/>
    <w:rsid w:val="00781998"/>
    <w:rsid w:val="00784615"/>
    <w:rsid w:val="00784F61"/>
    <w:rsid w:val="00794AE5"/>
    <w:rsid w:val="00795B47"/>
    <w:rsid w:val="007A60F3"/>
    <w:rsid w:val="007B0A63"/>
    <w:rsid w:val="007B3891"/>
    <w:rsid w:val="007B54AC"/>
    <w:rsid w:val="007B5EBA"/>
    <w:rsid w:val="007B65BC"/>
    <w:rsid w:val="007C4EAB"/>
    <w:rsid w:val="007C76DE"/>
    <w:rsid w:val="007C7D13"/>
    <w:rsid w:val="007D24DF"/>
    <w:rsid w:val="007D3DA2"/>
    <w:rsid w:val="007D48D8"/>
    <w:rsid w:val="007D5373"/>
    <w:rsid w:val="007D54B5"/>
    <w:rsid w:val="007E0053"/>
    <w:rsid w:val="007E1114"/>
    <w:rsid w:val="007E18CE"/>
    <w:rsid w:val="007E2009"/>
    <w:rsid w:val="007E5510"/>
    <w:rsid w:val="007E638A"/>
    <w:rsid w:val="007E6A36"/>
    <w:rsid w:val="007F145A"/>
    <w:rsid w:val="007F14F2"/>
    <w:rsid w:val="0080445B"/>
    <w:rsid w:val="00811373"/>
    <w:rsid w:val="00812C5B"/>
    <w:rsid w:val="00812DB7"/>
    <w:rsid w:val="00813339"/>
    <w:rsid w:val="008157E8"/>
    <w:rsid w:val="008158A4"/>
    <w:rsid w:val="008271F5"/>
    <w:rsid w:val="00832A3E"/>
    <w:rsid w:val="00834328"/>
    <w:rsid w:val="00834F2E"/>
    <w:rsid w:val="00836B8B"/>
    <w:rsid w:val="00844CEB"/>
    <w:rsid w:val="00846423"/>
    <w:rsid w:val="0085039B"/>
    <w:rsid w:val="008508AB"/>
    <w:rsid w:val="0085126B"/>
    <w:rsid w:val="008512BB"/>
    <w:rsid w:val="00852C9B"/>
    <w:rsid w:val="00857DC6"/>
    <w:rsid w:val="0086076D"/>
    <w:rsid w:val="008669B5"/>
    <w:rsid w:val="008766AC"/>
    <w:rsid w:val="00877635"/>
    <w:rsid w:val="00881FA5"/>
    <w:rsid w:val="0088388A"/>
    <w:rsid w:val="00885094"/>
    <w:rsid w:val="00887138"/>
    <w:rsid w:val="008908DC"/>
    <w:rsid w:val="00892724"/>
    <w:rsid w:val="00896DB5"/>
    <w:rsid w:val="008A0184"/>
    <w:rsid w:val="008A16D0"/>
    <w:rsid w:val="008A498B"/>
    <w:rsid w:val="008A667A"/>
    <w:rsid w:val="008B21DC"/>
    <w:rsid w:val="008B4F40"/>
    <w:rsid w:val="008B5344"/>
    <w:rsid w:val="008B774C"/>
    <w:rsid w:val="008C0095"/>
    <w:rsid w:val="008C4489"/>
    <w:rsid w:val="008C4B9D"/>
    <w:rsid w:val="008C7558"/>
    <w:rsid w:val="008E026B"/>
    <w:rsid w:val="008E065C"/>
    <w:rsid w:val="008E6314"/>
    <w:rsid w:val="008F325C"/>
    <w:rsid w:val="008F6E01"/>
    <w:rsid w:val="00903A04"/>
    <w:rsid w:val="009041FC"/>
    <w:rsid w:val="009056B0"/>
    <w:rsid w:val="00905873"/>
    <w:rsid w:val="009133AD"/>
    <w:rsid w:val="00914187"/>
    <w:rsid w:val="00922E32"/>
    <w:rsid w:val="009251C5"/>
    <w:rsid w:val="00935FED"/>
    <w:rsid w:val="009362C0"/>
    <w:rsid w:val="009423BE"/>
    <w:rsid w:val="0094587B"/>
    <w:rsid w:val="00960951"/>
    <w:rsid w:val="00960A3E"/>
    <w:rsid w:val="00962C22"/>
    <w:rsid w:val="00967791"/>
    <w:rsid w:val="00967BB4"/>
    <w:rsid w:val="0097130C"/>
    <w:rsid w:val="00972DE9"/>
    <w:rsid w:val="009778FE"/>
    <w:rsid w:val="00981C5A"/>
    <w:rsid w:val="00982F66"/>
    <w:rsid w:val="00985A68"/>
    <w:rsid w:val="00985B08"/>
    <w:rsid w:val="009A2245"/>
    <w:rsid w:val="009A3C55"/>
    <w:rsid w:val="009A4387"/>
    <w:rsid w:val="009A4680"/>
    <w:rsid w:val="009A5D7E"/>
    <w:rsid w:val="009B10C3"/>
    <w:rsid w:val="009B242A"/>
    <w:rsid w:val="009B68D0"/>
    <w:rsid w:val="009C4A4B"/>
    <w:rsid w:val="009C4CED"/>
    <w:rsid w:val="009D5CDB"/>
    <w:rsid w:val="009D5EC3"/>
    <w:rsid w:val="009E1B67"/>
    <w:rsid w:val="009E4482"/>
    <w:rsid w:val="009E5966"/>
    <w:rsid w:val="009E6A0C"/>
    <w:rsid w:val="009E7B14"/>
    <w:rsid w:val="009F112D"/>
    <w:rsid w:val="009F6F03"/>
    <w:rsid w:val="009F7898"/>
    <w:rsid w:val="00A0546E"/>
    <w:rsid w:val="00A056E1"/>
    <w:rsid w:val="00A05B1E"/>
    <w:rsid w:val="00A06E43"/>
    <w:rsid w:val="00A126D1"/>
    <w:rsid w:val="00A14C6C"/>
    <w:rsid w:val="00A1501F"/>
    <w:rsid w:val="00A2062E"/>
    <w:rsid w:val="00A209D5"/>
    <w:rsid w:val="00A3015E"/>
    <w:rsid w:val="00A30DE9"/>
    <w:rsid w:val="00A54D86"/>
    <w:rsid w:val="00A60808"/>
    <w:rsid w:val="00A60A97"/>
    <w:rsid w:val="00A66BB4"/>
    <w:rsid w:val="00A83B04"/>
    <w:rsid w:val="00A85191"/>
    <w:rsid w:val="00A864AC"/>
    <w:rsid w:val="00A8782A"/>
    <w:rsid w:val="00A903F3"/>
    <w:rsid w:val="00A9184C"/>
    <w:rsid w:val="00A97A9C"/>
    <w:rsid w:val="00A97AFE"/>
    <w:rsid w:val="00AA06D2"/>
    <w:rsid w:val="00AA4C62"/>
    <w:rsid w:val="00AB273E"/>
    <w:rsid w:val="00AB31CF"/>
    <w:rsid w:val="00AC10F6"/>
    <w:rsid w:val="00AC21C4"/>
    <w:rsid w:val="00AC4075"/>
    <w:rsid w:val="00AC7B3E"/>
    <w:rsid w:val="00AD056C"/>
    <w:rsid w:val="00AD0B7B"/>
    <w:rsid w:val="00AD22B3"/>
    <w:rsid w:val="00AD5065"/>
    <w:rsid w:val="00AD5792"/>
    <w:rsid w:val="00AD61B6"/>
    <w:rsid w:val="00AE07FD"/>
    <w:rsid w:val="00AE110F"/>
    <w:rsid w:val="00AE1304"/>
    <w:rsid w:val="00AE31C6"/>
    <w:rsid w:val="00AF50DB"/>
    <w:rsid w:val="00AF53D8"/>
    <w:rsid w:val="00AF58DB"/>
    <w:rsid w:val="00AF5CC6"/>
    <w:rsid w:val="00AF6629"/>
    <w:rsid w:val="00B004F0"/>
    <w:rsid w:val="00B04CBD"/>
    <w:rsid w:val="00B04E4D"/>
    <w:rsid w:val="00B13B3E"/>
    <w:rsid w:val="00B20040"/>
    <w:rsid w:val="00B2278C"/>
    <w:rsid w:val="00B23FEA"/>
    <w:rsid w:val="00B2460D"/>
    <w:rsid w:val="00B25ACA"/>
    <w:rsid w:val="00B25E18"/>
    <w:rsid w:val="00B30582"/>
    <w:rsid w:val="00B3646A"/>
    <w:rsid w:val="00B41783"/>
    <w:rsid w:val="00B41FF2"/>
    <w:rsid w:val="00B427D6"/>
    <w:rsid w:val="00B44982"/>
    <w:rsid w:val="00B53F52"/>
    <w:rsid w:val="00B54D06"/>
    <w:rsid w:val="00B558BE"/>
    <w:rsid w:val="00B55D81"/>
    <w:rsid w:val="00B64062"/>
    <w:rsid w:val="00B652E4"/>
    <w:rsid w:val="00B65AB3"/>
    <w:rsid w:val="00B70F30"/>
    <w:rsid w:val="00B74459"/>
    <w:rsid w:val="00B77CF3"/>
    <w:rsid w:val="00B81C84"/>
    <w:rsid w:val="00B87291"/>
    <w:rsid w:val="00B87B19"/>
    <w:rsid w:val="00B906CA"/>
    <w:rsid w:val="00B908C0"/>
    <w:rsid w:val="00B915C0"/>
    <w:rsid w:val="00B91C15"/>
    <w:rsid w:val="00B928E5"/>
    <w:rsid w:val="00B978C5"/>
    <w:rsid w:val="00BB0884"/>
    <w:rsid w:val="00BB2E91"/>
    <w:rsid w:val="00BB61F5"/>
    <w:rsid w:val="00BC0049"/>
    <w:rsid w:val="00BC4BDC"/>
    <w:rsid w:val="00BD54B9"/>
    <w:rsid w:val="00BE0D24"/>
    <w:rsid w:val="00BE2266"/>
    <w:rsid w:val="00BE3268"/>
    <w:rsid w:val="00BE4D64"/>
    <w:rsid w:val="00BE73D2"/>
    <w:rsid w:val="00C03E31"/>
    <w:rsid w:val="00C054A3"/>
    <w:rsid w:val="00C05AE0"/>
    <w:rsid w:val="00C1003A"/>
    <w:rsid w:val="00C11970"/>
    <w:rsid w:val="00C15BD7"/>
    <w:rsid w:val="00C15C60"/>
    <w:rsid w:val="00C1711B"/>
    <w:rsid w:val="00C24375"/>
    <w:rsid w:val="00C2787C"/>
    <w:rsid w:val="00C306DE"/>
    <w:rsid w:val="00C30BC6"/>
    <w:rsid w:val="00C339DA"/>
    <w:rsid w:val="00C340D1"/>
    <w:rsid w:val="00C36A0E"/>
    <w:rsid w:val="00C37C0C"/>
    <w:rsid w:val="00C439A6"/>
    <w:rsid w:val="00C5002B"/>
    <w:rsid w:val="00C51E10"/>
    <w:rsid w:val="00C53004"/>
    <w:rsid w:val="00C53C8B"/>
    <w:rsid w:val="00C557BE"/>
    <w:rsid w:val="00C55D5E"/>
    <w:rsid w:val="00C630A5"/>
    <w:rsid w:val="00C671F3"/>
    <w:rsid w:val="00C6736C"/>
    <w:rsid w:val="00C720F0"/>
    <w:rsid w:val="00C74CD8"/>
    <w:rsid w:val="00C80237"/>
    <w:rsid w:val="00C81D99"/>
    <w:rsid w:val="00C85417"/>
    <w:rsid w:val="00C86925"/>
    <w:rsid w:val="00C8692C"/>
    <w:rsid w:val="00C9148E"/>
    <w:rsid w:val="00C91E51"/>
    <w:rsid w:val="00C93DFE"/>
    <w:rsid w:val="00C95AF9"/>
    <w:rsid w:val="00C96724"/>
    <w:rsid w:val="00C97F8D"/>
    <w:rsid w:val="00CA25E0"/>
    <w:rsid w:val="00CB18B5"/>
    <w:rsid w:val="00CC3536"/>
    <w:rsid w:val="00CD0042"/>
    <w:rsid w:val="00CD10DA"/>
    <w:rsid w:val="00CE0E93"/>
    <w:rsid w:val="00CE2A6B"/>
    <w:rsid w:val="00CE4CD6"/>
    <w:rsid w:val="00CF2F36"/>
    <w:rsid w:val="00D127F0"/>
    <w:rsid w:val="00D15D6D"/>
    <w:rsid w:val="00D268D8"/>
    <w:rsid w:val="00D30C1C"/>
    <w:rsid w:val="00D32B05"/>
    <w:rsid w:val="00D32DA6"/>
    <w:rsid w:val="00D32EF8"/>
    <w:rsid w:val="00D33138"/>
    <w:rsid w:val="00D33A22"/>
    <w:rsid w:val="00D36123"/>
    <w:rsid w:val="00D43446"/>
    <w:rsid w:val="00D435AD"/>
    <w:rsid w:val="00D50282"/>
    <w:rsid w:val="00D5534F"/>
    <w:rsid w:val="00D60499"/>
    <w:rsid w:val="00D61FF3"/>
    <w:rsid w:val="00D63846"/>
    <w:rsid w:val="00D64FE3"/>
    <w:rsid w:val="00D660AB"/>
    <w:rsid w:val="00D66D5E"/>
    <w:rsid w:val="00D71479"/>
    <w:rsid w:val="00D74BBD"/>
    <w:rsid w:val="00D75604"/>
    <w:rsid w:val="00D75CB5"/>
    <w:rsid w:val="00D76058"/>
    <w:rsid w:val="00D765BD"/>
    <w:rsid w:val="00D76FBD"/>
    <w:rsid w:val="00D7709F"/>
    <w:rsid w:val="00D8174D"/>
    <w:rsid w:val="00D8523C"/>
    <w:rsid w:val="00D870A6"/>
    <w:rsid w:val="00D87FA5"/>
    <w:rsid w:val="00D91407"/>
    <w:rsid w:val="00D92A4C"/>
    <w:rsid w:val="00D94503"/>
    <w:rsid w:val="00D95982"/>
    <w:rsid w:val="00D963E8"/>
    <w:rsid w:val="00D97C7A"/>
    <w:rsid w:val="00DA3490"/>
    <w:rsid w:val="00DA5674"/>
    <w:rsid w:val="00DA7103"/>
    <w:rsid w:val="00DB09A4"/>
    <w:rsid w:val="00DB0DD3"/>
    <w:rsid w:val="00DC544A"/>
    <w:rsid w:val="00DC7852"/>
    <w:rsid w:val="00DD1455"/>
    <w:rsid w:val="00DD7A64"/>
    <w:rsid w:val="00DF1E28"/>
    <w:rsid w:val="00DF520D"/>
    <w:rsid w:val="00DF5501"/>
    <w:rsid w:val="00DF6441"/>
    <w:rsid w:val="00E05CBE"/>
    <w:rsid w:val="00E17DE3"/>
    <w:rsid w:val="00E17FFA"/>
    <w:rsid w:val="00E21EBA"/>
    <w:rsid w:val="00E221C4"/>
    <w:rsid w:val="00E236A5"/>
    <w:rsid w:val="00E24FBE"/>
    <w:rsid w:val="00E2739D"/>
    <w:rsid w:val="00E323DC"/>
    <w:rsid w:val="00E326F6"/>
    <w:rsid w:val="00E32A47"/>
    <w:rsid w:val="00E3469B"/>
    <w:rsid w:val="00E372E3"/>
    <w:rsid w:val="00E374CA"/>
    <w:rsid w:val="00E41C8D"/>
    <w:rsid w:val="00E44C38"/>
    <w:rsid w:val="00E64D49"/>
    <w:rsid w:val="00E65A91"/>
    <w:rsid w:val="00E71394"/>
    <w:rsid w:val="00E726EE"/>
    <w:rsid w:val="00E729E8"/>
    <w:rsid w:val="00E74957"/>
    <w:rsid w:val="00E80B0C"/>
    <w:rsid w:val="00E831EE"/>
    <w:rsid w:val="00E8452B"/>
    <w:rsid w:val="00E851AD"/>
    <w:rsid w:val="00E86AC4"/>
    <w:rsid w:val="00E9191B"/>
    <w:rsid w:val="00E91BD7"/>
    <w:rsid w:val="00E92A75"/>
    <w:rsid w:val="00E94363"/>
    <w:rsid w:val="00E96C4C"/>
    <w:rsid w:val="00EA0E63"/>
    <w:rsid w:val="00EA0F0E"/>
    <w:rsid w:val="00EA3154"/>
    <w:rsid w:val="00EA3AF7"/>
    <w:rsid w:val="00EA3BF0"/>
    <w:rsid w:val="00EA561F"/>
    <w:rsid w:val="00EB2402"/>
    <w:rsid w:val="00EB2F10"/>
    <w:rsid w:val="00EB736D"/>
    <w:rsid w:val="00EB767D"/>
    <w:rsid w:val="00EB7B0D"/>
    <w:rsid w:val="00EC1B78"/>
    <w:rsid w:val="00EC2C50"/>
    <w:rsid w:val="00EC7F3E"/>
    <w:rsid w:val="00ED3256"/>
    <w:rsid w:val="00ED4443"/>
    <w:rsid w:val="00ED44A5"/>
    <w:rsid w:val="00ED65B4"/>
    <w:rsid w:val="00EE09A9"/>
    <w:rsid w:val="00EE0C9F"/>
    <w:rsid w:val="00EE1897"/>
    <w:rsid w:val="00EE1F0E"/>
    <w:rsid w:val="00EE20DC"/>
    <w:rsid w:val="00EE368F"/>
    <w:rsid w:val="00EE54FF"/>
    <w:rsid w:val="00EE5F58"/>
    <w:rsid w:val="00EE61E0"/>
    <w:rsid w:val="00EF1287"/>
    <w:rsid w:val="00F0149E"/>
    <w:rsid w:val="00F050E6"/>
    <w:rsid w:val="00F05C8D"/>
    <w:rsid w:val="00F1675A"/>
    <w:rsid w:val="00F17F78"/>
    <w:rsid w:val="00F217CA"/>
    <w:rsid w:val="00F23F6B"/>
    <w:rsid w:val="00F2606D"/>
    <w:rsid w:val="00F306D6"/>
    <w:rsid w:val="00F33799"/>
    <w:rsid w:val="00F34E6B"/>
    <w:rsid w:val="00F3504F"/>
    <w:rsid w:val="00F36BA7"/>
    <w:rsid w:val="00F37AB8"/>
    <w:rsid w:val="00F40FAC"/>
    <w:rsid w:val="00F40FE3"/>
    <w:rsid w:val="00F467F0"/>
    <w:rsid w:val="00F46C32"/>
    <w:rsid w:val="00F46DB7"/>
    <w:rsid w:val="00F504BE"/>
    <w:rsid w:val="00F523F4"/>
    <w:rsid w:val="00F526E0"/>
    <w:rsid w:val="00F55ED5"/>
    <w:rsid w:val="00F60FEA"/>
    <w:rsid w:val="00F62370"/>
    <w:rsid w:val="00F6465A"/>
    <w:rsid w:val="00F657F1"/>
    <w:rsid w:val="00F72D88"/>
    <w:rsid w:val="00F73A84"/>
    <w:rsid w:val="00F73D9C"/>
    <w:rsid w:val="00F74C21"/>
    <w:rsid w:val="00F75699"/>
    <w:rsid w:val="00F7609B"/>
    <w:rsid w:val="00F8574B"/>
    <w:rsid w:val="00F9261A"/>
    <w:rsid w:val="00F92AAD"/>
    <w:rsid w:val="00F95D77"/>
    <w:rsid w:val="00F96F94"/>
    <w:rsid w:val="00FA2635"/>
    <w:rsid w:val="00FA40AD"/>
    <w:rsid w:val="00FA4DBB"/>
    <w:rsid w:val="00FA7154"/>
    <w:rsid w:val="00FA7217"/>
    <w:rsid w:val="00FA7E8E"/>
    <w:rsid w:val="00FB135A"/>
    <w:rsid w:val="00FB2550"/>
    <w:rsid w:val="00FB280E"/>
    <w:rsid w:val="00FB608D"/>
    <w:rsid w:val="00FB7496"/>
    <w:rsid w:val="00FC09EC"/>
    <w:rsid w:val="00FC1E4F"/>
    <w:rsid w:val="00FC400E"/>
    <w:rsid w:val="00FC5D60"/>
    <w:rsid w:val="00FC5FA4"/>
    <w:rsid w:val="00FD1F83"/>
    <w:rsid w:val="00FD3DAD"/>
    <w:rsid w:val="00FE0F4C"/>
    <w:rsid w:val="00FE2160"/>
    <w:rsid w:val="00FE2745"/>
    <w:rsid w:val="00FE4C58"/>
    <w:rsid w:val="00FE58B1"/>
    <w:rsid w:val="00FE5992"/>
    <w:rsid w:val="00FE704D"/>
    <w:rsid w:val="00FE7497"/>
    <w:rsid w:val="00FF5935"/>
    <w:rsid w:val="00FF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1B4"/>
  </w:style>
  <w:style w:type="paragraph" w:styleId="Heading1">
    <w:name w:val="heading 1"/>
    <w:basedOn w:val="Normal"/>
    <w:next w:val="Normal"/>
    <w:link w:val="Heading1Char"/>
    <w:uiPriority w:val="9"/>
    <w:qFormat/>
    <w:rsid w:val="00116C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6C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4A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5D7E"/>
    <w:pPr>
      <w:ind w:left="720"/>
      <w:contextualSpacing/>
    </w:pPr>
  </w:style>
  <w:style w:type="character" w:customStyle="1" w:styleId="Heading1Char">
    <w:name w:val="Heading 1 Char"/>
    <w:basedOn w:val="DefaultParagraphFont"/>
    <w:link w:val="Heading1"/>
    <w:uiPriority w:val="9"/>
    <w:rsid w:val="00116C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6CA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16CA5"/>
    <w:rPr>
      <w:color w:val="0000FF" w:themeColor="hyperlink"/>
      <w:u w:val="single"/>
    </w:rPr>
  </w:style>
  <w:style w:type="character" w:styleId="FollowedHyperlink">
    <w:name w:val="FollowedHyperlink"/>
    <w:basedOn w:val="DefaultParagraphFont"/>
    <w:uiPriority w:val="99"/>
    <w:semiHidden/>
    <w:unhideWhenUsed/>
    <w:rsid w:val="00116CA5"/>
    <w:rPr>
      <w:color w:val="800080" w:themeColor="followedHyperlink"/>
      <w:u w:val="single"/>
    </w:rPr>
  </w:style>
  <w:style w:type="paragraph" w:styleId="Header">
    <w:name w:val="header"/>
    <w:basedOn w:val="Normal"/>
    <w:link w:val="HeaderChar"/>
    <w:uiPriority w:val="99"/>
    <w:unhideWhenUsed/>
    <w:rsid w:val="00584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A82"/>
  </w:style>
  <w:style w:type="paragraph" w:styleId="Footer">
    <w:name w:val="footer"/>
    <w:basedOn w:val="Normal"/>
    <w:link w:val="FooterChar"/>
    <w:uiPriority w:val="99"/>
    <w:unhideWhenUsed/>
    <w:rsid w:val="00584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A82"/>
  </w:style>
  <w:style w:type="character" w:customStyle="1" w:styleId="Heading3Char">
    <w:name w:val="Heading 3 Char"/>
    <w:basedOn w:val="DefaultParagraphFont"/>
    <w:link w:val="Heading3"/>
    <w:uiPriority w:val="9"/>
    <w:rsid w:val="00584A8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D0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042"/>
    <w:rPr>
      <w:rFonts w:ascii="Tahoma" w:hAnsi="Tahoma" w:cs="Tahoma"/>
      <w:sz w:val="16"/>
      <w:szCs w:val="16"/>
    </w:rPr>
  </w:style>
  <w:style w:type="paragraph" w:customStyle="1" w:styleId="IATableLabel">
    <w:name w:val="IATableLabel"/>
    <w:basedOn w:val="Normal"/>
    <w:link w:val="IATableLabelCharChar"/>
    <w:rsid w:val="0007171C"/>
    <w:pPr>
      <w:spacing w:before="50" w:after="50" w:line="240" w:lineRule="auto"/>
      <w:ind w:left="113" w:right="113"/>
    </w:pPr>
    <w:rPr>
      <w:rFonts w:ascii="Arial" w:eastAsia="SimSun" w:hAnsi="Arial" w:cs="Times New Roman"/>
      <w:b/>
      <w:color w:val="000000"/>
      <w:spacing w:val="-5"/>
      <w:sz w:val="20"/>
      <w:szCs w:val="20"/>
      <w:lang w:eastAsia="zh-CN"/>
    </w:rPr>
  </w:style>
  <w:style w:type="character" w:customStyle="1" w:styleId="IATableLabelCharChar">
    <w:name w:val="IATableLabel Char Char"/>
    <w:basedOn w:val="DefaultParagraphFont"/>
    <w:link w:val="IATableLabel"/>
    <w:rsid w:val="0007171C"/>
    <w:rPr>
      <w:rFonts w:ascii="Arial" w:eastAsia="SimSun" w:hAnsi="Arial" w:cs="Times New Roman"/>
      <w:b/>
      <w:color w:val="000000"/>
      <w:spacing w:val="-5"/>
      <w:sz w:val="20"/>
      <w:szCs w:val="20"/>
      <w:lang w:eastAsia="zh-CN"/>
    </w:rPr>
  </w:style>
  <w:style w:type="paragraph" w:customStyle="1" w:styleId="IAHeadLabel">
    <w:name w:val="IAHeadLabel"/>
    <w:basedOn w:val="IATableLabel"/>
    <w:link w:val="IAHeadLabelChar"/>
    <w:rsid w:val="0007171C"/>
    <w:pPr>
      <w:spacing w:before="110"/>
      <w:ind w:left="0" w:right="0"/>
    </w:pPr>
  </w:style>
  <w:style w:type="character" w:customStyle="1" w:styleId="IAHeadLabelChar">
    <w:name w:val="IAHeadLabel Char"/>
    <w:basedOn w:val="IATableLabelCharChar"/>
    <w:link w:val="IAHeadLabel"/>
    <w:rsid w:val="0007171C"/>
    <w:rPr>
      <w:rFonts w:ascii="Arial" w:eastAsia="SimSun" w:hAnsi="Arial" w:cs="Times New Roman"/>
      <w:b/>
      <w:color w:val="000000"/>
      <w:spacing w:val="-5"/>
      <w:sz w:val="20"/>
      <w:szCs w:val="20"/>
      <w:lang w:eastAsia="zh-CN"/>
    </w:rPr>
  </w:style>
  <w:style w:type="paragraph" w:customStyle="1" w:styleId="IATableNotes">
    <w:name w:val="IATableNotes"/>
    <w:basedOn w:val="Normal"/>
    <w:link w:val="IATableNotesChar"/>
    <w:rsid w:val="0007171C"/>
    <w:pPr>
      <w:spacing w:before="60" w:after="60" w:line="240" w:lineRule="auto"/>
      <w:ind w:left="113" w:right="113"/>
    </w:pPr>
    <w:rPr>
      <w:rFonts w:ascii="Arial" w:eastAsia="SimSun" w:hAnsi="Arial" w:cs="Times New Roman"/>
      <w:sz w:val="18"/>
      <w:szCs w:val="20"/>
      <w:lang w:eastAsia="zh-CN"/>
    </w:rPr>
  </w:style>
  <w:style w:type="character" w:customStyle="1" w:styleId="IATableNotesChar">
    <w:name w:val="IATableNotes Char"/>
    <w:basedOn w:val="DefaultParagraphFont"/>
    <w:link w:val="IATableNotes"/>
    <w:rsid w:val="0007171C"/>
    <w:rPr>
      <w:rFonts w:ascii="Arial" w:eastAsia="SimSun" w:hAnsi="Arial" w:cs="Times New Roman"/>
      <w:sz w:val="18"/>
      <w:szCs w:val="20"/>
      <w:lang w:eastAsia="zh-CN"/>
    </w:rPr>
  </w:style>
  <w:style w:type="table" w:customStyle="1" w:styleId="TableIABox">
    <w:name w:val="Table_IABox"/>
    <w:basedOn w:val="TableNormal"/>
    <w:rsid w:val="0007171C"/>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customStyle="1" w:styleId="POPBY">
    <w:name w:val="POPBY"/>
    <w:basedOn w:val="IATableLabel"/>
    <w:rsid w:val="0007171C"/>
  </w:style>
  <w:style w:type="paragraph" w:customStyle="1" w:styleId="POPVBY">
    <w:name w:val="POPVBY"/>
    <w:basedOn w:val="IATableLabel"/>
    <w:rsid w:val="0007171C"/>
  </w:style>
  <w:style w:type="paragraph" w:customStyle="1" w:styleId="POTPY">
    <w:name w:val="POTPY"/>
    <w:basedOn w:val="IATableLabel"/>
    <w:rsid w:val="0007171C"/>
  </w:style>
  <w:style w:type="paragraph" w:customStyle="1" w:styleId="PONBLow">
    <w:name w:val="PONBLow"/>
    <w:basedOn w:val="IATableLabel"/>
    <w:link w:val="PONBLowCharChar"/>
    <w:rsid w:val="0007171C"/>
    <w:rPr>
      <w:b w:val="0"/>
    </w:rPr>
  </w:style>
  <w:style w:type="character" w:customStyle="1" w:styleId="PONBLowCharChar">
    <w:name w:val="PONBLow Char Char"/>
    <w:basedOn w:val="IATableLabelCharChar"/>
    <w:link w:val="PONBLow"/>
    <w:rsid w:val="0007171C"/>
    <w:rPr>
      <w:rFonts w:ascii="Arial" w:eastAsia="SimSun" w:hAnsi="Arial" w:cs="Times New Roman"/>
      <w:b w:val="0"/>
      <w:color w:val="000000"/>
      <w:spacing w:val="-5"/>
      <w:sz w:val="20"/>
      <w:szCs w:val="20"/>
      <w:lang w:eastAsia="zh-CN"/>
    </w:rPr>
  </w:style>
  <w:style w:type="paragraph" w:customStyle="1" w:styleId="PONBHigh">
    <w:name w:val="PONBHigh"/>
    <w:basedOn w:val="IATableLabel"/>
    <w:link w:val="PONBHighChar"/>
    <w:rsid w:val="0007171C"/>
    <w:rPr>
      <w:b w:val="0"/>
    </w:rPr>
  </w:style>
  <w:style w:type="character" w:customStyle="1" w:styleId="PONBHighChar">
    <w:name w:val="PONBHigh Char"/>
    <w:basedOn w:val="IATableLabelCharChar"/>
    <w:link w:val="PONBHigh"/>
    <w:rsid w:val="0007171C"/>
    <w:rPr>
      <w:rFonts w:ascii="Arial" w:eastAsia="SimSun" w:hAnsi="Arial" w:cs="Times New Roman"/>
      <w:b w:val="0"/>
      <w:color w:val="000000"/>
      <w:spacing w:val="-5"/>
      <w:sz w:val="20"/>
      <w:szCs w:val="20"/>
      <w:lang w:eastAsia="zh-CN"/>
    </w:rPr>
  </w:style>
  <w:style w:type="paragraph" w:customStyle="1" w:styleId="PONBBestEst">
    <w:name w:val="PONBBestEst"/>
    <w:basedOn w:val="IATableLabel"/>
    <w:link w:val="PONBBestEstChar"/>
    <w:rsid w:val="0007171C"/>
    <w:rPr>
      <w:b w:val="0"/>
    </w:rPr>
  </w:style>
  <w:style w:type="character" w:customStyle="1" w:styleId="PONBBestEstChar">
    <w:name w:val="PONBBestEst Char"/>
    <w:basedOn w:val="IATableLabelCharChar"/>
    <w:link w:val="PONBBestEst"/>
    <w:rsid w:val="0007171C"/>
    <w:rPr>
      <w:rFonts w:ascii="Arial" w:eastAsia="SimSun" w:hAnsi="Arial" w:cs="Times New Roman"/>
      <w:b w:val="0"/>
      <w:color w:val="000000"/>
      <w:spacing w:val="-5"/>
      <w:sz w:val="20"/>
      <w:szCs w:val="20"/>
      <w:lang w:eastAsia="zh-CN"/>
    </w:rPr>
  </w:style>
  <w:style w:type="paragraph" w:customStyle="1" w:styleId="IAPODICost">
    <w:name w:val="IAPODICost"/>
    <w:basedOn w:val="IATableLabel"/>
    <w:link w:val="IAPODICostChar"/>
    <w:rsid w:val="0007171C"/>
    <w:rPr>
      <w:b w:val="0"/>
    </w:rPr>
  </w:style>
  <w:style w:type="character" w:customStyle="1" w:styleId="IAPODICostChar">
    <w:name w:val="IAPODICost Char"/>
    <w:basedOn w:val="IATableLabelCharChar"/>
    <w:link w:val="IAPODICost"/>
    <w:rsid w:val="0007171C"/>
    <w:rPr>
      <w:rFonts w:ascii="Arial" w:eastAsia="SimSun" w:hAnsi="Arial" w:cs="Times New Roman"/>
      <w:b w:val="0"/>
      <w:color w:val="000000"/>
      <w:spacing w:val="-5"/>
      <w:sz w:val="20"/>
      <w:szCs w:val="20"/>
      <w:lang w:eastAsia="zh-CN"/>
    </w:rPr>
  </w:style>
  <w:style w:type="paragraph" w:customStyle="1" w:styleId="IAPODIBen">
    <w:name w:val="IAPODIBen"/>
    <w:basedOn w:val="IATableLabel"/>
    <w:link w:val="IAPODIBenChar"/>
    <w:rsid w:val="0007171C"/>
    <w:rPr>
      <w:b w:val="0"/>
    </w:rPr>
  </w:style>
  <w:style w:type="paragraph" w:customStyle="1" w:styleId="IAPODINet">
    <w:name w:val="IAPODINet"/>
    <w:basedOn w:val="IATableLabel"/>
    <w:link w:val="IAPODINetChar"/>
    <w:rsid w:val="0007171C"/>
    <w:rPr>
      <w:b w:val="0"/>
    </w:rPr>
  </w:style>
  <w:style w:type="paragraph" w:customStyle="1" w:styleId="IAPODIOIOO">
    <w:name w:val="IAPODIOIOO"/>
    <w:basedOn w:val="IATableLabel"/>
    <w:rsid w:val="0007171C"/>
    <w:rPr>
      <w:b w:val="0"/>
      <w:sz w:val="22"/>
      <w:szCs w:val="22"/>
    </w:rPr>
  </w:style>
  <w:style w:type="character" w:customStyle="1" w:styleId="IAPODINetChar">
    <w:name w:val="IAPODINet Char"/>
    <w:basedOn w:val="IATableLabelCharChar"/>
    <w:link w:val="IAPODINet"/>
    <w:rsid w:val="0007171C"/>
    <w:rPr>
      <w:rFonts w:ascii="Arial" w:eastAsia="SimSun" w:hAnsi="Arial" w:cs="Times New Roman"/>
      <w:b w:val="0"/>
      <w:color w:val="000000"/>
      <w:spacing w:val="-5"/>
      <w:sz w:val="20"/>
      <w:szCs w:val="20"/>
      <w:lang w:eastAsia="zh-CN"/>
    </w:rPr>
  </w:style>
  <w:style w:type="character" w:customStyle="1" w:styleId="IAPODIBenChar">
    <w:name w:val="IAPODIBen Char"/>
    <w:basedOn w:val="IATableLabelCharChar"/>
    <w:link w:val="IAPODIBen"/>
    <w:rsid w:val="0007171C"/>
    <w:rPr>
      <w:rFonts w:ascii="Arial" w:eastAsia="SimSun" w:hAnsi="Arial" w:cs="Times New Roman"/>
      <w:b w:val="0"/>
      <w:color w:val="000000"/>
      <w:spacing w:val="-5"/>
      <w:sz w:val="20"/>
      <w:szCs w:val="20"/>
      <w:lang w:eastAsia="zh-CN"/>
    </w:rPr>
  </w:style>
  <w:style w:type="paragraph" w:customStyle="1" w:styleId="IAPODIMQ">
    <w:name w:val="IAPODIMQ"/>
    <w:basedOn w:val="Normal"/>
    <w:rsid w:val="0007171C"/>
    <w:pPr>
      <w:spacing w:before="50" w:after="50" w:line="240" w:lineRule="auto"/>
      <w:ind w:left="113" w:right="113"/>
    </w:pPr>
    <w:rPr>
      <w:rFonts w:ascii="Arial" w:eastAsia="SimSun" w:hAnsi="Arial" w:cs="Times New Roman"/>
      <w:color w:val="000000"/>
      <w:spacing w:val="-5"/>
      <w:sz w:val="20"/>
      <w:szCs w:val="20"/>
      <w:lang w:eastAsia="zh-CN"/>
    </w:rPr>
  </w:style>
  <w:style w:type="paragraph" w:customStyle="1" w:styleId="Default">
    <w:name w:val="Default"/>
    <w:rsid w:val="000B408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aliases w:val="Footnote,Schriftart: 9 pt,Schriftart: 10 pt,Schriftart: 8 pt,o,Testo nota a piè di pagina Carattere,Footnote text,Fußnote,Char Char Car,Fußnotentextf,Note de bas de page Car Car Car Car Car Car Car Car Car Car,ft,fn"/>
    <w:basedOn w:val="Normal"/>
    <w:link w:val="FootnoteTextChar"/>
    <w:uiPriority w:val="99"/>
    <w:unhideWhenUsed/>
    <w:rsid w:val="00246145"/>
    <w:pPr>
      <w:spacing w:after="0" w:line="240" w:lineRule="auto"/>
    </w:pPr>
    <w:rPr>
      <w:sz w:val="20"/>
      <w:szCs w:val="20"/>
    </w:rPr>
  </w:style>
  <w:style w:type="character" w:customStyle="1" w:styleId="FootnoteTextChar">
    <w:name w:val="Footnote Text Char"/>
    <w:aliases w:val="Footnote Char,Schriftart: 9 pt Char,Schriftart: 10 pt Char,Schriftart: 8 pt Char,o Char,Testo nota a piè di pagina Carattere Char,Footnote text Char,Fußnote Char,Char Char Car Char,Fußnotentextf Char,ft Char,fn Char"/>
    <w:basedOn w:val="DefaultParagraphFont"/>
    <w:link w:val="FootnoteText"/>
    <w:uiPriority w:val="99"/>
    <w:rsid w:val="00246145"/>
    <w:rPr>
      <w:sz w:val="20"/>
      <w:szCs w:val="20"/>
    </w:rPr>
  </w:style>
  <w:style w:type="character" w:styleId="FootnoteReference">
    <w:name w:val="footnote reference"/>
    <w:aliases w:val="Footnote Reference Superscript,Footnote symbol,Footnote Reference/,BVI fnr,EN Footnote Reference,number,SUPERS,-E Fußnotenzeichen,Footnote reference number,note TESI,stylish,Source Reference,Times 10 Point,Exposant 3 Point,Ref,No"/>
    <w:basedOn w:val="DefaultParagraphFont"/>
    <w:uiPriority w:val="99"/>
    <w:unhideWhenUsed/>
    <w:rsid w:val="00246145"/>
    <w:rPr>
      <w:vertAlign w:val="superscript"/>
    </w:rPr>
  </w:style>
  <w:style w:type="paragraph" w:customStyle="1" w:styleId="EBBodyPara">
    <w:name w:val="EBBodyPara"/>
    <w:basedOn w:val="BodyText"/>
    <w:rsid w:val="00545432"/>
    <w:pPr>
      <w:spacing w:line="240" w:lineRule="auto"/>
    </w:pPr>
    <w:rPr>
      <w:rFonts w:ascii="Arial" w:eastAsia="Times New Roman" w:hAnsi="Arial" w:cs="Arial"/>
      <w:bCs/>
      <w:color w:val="000000"/>
      <w:lang w:eastAsia="en-GB"/>
    </w:rPr>
  </w:style>
  <w:style w:type="paragraph" w:styleId="BodyText">
    <w:name w:val="Body Text"/>
    <w:basedOn w:val="Normal"/>
    <w:link w:val="BodyTextChar"/>
    <w:uiPriority w:val="99"/>
    <w:semiHidden/>
    <w:unhideWhenUsed/>
    <w:rsid w:val="00545432"/>
    <w:pPr>
      <w:spacing w:after="120"/>
    </w:pPr>
  </w:style>
  <w:style w:type="character" w:customStyle="1" w:styleId="BodyTextChar">
    <w:name w:val="Body Text Char"/>
    <w:basedOn w:val="DefaultParagraphFont"/>
    <w:link w:val="BodyText"/>
    <w:uiPriority w:val="99"/>
    <w:semiHidden/>
    <w:rsid w:val="00545432"/>
  </w:style>
  <w:style w:type="paragraph" w:styleId="NoSpacing">
    <w:name w:val="No Spacing"/>
    <w:uiPriority w:val="1"/>
    <w:qFormat/>
    <w:rsid w:val="00F74C21"/>
    <w:pPr>
      <w:spacing w:after="0" w:line="240" w:lineRule="auto"/>
    </w:pPr>
  </w:style>
  <w:style w:type="table" w:styleId="MediumShading1-Accent6">
    <w:name w:val="Medium Shading 1 Accent 6"/>
    <w:basedOn w:val="TableNormal"/>
    <w:uiPriority w:val="63"/>
    <w:rsid w:val="00BB088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BB0884"/>
    <w:rPr>
      <w:sz w:val="16"/>
      <w:szCs w:val="16"/>
    </w:rPr>
  </w:style>
  <w:style w:type="paragraph" w:styleId="CommentText">
    <w:name w:val="annotation text"/>
    <w:basedOn w:val="Normal"/>
    <w:link w:val="CommentTextChar"/>
    <w:uiPriority w:val="99"/>
    <w:unhideWhenUsed/>
    <w:rsid w:val="00BB0884"/>
    <w:pPr>
      <w:spacing w:line="240" w:lineRule="auto"/>
    </w:pPr>
    <w:rPr>
      <w:sz w:val="20"/>
      <w:szCs w:val="20"/>
    </w:rPr>
  </w:style>
  <w:style w:type="character" w:customStyle="1" w:styleId="CommentTextChar">
    <w:name w:val="Comment Text Char"/>
    <w:basedOn w:val="DefaultParagraphFont"/>
    <w:link w:val="CommentText"/>
    <w:uiPriority w:val="99"/>
    <w:rsid w:val="00BB0884"/>
    <w:rPr>
      <w:sz w:val="20"/>
      <w:szCs w:val="20"/>
    </w:rPr>
  </w:style>
  <w:style w:type="paragraph" w:styleId="Title">
    <w:name w:val="Title"/>
    <w:basedOn w:val="Normal"/>
    <w:next w:val="Normal"/>
    <w:link w:val="TitleChar"/>
    <w:uiPriority w:val="10"/>
    <w:qFormat/>
    <w:rsid w:val="00C720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C720F0"/>
    <w:rPr>
      <w:rFonts w:asciiTheme="majorHAnsi" w:eastAsiaTheme="majorEastAsia" w:hAnsiTheme="majorHAnsi" w:cstheme="majorBidi"/>
      <w:color w:val="17365D" w:themeColor="text2" w:themeShade="BF"/>
      <w:spacing w:val="5"/>
      <w:kern w:val="28"/>
      <w:sz w:val="52"/>
      <w:szCs w:val="52"/>
      <w:lang w:eastAsia="en-GB"/>
    </w:rPr>
  </w:style>
  <w:style w:type="paragraph" w:styleId="Subtitle">
    <w:name w:val="Subtitle"/>
    <w:basedOn w:val="Normal"/>
    <w:next w:val="Normal"/>
    <w:link w:val="SubtitleChar"/>
    <w:uiPriority w:val="11"/>
    <w:qFormat/>
    <w:rsid w:val="00C720F0"/>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en-GB"/>
    </w:rPr>
  </w:style>
  <w:style w:type="character" w:customStyle="1" w:styleId="SubtitleChar">
    <w:name w:val="Subtitle Char"/>
    <w:basedOn w:val="DefaultParagraphFont"/>
    <w:link w:val="Subtitle"/>
    <w:uiPriority w:val="11"/>
    <w:rsid w:val="00C720F0"/>
    <w:rPr>
      <w:rFonts w:asciiTheme="majorHAnsi" w:eastAsiaTheme="majorEastAsia" w:hAnsiTheme="majorHAnsi" w:cstheme="majorBidi"/>
      <w:i/>
      <w:iCs/>
      <w:color w:val="4F81BD" w:themeColor="accent1"/>
      <w:spacing w:val="15"/>
      <w:sz w:val="24"/>
      <w:szCs w:val="24"/>
      <w:lang w:eastAsia="en-GB"/>
    </w:rPr>
  </w:style>
  <w:style w:type="paragraph" w:styleId="NormalWeb">
    <w:name w:val="Normal (Web)"/>
    <w:basedOn w:val="Normal"/>
    <w:rsid w:val="00C6736C"/>
    <w:pPr>
      <w:spacing w:before="100" w:beforeAutospacing="1" w:after="100" w:afterAutospacing="1" w:line="240" w:lineRule="auto"/>
    </w:pPr>
    <w:rPr>
      <w:rFonts w:ascii="Arial" w:eastAsia="Times New Roman" w:hAnsi="Arial" w:cs="Arial"/>
      <w:sz w:val="24"/>
      <w:szCs w:val="24"/>
      <w:lang w:eastAsia="en-GB"/>
    </w:rPr>
  </w:style>
  <w:style w:type="table" w:styleId="LightShading-Accent6">
    <w:name w:val="Light Shading Accent 6"/>
    <w:basedOn w:val="TableNormal"/>
    <w:uiPriority w:val="60"/>
    <w:rsid w:val="00C2787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C2787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Grid3-Accent6">
    <w:name w:val="Medium Grid 3 Accent 6"/>
    <w:basedOn w:val="TableNormal"/>
    <w:uiPriority w:val="69"/>
    <w:rsid w:val="00C278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CommentSubject">
    <w:name w:val="annotation subject"/>
    <w:basedOn w:val="CommentText"/>
    <w:next w:val="CommentText"/>
    <w:link w:val="CommentSubjectChar"/>
    <w:uiPriority w:val="99"/>
    <w:semiHidden/>
    <w:unhideWhenUsed/>
    <w:rsid w:val="00B004F0"/>
    <w:rPr>
      <w:b/>
      <w:bCs/>
    </w:rPr>
  </w:style>
  <w:style w:type="character" w:customStyle="1" w:styleId="CommentSubjectChar">
    <w:name w:val="Comment Subject Char"/>
    <w:basedOn w:val="CommentTextChar"/>
    <w:link w:val="CommentSubject"/>
    <w:uiPriority w:val="99"/>
    <w:semiHidden/>
    <w:rsid w:val="00B004F0"/>
    <w:rPr>
      <w:b/>
      <w:bCs/>
      <w:sz w:val="20"/>
      <w:szCs w:val="20"/>
    </w:rPr>
  </w:style>
  <w:style w:type="paragraph" w:styleId="EndnoteText">
    <w:name w:val="endnote text"/>
    <w:basedOn w:val="Normal"/>
    <w:link w:val="EndnoteTextChar"/>
    <w:uiPriority w:val="99"/>
    <w:semiHidden/>
    <w:unhideWhenUsed/>
    <w:rsid w:val="008133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3339"/>
    <w:rPr>
      <w:sz w:val="20"/>
      <w:szCs w:val="20"/>
    </w:rPr>
  </w:style>
  <w:style w:type="character" w:styleId="EndnoteReference">
    <w:name w:val="endnote reference"/>
    <w:basedOn w:val="DefaultParagraphFont"/>
    <w:uiPriority w:val="99"/>
    <w:semiHidden/>
    <w:unhideWhenUsed/>
    <w:rsid w:val="00813339"/>
    <w:rPr>
      <w:vertAlign w:val="superscript"/>
    </w:rPr>
  </w:style>
  <w:style w:type="table" w:customStyle="1" w:styleId="TableGrid1">
    <w:name w:val="Table Grid1"/>
    <w:basedOn w:val="TableNormal"/>
    <w:next w:val="TableGrid"/>
    <w:uiPriority w:val="59"/>
    <w:rsid w:val="00C80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1B4"/>
  </w:style>
  <w:style w:type="paragraph" w:styleId="Heading1">
    <w:name w:val="heading 1"/>
    <w:basedOn w:val="Normal"/>
    <w:next w:val="Normal"/>
    <w:link w:val="Heading1Char"/>
    <w:uiPriority w:val="9"/>
    <w:qFormat/>
    <w:rsid w:val="00116C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6C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4A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5D7E"/>
    <w:pPr>
      <w:ind w:left="720"/>
      <w:contextualSpacing/>
    </w:pPr>
  </w:style>
  <w:style w:type="character" w:customStyle="1" w:styleId="Heading1Char">
    <w:name w:val="Heading 1 Char"/>
    <w:basedOn w:val="DefaultParagraphFont"/>
    <w:link w:val="Heading1"/>
    <w:uiPriority w:val="9"/>
    <w:rsid w:val="00116C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6CA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16CA5"/>
    <w:rPr>
      <w:color w:val="0000FF" w:themeColor="hyperlink"/>
      <w:u w:val="single"/>
    </w:rPr>
  </w:style>
  <w:style w:type="character" w:styleId="FollowedHyperlink">
    <w:name w:val="FollowedHyperlink"/>
    <w:basedOn w:val="DefaultParagraphFont"/>
    <w:uiPriority w:val="99"/>
    <w:semiHidden/>
    <w:unhideWhenUsed/>
    <w:rsid w:val="00116CA5"/>
    <w:rPr>
      <w:color w:val="800080" w:themeColor="followedHyperlink"/>
      <w:u w:val="single"/>
    </w:rPr>
  </w:style>
  <w:style w:type="paragraph" w:styleId="Header">
    <w:name w:val="header"/>
    <w:basedOn w:val="Normal"/>
    <w:link w:val="HeaderChar"/>
    <w:uiPriority w:val="99"/>
    <w:unhideWhenUsed/>
    <w:rsid w:val="00584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A82"/>
  </w:style>
  <w:style w:type="paragraph" w:styleId="Footer">
    <w:name w:val="footer"/>
    <w:basedOn w:val="Normal"/>
    <w:link w:val="FooterChar"/>
    <w:uiPriority w:val="99"/>
    <w:unhideWhenUsed/>
    <w:rsid w:val="00584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A82"/>
  </w:style>
  <w:style w:type="character" w:customStyle="1" w:styleId="Heading3Char">
    <w:name w:val="Heading 3 Char"/>
    <w:basedOn w:val="DefaultParagraphFont"/>
    <w:link w:val="Heading3"/>
    <w:uiPriority w:val="9"/>
    <w:rsid w:val="00584A8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D0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042"/>
    <w:rPr>
      <w:rFonts w:ascii="Tahoma" w:hAnsi="Tahoma" w:cs="Tahoma"/>
      <w:sz w:val="16"/>
      <w:szCs w:val="16"/>
    </w:rPr>
  </w:style>
  <w:style w:type="paragraph" w:customStyle="1" w:styleId="IATableLabel">
    <w:name w:val="IATableLabel"/>
    <w:basedOn w:val="Normal"/>
    <w:link w:val="IATableLabelCharChar"/>
    <w:rsid w:val="0007171C"/>
    <w:pPr>
      <w:spacing w:before="50" w:after="50" w:line="240" w:lineRule="auto"/>
      <w:ind w:left="113" w:right="113"/>
    </w:pPr>
    <w:rPr>
      <w:rFonts w:ascii="Arial" w:eastAsia="SimSun" w:hAnsi="Arial" w:cs="Times New Roman"/>
      <w:b/>
      <w:color w:val="000000"/>
      <w:spacing w:val="-5"/>
      <w:sz w:val="20"/>
      <w:szCs w:val="20"/>
      <w:lang w:eastAsia="zh-CN"/>
    </w:rPr>
  </w:style>
  <w:style w:type="character" w:customStyle="1" w:styleId="IATableLabelCharChar">
    <w:name w:val="IATableLabel Char Char"/>
    <w:basedOn w:val="DefaultParagraphFont"/>
    <w:link w:val="IATableLabel"/>
    <w:rsid w:val="0007171C"/>
    <w:rPr>
      <w:rFonts w:ascii="Arial" w:eastAsia="SimSun" w:hAnsi="Arial" w:cs="Times New Roman"/>
      <w:b/>
      <w:color w:val="000000"/>
      <w:spacing w:val="-5"/>
      <w:sz w:val="20"/>
      <w:szCs w:val="20"/>
      <w:lang w:eastAsia="zh-CN"/>
    </w:rPr>
  </w:style>
  <w:style w:type="paragraph" w:customStyle="1" w:styleId="IAHeadLabel">
    <w:name w:val="IAHeadLabel"/>
    <w:basedOn w:val="IATableLabel"/>
    <w:link w:val="IAHeadLabelChar"/>
    <w:rsid w:val="0007171C"/>
    <w:pPr>
      <w:spacing w:before="110"/>
      <w:ind w:left="0" w:right="0"/>
    </w:pPr>
  </w:style>
  <w:style w:type="character" w:customStyle="1" w:styleId="IAHeadLabelChar">
    <w:name w:val="IAHeadLabel Char"/>
    <w:basedOn w:val="IATableLabelCharChar"/>
    <w:link w:val="IAHeadLabel"/>
    <w:rsid w:val="0007171C"/>
    <w:rPr>
      <w:rFonts w:ascii="Arial" w:eastAsia="SimSun" w:hAnsi="Arial" w:cs="Times New Roman"/>
      <w:b/>
      <w:color w:val="000000"/>
      <w:spacing w:val="-5"/>
      <w:sz w:val="20"/>
      <w:szCs w:val="20"/>
      <w:lang w:eastAsia="zh-CN"/>
    </w:rPr>
  </w:style>
  <w:style w:type="paragraph" w:customStyle="1" w:styleId="IATableNotes">
    <w:name w:val="IATableNotes"/>
    <w:basedOn w:val="Normal"/>
    <w:link w:val="IATableNotesChar"/>
    <w:rsid w:val="0007171C"/>
    <w:pPr>
      <w:spacing w:before="60" w:after="60" w:line="240" w:lineRule="auto"/>
      <w:ind w:left="113" w:right="113"/>
    </w:pPr>
    <w:rPr>
      <w:rFonts w:ascii="Arial" w:eastAsia="SimSun" w:hAnsi="Arial" w:cs="Times New Roman"/>
      <w:sz w:val="18"/>
      <w:szCs w:val="20"/>
      <w:lang w:eastAsia="zh-CN"/>
    </w:rPr>
  </w:style>
  <w:style w:type="character" w:customStyle="1" w:styleId="IATableNotesChar">
    <w:name w:val="IATableNotes Char"/>
    <w:basedOn w:val="DefaultParagraphFont"/>
    <w:link w:val="IATableNotes"/>
    <w:rsid w:val="0007171C"/>
    <w:rPr>
      <w:rFonts w:ascii="Arial" w:eastAsia="SimSun" w:hAnsi="Arial" w:cs="Times New Roman"/>
      <w:sz w:val="18"/>
      <w:szCs w:val="20"/>
      <w:lang w:eastAsia="zh-CN"/>
    </w:rPr>
  </w:style>
  <w:style w:type="table" w:customStyle="1" w:styleId="TableIABox">
    <w:name w:val="Table_IABox"/>
    <w:basedOn w:val="TableNormal"/>
    <w:rsid w:val="0007171C"/>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customStyle="1" w:styleId="POPBY">
    <w:name w:val="POPBY"/>
    <w:basedOn w:val="IATableLabel"/>
    <w:rsid w:val="0007171C"/>
  </w:style>
  <w:style w:type="paragraph" w:customStyle="1" w:styleId="POPVBY">
    <w:name w:val="POPVBY"/>
    <w:basedOn w:val="IATableLabel"/>
    <w:rsid w:val="0007171C"/>
  </w:style>
  <w:style w:type="paragraph" w:customStyle="1" w:styleId="POTPY">
    <w:name w:val="POTPY"/>
    <w:basedOn w:val="IATableLabel"/>
    <w:rsid w:val="0007171C"/>
  </w:style>
  <w:style w:type="paragraph" w:customStyle="1" w:styleId="PONBLow">
    <w:name w:val="PONBLow"/>
    <w:basedOn w:val="IATableLabel"/>
    <w:link w:val="PONBLowCharChar"/>
    <w:rsid w:val="0007171C"/>
    <w:rPr>
      <w:b w:val="0"/>
    </w:rPr>
  </w:style>
  <w:style w:type="character" w:customStyle="1" w:styleId="PONBLowCharChar">
    <w:name w:val="PONBLow Char Char"/>
    <w:basedOn w:val="IATableLabelCharChar"/>
    <w:link w:val="PONBLow"/>
    <w:rsid w:val="0007171C"/>
    <w:rPr>
      <w:rFonts w:ascii="Arial" w:eastAsia="SimSun" w:hAnsi="Arial" w:cs="Times New Roman"/>
      <w:b w:val="0"/>
      <w:color w:val="000000"/>
      <w:spacing w:val="-5"/>
      <w:sz w:val="20"/>
      <w:szCs w:val="20"/>
      <w:lang w:eastAsia="zh-CN"/>
    </w:rPr>
  </w:style>
  <w:style w:type="paragraph" w:customStyle="1" w:styleId="PONBHigh">
    <w:name w:val="PONBHigh"/>
    <w:basedOn w:val="IATableLabel"/>
    <w:link w:val="PONBHighChar"/>
    <w:rsid w:val="0007171C"/>
    <w:rPr>
      <w:b w:val="0"/>
    </w:rPr>
  </w:style>
  <w:style w:type="character" w:customStyle="1" w:styleId="PONBHighChar">
    <w:name w:val="PONBHigh Char"/>
    <w:basedOn w:val="IATableLabelCharChar"/>
    <w:link w:val="PONBHigh"/>
    <w:rsid w:val="0007171C"/>
    <w:rPr>
      <w:rFonts w:ascii="Arial" w:eastAsia="SimSun" w:hAnsi="Arial" w:cs="Times New Roman"/>
      <w:b w:val="0"/>
      <w:color w:val="000000"/>
      <w:spacing w:val="-5"/>
      <w:sz w:val="20"/>
      <w:szCs w:val="20"/>
      <w:lang w:eastAsia="zh-CN"/>
    </w:rPr>
  </w:style>
  <w:style w:type="paragraph" w:customStyle="1" w:styleId="PONBBestEst">
    <w:name w:val="PONBBestEst"/>
    <w:basedOn w:val="IATableLabel"/>
    <w:link w:val="PONBBestEstChar"/>
    <w:rsid w:val="0007171C"/>
    <w:rPr>
      <w:b w:val="0"/>
    </w:rPr>
  </w:style>
  <w:style w:type="character" w:customStyle="1" w:styleId="PONBBestEstChar">
    <w:name w:val="PONBBestEst Char"/>
    <w:basedOn w:val="IATableLabelCharChar"/>
    <w:link w:val="PONBBestEst"/>
    <w:rsid w:val="0007171C"/>
    <w:rPr>
      <w:rFonts w:ascii="Arial" w:eastAsia="SimSun" w:hAnsi="Arial" w:cs="Times New Roman"/>
      <w:b w:val="0"/>
      <w:color w:val="000000"/>
      <w:spacing w:val="-5"/>
      <w:sz w:val="20"/>
      <w:szCs w:val="20"/>
      <w:lang w:eastAsia="zh-CN"/>
    </w:rPr>
  </w:style>
  <w:style w:type="paragraph" w:customStyle="1" w:styleId="IAPODICost">
    <w:name w:val="IAPODICost"/>
    <w:basedOn w:val="IATableLabel"/>
    <w:link w:val="IAPODICostChar"/>
    <w:rsid w:val="0007171C"/>
    <w:rPr>
      <w:b w:val="0"/>
    </w:rPr>
  </w:style>
  <w:style w:type="character" w:customStyle="1" w:styleId="IAPODICostChar">
    <w:name w:val="IAPODICost Char"/>
    <w:basedOn w:val="IATableLabelCharChar"/>
    <w:link w:val="IAPODICost"/>
    <w:rsid w:val="0007171C"/>
    <w:rPr>
      <w:rFonts w:ascii="Arial" w:eastAsia="SimSun" w:hAnsi="Arial" w:cs="Times New Roman"/>
      <w:b w:val="0"/>
      <w:color w:val="000000"/>
      <w:spacing w:val="-5"/>
      <w:sz w:val="20"/>
      <w:szCs w:val="20"/>
      <w:lang w:eastAsia="zh-CN"/>
    </w:rPr>
  </w:style>
  <w:style w:type="paragraph" w:customStyle="1" w:styleId="IAPODIBen">
    <w:name w:val="IAPODIBen"/>
    <w:basedOn w:val="IATableLabel"/>
    <w:link w:val="IAPODIBenChar"/>
    <w:rsid w:val="0007171C"/>
    <w:rPr>
      <w:b w:val="0"/>
    </w:rPr>
  </w:style>
  <w:style w:type="paragraph" w:customStyle="1" w:styleId="IAPODINet">
    <w:name w:val="IAPODINet"/>
    <w:basedOn w:val="IATableLabel"/>
    <w:link w:val="IAPODINetChar"/>
    <w:rsid w:val="0007171C"/>
    <w:rPr>
      <w:b w:val="0"/>
    </w:rPr>
  </w:style>
  <w:style w:type="paragraph" w:customStyle="1" w:styleId="IAPODIOIOO">
    <w:name w:val="IAPODIOIOO"/>
    <w:basedOn w:val="IATableLabel"/>
    <w:rsid w:val="0007171C"/>
    <w:rPr>
      <w:b w:val="0"/>
      <w:sz w:val="22"/>
      <w:szCs w:val="22"/>
    </w:rPr>
  </w:style>
  <w:style w:type="character" w:customStyle="1" w:styleId="IAPODINetChar">
    <w:name w:val="IAPODINet Char"/>
    <w:basedOn w:val="IATableLabelCharChar"/>
    <w:link w:val="IAPODINet"/>
    <w:rsid w:val="0007171C"/>
    <w:rPr>
      <w:rFonts w:ascii="Arial" w:eastAsia="SimSun" w:hAnsi="Arial" w:cs="Times New Roman"/>
      <w:b w:val="0"/>
      <w:color w:val="000000"/>
      <w:spacing w:val="-5"/>
      <w:sz w:val="20"/>
      <w:szCs w:val="20"/>
      <w:lang w:eastAsia="zh-CN"/>
    </w:rPr>
  </w:style>
  <w:style w:type="character" w:customStyle="1" w:styleId="IAPODIBenChar">
    <w:name w:val="IAPODIBen Char"/>
    <w:basedOn w:val="IATableLabelCharChar"/>
    <w:link w:val="IAPODIBen"/>
    <w:rsid w:val="0007171C"/>
    <w:rPr>
      <w:rFonts w:ascii="Arial" w:eastAsia="SimSun" w:hAnsi="Arial" w:cs="Times New Roman"/>
      <w:b w:val="0"/>
      <w:color w:val="000000"/>
      <w:spacing w:val="-5"/>
      <w:sz w:val="20"/>
      <w:szCs w:val="20"/>
      <w:lang w:eastAsia="zh-CN"/>
    </w:rPr>
  </w:style>
  <w:style w:type="paragraph" w:customStyle="1" w:styleId="IAPODIMQ">
    <w:name w:val="IAPODIMQ"/>
    <w:basedOn w:val="Normal"/>
    <w:rsid w:val="0007171C"/>
    <w:pPr>
      <w:spacing w:before="50" w:after="50" w:line="240" w:lineRule="auto"/>
      <w:ind w:left="113" w:right="113"/>
    </w:pPr>
    <w:rPr>
      <w:rFonts w:ascii="Arial" w:eastAsia="SimSun" w:hAnsi="Arial" w:cs="Times New Roman"/>
      <w:color w:val="000000"/>
      <w:spacing w:val="-5"/>
      <w:sz w:val="20"/>
      <w:szCs w:val="20"/>
      <w:lang w:eastAsia="zh-CN"/>
    </w:rPr>
  </w:style>
  <w:style w:type="paragraph" w:customStyle="1" w:styleId="Default">
    <w:name w:val="Default"/>
    <w:rsid w:val="000B408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aliases w:val="Footnote,Schriftart: 9 pt,Schriftart: 10 pt,Schriftart: 8 pt,o,Testo nota a piè di pagina Carattere,Footnote text,Fußnote,Char Char Car,Fußnotentextf,Note de bas de page Car Car Car Car Car Car Car Car Car Car,ft,fn"/>
    <w:basedOn w:val="Normal"/>
    <w:link w:val="FootnoteTextChar"/>
    <w:uiPriority w:val="99"/>
    <w:unhideWhenUsed/>
    <w:rsid w:val="00246145"/>
    <w:pPr>
      <w:spacing w:after="0" w:line="240" w:lineRule="auto"/>
    </w:pPr>
    <w:rPr>
      <w:sz w:val="20"/>
      <w:szCs w:val="20"/>
    </w:rPr>
  </w:style>
  <w:style w:type="character" w:customStyle="1" w:styleId="FootnoteTextChar">
    <w:name w:val="Footnote Text Char"/>
    <w:aliases w:val="Footnote Char,Schriftart: 9 pt Char,Schriftart: 10 pt Char,Schriftart: 8 pt Char,o Char,Testo nota a piè di pagina Carattere Char,Footnote text Char,Fußnote Char,Char Char Car Char,Fußnotentextf Char,ft Char,fn Char"/>
    <w:basedOn w:val="DefaultParagraphFont"/>
    <w:link w:val="FootnoteText"/>
    <w:uiPriority w:val="99"/>
    <w:rsid w:val="00246145"/>
    <w:rPr>
      <w:sz w:val="20"/>
      <w:szCs w:val="20"/>
    </w:rPr>
  </w:style>
  <w:style w:type="character" w:styleId="FootnoteReference">
    <w:name w:val="footnote reference"/>
    <w:aliases w:val="Footnote Reference Superscript,Footnote symbol,Footnote Reference/,BVI fnr,EN Footnote Reference,number,SUPERS,-E Fußnotenzeichen,Footnote reference number,note TESI,stylish,Source Reference,Times 10 Point,Exposant 3 Point,Ref,No"/>
    <w:basedOn w:val="DefaultParagraphFont"/>
    <w:uiPriority w:val="99"/>
    <w:unhideWhenUsed/>
    <w:rsid w:val="00246145"/>
    <w:rPr>
      <w:vertAlign w:val="superscript"/>
    </w:rPr>
  </w:style>
  <w:style w:type="paragraph" w:customStyle="1" w:styleId="EBBodyPara">
    <w:name w:val="EBBodyPara"/>
    <w:basedOn w:val="BodyText"/>
    <w:rsid w:val="00545432"/>
    <w:pPr>
      <w:spacing w:line="240" w:lineRule="auto"/>
    </w:pPr>
    <w:rPr>
      <w:rFonts w:ascii="Arial" w:eastAsia="Times New Roman" w:hAnsi="Arial" w:cs="Arial"/>
      <w:bCs/>
      <w:color w:val="000000"/>
      <w:lang w:eastAsia="en-GB"/>
    </w:rPr>
  </w:style>
  <w:style w:type="paragraph" w:styleId="BodyText">
    <w:name w:val="Body Text"/>
    <w:basedOn w:val="Normal"/>
    <w:link w:val="BodyTextChar"/>
    <w:uiPriority w:val="99"/>
    <w:semiHidden/>
    <w:unhideWhenUsed/>
    <w:rsid w:val="00545432"/>
    <w:pPr>
      <w:spacing w:after="120"/>
    </w:pPr>
  </w:style>
  <w:style w:type="character" w:customStyle="1" w:styleId="BodyTextChar">
    <w:name w:val="Body Text Char"/>
    <w:basedOn w:val="DefaultParagraphFont"/>
    <w:link w:val="BodyText"/>
    <w:uiPriority w:val="99"/>
    <w:semiHidden/>
    <w:rsid w:val="00545432"/>
  </w:style>
  <w:style w:type="paragraph" w:styleId="NoSpacing">
    <w:name w:val="No Spacing"/>
    <w:uiPriority w:val="1"/>
    <w:qFormat/>
    <w:rsid w:val="00F74C21"/>
    <w:pPr>
      <w:spacing w:after="0" w:line="240" w:lineRule="auto"/>
    </w:pPr>
  </w:style>
  <w:style w:type="table" w:styleId="MediumShading1-Accent6">
    <w:name w:val="Medium Shading 1 Accent 6"/>
    <w:basedOn w:val="TableNormal"/>
    <w:uiPriority w:val="63"/>
    <w:rsid w:val="00BB088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BB0884"/>
    <w:rPr>
      <w:sz w:val="16"/>
      <w:szCs w:val="16"/>
    </w:rPr>
  </w:style>
  <w:style w:type="paragraph" w:styleId="CommentText">
    <w:name w:val="annotation text"/>
    <w:basedOn w:val="Normal"/>
    <w:link w:val="CommentTextChar"/>
    <w:uiPriority w:val="99"/>
    <w:unhideWhenUsed/>
    <w:rsid w:val="00BB0884"/>
    <w:pPr>
      <w:spacing w:line="240" w:lineRule="auto"/>
    </w:pPr>
    <w:rPr>
      <w:sz w:val="20"/>
      <w:szCs w:val="20"/>
    </w:rPr>
  </w:style>
  <w:style w:type="character" w:customStyle="1" w:styleId="CommentTextChar">
    <w:name w:val="Comment Text Char"/>
    <w:basedOn w:val="DefaultParagraphFont"/>
    <w:link w:val="CommentText"/>
    <w:uiPriority w:val="99"/>
    <w:rsid w:val="00BB0884"/>
    <w:rPr>
      <w:sz w:val="20"/>
      <w:szCs w:val="20"/>
    </w:rPr>
  </w:style>
  <w:style w:type="paragraph" w:styleId="Title">
    <w:name w:val="Title"/>
    <w:basedOn w:val="Normal"/>
    <w:next w:val="Normal"/>
    <w:link w:val="TitleChar"/>
    <w:uiPriority w:val="10"/>
    <w:qFormat/>
    <w:rsid w:val="00C720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C720F0"/>
    <w:rPr>
      <w:rFonts w:asciiTheme="majorHAnsi" w:eastAsiaTheme="majorEastAsia" w:hAnsiTheme="majorHAnsi" w:cstheme="majorBidi"/>
      <w:color w:val="17365D" w:themeColor="text2" w:themeShade="BF"/>
      <w:spacing w:val="5"/>
      <w:kern w:val="28"/>
      <w:sz w:val="52"/>
      <w:szCs w:val="52"/>
      <w:lang w:eastAsia="en-GB"/>
    </w:rPr>
  </w:style>
  <w:style w:type="paragraph" w:styleId="Subtitle">
    <w:name w:val="Subtitle"/>
    <w:basedOn w:val="Normal"/>
    <w:next w:val="Normal"/>
    <w:link w:val="SubtitleChar"/>
    <w:uiPriority w:val="11"/>
    <w:qFormat/>
    <w:rsid w:val="00C720F0"/>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en-GB"/>
    </w:rPr>
  </w:style>
  <w:style w:type="character" w:customStyle="1" w:styleId="SubtitleChar">
    <w:name w:val="Subtitle Char"/>
    <w:basedOn w:val="DefaultParagraphFont"/>
    <w:link w:val="Subtitle"/>
    <w:uiPriority w:val="11"/>
    <w:rsid w:val="00C720F0"/>
    <w:rPr>
      <w:rFonts w:asciiTheme="majorHAnsi" w:eastAsiaTheme="majorEastAsia" w:hAnsiTheme="majorHAnsi" w:cstheme="majorBidi"/>
      <w:i/>
      <w:iCs/>
      <w:color w:val="4F81BD" w:themeColor="accent1"/>
      <w:spacing w:val="15"/>
      <w:sz w:val="24"/>
      <w:szCs w:val="24"/>
      <w:lang w:eastAsia="en-GB"/>
    </w:rPr>
  </w:style>
  <w:style w:type="paragraph" w:styleId="NormalWeb">
    <w:name w:val="Normal (Web)"/>
    <w:basedOn w:val="Normal"/>
    <w:rsid w:val="00C6736C"/>
    <w:pPr>
      <w:spacing w:before="100" w:beforeAutospacing="1" w:after="100" w:afterAutospacing="1" w:line="240" w:lineRule="auto"/>
    </w:pPr>
    <w:rPr>
      <w:rFonts w:ascii="Arial" w:eastAsia="Times New Roman" w:hAnsi="Arial" w:cs="Arial"/>
      <w:sz w:val="24"/>
      <w:szCs w:val="24"/>
      <w:lang w:eastAsia="en-GB"/>
    </w:rPr>
  </w:style>
  <w:style w:type="table" w:styleId="LightShading-Accent6">
    <w:name w:val="Light Shading Accent 6"/>
    <w:basedOn w:val="TableNormal"/>
    <w:uiPriority w:val="60"/>
    <w:rsid w:val="00C2787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C2787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Grid3-Accent6">
    <w:name w:val="Medium Grid 3 Accent 6"/>
    <w:basedOn w:val="TableNormal"/>
    <w:uiPriority w:val="69"/>
    <w:rsid w:val="00C278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CommentSubject">
    <w:name w:val="annotation subject"/>
    <w:basedOn w:val="CommentText"/>
    <w:next w:val="CommentText"/>
    <w:link w:val="CommentSubjectChar"/>
    <w:uiPriority w:val="99"/>
    <w:semiHidden/>
    <w:unhideWhenUsed/>
    <w:rsid w:val="00B004F0"/>
    <w:rPr>
      <w:b/>
      <w:bCs/>
    </w:rPr>
  </w:style>
  <w:style w:type="character" w:customStyle="1" w:styleId="CommentSubjectChar">
    <w:name w:val="Comment Subject Char"/>
    <w:basedOn w:val="CommentTextChar"/>
    <w:link w:val="CommentSubject"/>
    <w:uiPriority w:val="99"/>
    <w:semiHidden/>
    <w:rsid w:val="00B004F0"/>
    <w:rPr>
      <w:b/>
      <w:bCs/>
      <w:sz w:val="20"/>
      <w:szCs w:val="20"/>
    </w:rPr>
  </w:style>
  <w:style w:type="paragraph" w:styleId="EndnoteText">
    <w:name w:val="endnote text"/>
    <w:basedOn w:val="Normal"/>
    <w:link w:val="EndnoteTextChar"/>
    <w:uiPriority w:val="99"/>
    <w:semiHidden/>
    <w:unhideWhenUsed/>
    <w:rsid w:val="008133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3339"/>
    <w:rPr>
      <w:sz w:val="20"/>
      <w:szCs w:val="20"/>
    </w:rPr>
  </w:style>
  <w:style w:type="character" w:styleId="EndnoteReference">
    <w:name w:val="endnote reference"/>
    <w:basedOn w:val="DefaultParagraphFont"/>
    <w:uiPriority w:val="99"/>
    <w:semiHidden/>
    <w:unhideWhenUsed/>
    <w:rsid w:val="00813339"/>
    <w:rPr>
      <w:vertAlign w:val="superscript"/>
    </w:rPr>
  </w:style>
  <w:style w:type="table" w:customStyle="1" w:styleId="TableGrid1">
    <w:name w:val="Table Grid1"/>
    <w:basedOn w:val="TableNormal"/>
    <w:next w:val="TableGrid"/>
    <w:uiPriority w:val="59"/>
    <w:rsid w:val="00C80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3415">
      <w:bodyDiv w:val="1"/>
      <w:marLeft w:val="0"/>
      <w:marRight w:val="0"/>
      <w:marTop w:val="0"/>
      <w:marBottom w:val="0"/>
      <w:divBdr>
        <w:top w:val="none" w:sz="0" w:space="0" w:color="auto"/>
        <w:left w:val="none" w:sz="0" w:space="0" w:color="auto"/>
        <w:bottom w:val="none" w:sz="0" w:space="0" w:color="auto"/>
        <w:right w:val="none" w:sz="0" w:space="0" w:color="auto"/>
      </w:divBdr>
      <w:divsChild>
        <w:div w:id="1601646652">
          <w:marLeft w:val="547"/>
          <w:marRight w:val="0"/>
          <w:marTop w:val="0"/>
          <w:marBottom w:val="0"/>
          <w:divBdr>
            <w:top w:val="none" w:sz="0" w:space="0" w:color="auto"/>
            <w:left w:val="none" w:sz="0" w:space="0" w:color="auto"/>
            <w:bottom w:val="none" w:sz="0" w:space="0" w:color="auto"/>
            <w:right w:val="none" w:sz="0" w:space="0" w:color="auto"/>
          </w:divBdr>
        </w:div>
      </w:divsChild>
    </w:div>
    <w:div w:id="76100229">
      <w:bodyDiv w:val="1"/>
      <w:marLeft w:val="0"/>
      <w:marRight w:val="0"/>
      <w:marTop w:val="0"/>
      <w:marBottom w:val="0"/>
      <w:divBdr>
        <w:top w:val="none" w:sz="0" w:space="0" w:color="auto"/>
        <w:left w:val="none" w:sz="0" w:space="0" w:color="auto"/>
        <w:bottom w:val="none" w:sz="0" w:space="0" w:color="auto"/>
        <w:right w:val="none" w:sz="0" w:space="0" w:color="auto"/>
      </w:divBdr>
      <w:divsChild>
        <w:div w:id="1650207223">
          <w:marLeft w:val="547"/>
          <w:marRight w:val="0"/>
          <w:marTop w:val="58"/>
          <w:marBottom w:val="0"/>
          <w:divBdr>
            <w:top w:val="none" w:sz="0" w:space="0" w:color="auto"/>
            <w:left w:val="none" w:sz="0" w:space="0" w:color="auto"/>
            <w:bottom w:val="none" w:sz="0" w:space="0" w:color="auto"/>
            <w:right w:val="none" w:sz="0" w:space="0" w:color="auto"/>
          </w:divBdr>
        </w:div>
      </w:divsChild>
    </w:div>
    <w:div w:id="267469973">
      <w:bodyDiv w:val="1"/>
      <w:marLeft w:val="0"/>
      <w:marRight w:val="0"/>
      <w:marTop w:val="0"/>
      <w:marBottom w:val="0"/>
      <w:divBdr>
        <w:top w:val="none" w:sz="0" w:space="0" w:color="auto"/>
        <w:left w:val="none" w:sz="0" w:space="0" w:color="auto"/>
        <w:bottom w:val="none" w:sz="0" w:space="0" w:color="auto"/>
        <w:right w:val="none" w:sz="0" w:space="0" w:color="auto"/>
      </w:divBdr>
    </w:div>
    <w:div w:id="333798513">
      <w:bodyDiv w:val="1"/>
      <w:marLeft w:val="0"/>
      <w:marRight w:val="0"/>
      <w:marTop w:val="0"/>
      <w:marBottom w:val="0"/>
      <w:divBdr>
        <w:top w:val="none" w:sz="0" w:space="0" w:color="auto"/>
        <w:left w:val="none" w:sz="0" w:space="0" w:color="auto"/>
        <w:bottom w:val="none" w:sz="0" w:space="0" w:color="auto"/>
        <w:right w:val="none" w:sz="0" w:space="0" w:color="auto"/>
      </w:divBdr>
    </w:div>
    <w:div w:id="336346001">
      <w:bodyDiv w:val="1"/>
      <w:marLeft w:val="0"/>
      <w:marRight w:val="0"/>
      <w:marTop w:val="0"/>
      <w:marBottom w:val="0"/>
      <w:divBdr>
        <w:top w:val="none" w:sz="0" w:space="0" w:color="auto"/>
        <w:left w:val="none" w:sz="0" w:space="0" w:color="auto"/>
        <w:bottom w:val="none" w:sz="0" w:space="0" w:color="auto"/>
        <w:right w:val="none" w:sz="0" w:space="0" w:color="auto"/>
      </w:divBdr>
      <w:divsChild>
        <w:div w:id="37632571">
          <w:marLeft w:val="446"/>
          <w:marRight w:val="0"/>
          <w:marTop w:val="0"/>
          <w:marBottom w:val="0"/>
          <w:divBdr>
            <w:top w:val="none" w:sz="0" w:space="0" w:color="auto"/>
            <w:left w:val="none" w:sz="0" w:space="0" w:color="auto"/>
            <w:bottom w:val="none" w:sz="0" w:space="0" w:color="auto"/>
            <w:right w:val="none" w:sz="0" w:space="0" w:color="auto"/>
          </w:divBdr>
        </w:div>
        <w:div w:id="357896633">
          <w:marLeft w:val="446"/>
          <w:marRight w:val="0"/>
          <w:marTop w:val="0"/>
          <w:marBottom w:val="0"/>
          <w:divBdr>
            <w:top w:val="none" w:sz="0" w:space="0" w:color="auto"/>
            <w:left w:val="none" w:sz="0" w:space="0" w:color="auto"/>
            <w:bottom w:val="none" w:sz="0" w:space="0" w:color="auto"/>
            <w:right w:val="none" w:sz="0" w:space="0" w:color="auto"/>
          </w:divBdr>
        </w:div>
        <w:div w:id="383722263">
          <w:marLeft w:val="446"/>
          <w:marRight w:val="0"/>
          <w:marTop w:val="0"/>
          <w:marBottom w:val="0"/>
          <w:divBdr>
            <w:top w:val="none" w:sz="0" w:space="0" w:color="auto"/>
            <w:left w:val="none" w:sz="0" w:space="0" w:color="auto"/>
            <w:bottom w:val="none" w:sz="0" w:space="0" w:color="auto"/>
            <w:right w:val="none" w:sz="0" w:space="0" w:color="auto"/>
          </w:divBdr>
        </w:div>
        <w:div w:id="1126043311">
          <w:marLeft w:val="446"/>
          <w:marRight w:val="0"/>
          <w:marTop w:val="0"/>
          <w:marBottom w:val="0"/>
          <w:divBdr>
            <w:top w:val="none" w:sz="0" w:space="0" w:color="auto"/>
            <w:left w:val="none" w:sz="0" w:space="0" w:color="auto"/>
            <w:bottom w:val="none" w:sz="0" w:space="0" w:color="auto"/>
            <w:right w:val="none" w:sz="0" w:space="0" w:color="auto"/>
          </w:divBdr>
        </w:div>
        <w:div w:id="1207912013">
          <w:marLeft w:val="446"/>
          <w:marRight w:val="0"/>
          <w:marTop w:val="0"/>
          <w:marBottom w:val="0"/>
          <w:divBdr>
            <w:top w:val="none" w:sz="0" w:space="0" w:color="auto"/>
            <w:left w:val="none" w:sz="0" w:space="0" w:color="auto"/>
            <w:bottom w:val="none" w:sz="0" w:space="0" w:color="auto"/>
            <w:right w:val="none" w:sz="0" w:space="0" w:color="auto"/>
          </w:divBdr>
        </w:div>
        <w:div w:id="1776703665">
          <w:marLeft w:val="446"/>
          <w:marRight w:val="0"/>
          <w:marTop w:val="0"/>
          <w:marBottom w:val="0"/>
          <w:divBdr>
            <w:top w:val="none" w:sz="0" w:space="0" w:color="auto"/>
            <w:left w:val="none" w:sz="0" w:space="0" w:color="auto"/>
            <w:bottom w:val="none" w:sz="0" w:space="0" w:color="auto"/>
            <w:right w:val="none" w:sz="0" w:space="0" w:color="auto"/>
          </w:divBdr>
        </w:div>
      </w:divsChild>
    </w:div>
    <w:div w:id="416825225">
      <w:bodyDiv w:val="1"/>
      <w:marLeft w:val="0"/>
      <w:marRight w:val="0"/>
      <w:marTop w:val="0"/>
      <w:marBottom w:val="0"/>
      <w:divBdr>
        <w:top w:val="none" w:sz="0" w:space="0" w:color="auto"/>
        <w:left w:val="none" w:sz="0" w:space="0" w:color="auto"/>
        <w:bottom w:val="none" w:sz="0" w:space="0" w:color="auto"/>
        <w:right w:val="none" w:sz="0" w:space="0" w:color="auto"/>
      </w:divBdr>
      <w:divsChild>
        <w:div w:id="932934271">
          <w:marLeft w:val="547"/>
          <w:marRight w:val="0"/>
          <w:marTop w:val="0"/>
          <w:marBottom w:val="0"/>
          <w:divBdr>
            <w:top w:val="none" w:sz="0" w:space="0" w:color="auto"/>
            <w:left w:val="none" w:sz="0" w:space="0" w:color="auto"/>
            <w:bottom w:val="none" w:sz="0" w:space="0" w:color="auto"/>
            <w:right w:val="none" w:sz="0" w:space="0" w:color="auto"/>
          </w:divBdr>
        </w:div>
      </w:divsChild>
    </w:div>
    <w:div w:id="423763372">
      <w:bodyDiv w:val="1"/>
      <w:marLeft w:val="0"/>
      <w:marRight w:val="0"/>
      <w:marTop w:val="0"/>
      <w:marBottom w:val="0"/>
      <w:divBdr>
        <w:top w:val="none" w:sz="0" w:space="0" w:color="auto"/>
        <w:left w:val="none" w:sz="0" w:space="0" w:color="auto"/>
        <w:bottom w:val="none" w:sz="0" w:space="0" w:color="auto"/>
        <w:right w:val="none" w:sz="0" w:space="0" w:color="auto"/>
      </w:divBdr>
    </w:div>
    <w:div w:id="439374911">
      <w:bodyDiv w:val="1"/>
      <w:marLeft w:val="0"/>
      <w:marRight w:val="0"/>
      <w:marTop w:val="0"/>
      <w:marBottom w:val="0"/>
      <w:divBdr>
        <w:top w:val="none" w:sz="0" w:space="0" w:color="auto"/>
        <w:left w:val="none" w:sz="0" w:space="0" w:color="auto"/>
        <w:bottom w:val="none" w:sz="0" w:space="0" w:color="auto"/>
        <w:right w:val="none" w:sz="0" w:space="0" w:color="auto"/>
      </w:divBdr>
      <w:divsChild>
        <w:div w:id="295992669">
          <w:marLeft w:val="446"/>
          <w:marRight w:val="0"/>
          <w:marTop w:val="0"/>
          <w:marBottom w:val="0"/>
          <w:divBdr>
            <w:top w:val="none" w:sz="0" w:space="0" w:color="auto"/>
            <w:left w:val="none" w:sz="0" w:space="0" w:color="auto"/>
            <w:bottom w:val="none" w:sz="0" w:space="0" w:color="auto"/>
            <w:right w:val="none" w:sz="0" w:space="0" w:color="auto"/>
          </w:divBdr>
        </w:div>
        <w:div w:id="352607423">
          <w:marLeft w:val="446"/>
          <w:marRight w:val="0"/>
          <w:marTop w:val="0"/>
          <w:marBottom w:val="0"/>
          <w:divBdr>
            <w:top w:val="none" w:sz="0" w:space="0" w:color="auto"/>
            <w:left w:val="none" w:sz="0" w:space="0" w:color="auto"/>
            <w:bottom w:val="none" w:sz="0" w:space="0" w:color="auto"/>
            <w:right w:val="none" w:sz="0" w:space="0" w:color="auto"/>
          </w:divBdr>
        </w:div>
        <w:div w:id="411201431">
          <w:marLeft w:val="446"/>
          <w:marRight w:val="0"/>
          <w:marTop w:val="0"/>
          <w:marBottom w:val="0"/>
          <w:divBdr>
            <w:top w:val="none" w:sz="0" w:space="0" w:color="auto"/>
            <w:left w:val="none" w:sz="0" w:space="0" w:color="auto"/>
            <w:bottom w:val="none" w:sz="0" w:space="0" w:color="auto"/>
            <w:right w:val="none" w:sz="0" w:space="0" w:color="auto"/>
          </w:divBdr>
        </w:div>
        <w:div w:id="1467968462">
          <w:marLeft w:val="446"/>
          <w:marRight w:val="0"/>
          <w:marTop w:val="0"/>
          <w:marBottom w:val="0"/>
          <w:divBdr>
            <w:top w:val="none" w:sz="0" w:space="0" w:color="auto"/>
            <w:left w:val="none" w:sz="0" w:space="0" w:color="auto"/>
            <w:bottom w:val="none" w:sz="0" w:space="0" w:color="auto"/>
            <w:right w:val="none" w:sz="0" w:space="0" w:color="auto"/>
          </w:divBdr>
        </w:div>
        <w:div w:id="1668360966">
          <w:marLeft w:val="446"/>
          <w:marRight w:val="0"/>
          <w:marTop w:val="0"/>
          <w:marBottom w:val="0"/>
          <w:divBdr>
            <w:top w:val="none" w:sz="0" w:space="0" w:color="auto"/>
            <w:left w:val="none" w:sz="0" w:space="0" w:color="auto"/>
            <w:bottom w:val="none" w:sz="0" w:space="0" w:color="auto"/>
            <w:right w:val="none" w:sz="0" w:space="0" w:color="auto"/>
          </w:divBdr>
        </w:div>
        <w:div w:id="2033023624">
          <w:marLeft w:val="446"/>
          <w:marRight w:val="0"/>
          <w:marTop w:val="0"/>
          <w:marBottom w:val="0"/>
          <w:divBdr>
            <w:top w:val="none" w:sz="0" w:space="0" w:color="auto"/>
            <w:left w:val="none" w:sz="0" w:space="0" w:color="auto"/>
            <w:bottom w:val="none" w:sz="0" w:space="0" w:color="auto"/>
            <w:right w:val="none" w:sz="0" w:space="0" w:color="auto"/>
          </w:divBdr>
        </w:div>
      </w:divsChild>
    </w:div>
    <w:div w:id="443041148">
      <w:bodyDiv w:val="1"/>
      <w:marLeft w:val="0"/>
      <w:marRight w:val="0"/>
      <w:marTop w:val="0"/>
      <w:marBottom w:val="0"/>
      <w:divBdr>
        <w:top w:val="none" w:sz="0" w:space="0" w:color="auto"/>
        <w:left w:val="none" w:sz="0" w:space="0" w:color="auto"/>
        <w:bottom w:val="none" w:sz="0" w:space="0" w:color="auto"/>
        <w:right w:val="none" w:sz="0" w:space="0" w:color="auto"/>
      </w:divBdr>
      <w:divsChild>
        <w:div w:id="103306043">
          <w:marLeft w:val="1166"/>
          <w:marRight w:val="0"/>
          <w:marTop w:val="67"/>
          <w:marBottom w:val="0"/>
          <w:divBdr>
            <w:top w:val="none" w:sz="0" w:space="0" w:color="auto"/>
            <w:left w:val="none" w:sz="0" w:space="0" w:color="auto"/>
            <w:bottom w:val="none" w:sz="0" w:space="0" w:color="auto"/>
            <w:right w:val="none" w:sz="0" w:space="0" w:color="auto"/>
          </w:divBdr>
        </w:div>
        <w:div w:id="191260412">
          <w:marLeft w:val="1166"/>
          <w:marRight w:val="0"/>
          <w:marTop w:val="67"/>
          <w:marBottom w:val="0"/>
          <w:divBdr>
            <w:top w:val="none" w:sz="0" w:space="0" w:color="auto"/>
            <w:left w:val="none" w:sz="0" w:space="0" w:color="auto"/>
            <w:bottom w:val="none" w:sz="0" w:space="0" w:color="auto"/>
            <w:right w:val="none" w:sz="0" w:space="0" w:color="auto"/>
          </w:divBdr>
        </w:div>
        <w:div w:id="249311690">
          <w:marLeft w:val="1166"/>
          <w:marRight w:val="0"/>
          <w:marTop w:val="67"/>
          <w:marBottom w:val="0"/>
          <w:divBdr>
            <w:top w:val="none" w:sz="0" w:space="0" w:color="auto"/>
            <w:left w:val="none" w:sz="0" w:space="0" w:color="auto"/>
            <w:bottom w:val="none" w:sz="0" w:space="0" w:color="auto"/>
            <w:right w:val="none" w:sz="0" w:space="0" w:color="auto"/>
          </w:divBdr>
        </w:div>
        <w:div w:id="589583163">
          <w:marLeft w:val="1166"/>
          <w:marRight w:val="0"/>
          <w:marTop w:val="67"/>
          <w:marBottom w:val="0"/>
          <w:divBdr>
            <w:top w:val="none" w:sz="0" w:space="0" w:color="auto"/>
            <w:left w:val="none" w:sz="0" w:space="0" w:color="auto"/>
            <w:bottom w:val="none" w:sz="0" w:space="0" w:color="auto"/>
            <w:right w:val="none" w:sz="0" w:space="0" w:color="auto"/>
          </w:divBdr>
        </w:div>
        <w:div w:id="646669859">
          <w:marLeft w:val="547"/>
          <w:marRight w:val="0"/>
          <w:marTop w:val="67"/>
          <w:marBottom w:val="0"/>
          <w:divBdr>
            <w:top w:val="none" w:sz="0" w:space="0" w:color="auto"/>
            <w:left w:val="none" w:sz="0" w:space="0" w:color="auto"/>
            <w:bottom w:val="none" w:sz="0" w:space="0" w:color="auto"/>
            <w:right w:val="none" w:sz="0" w:space="0" w:color="auto"/>
          </w:divBdr>
        </w:div>
        <w:div w:id="834299238">
          <w:marLeft w:val="1166"/>
          <w:marRight w:val="0"/>
          <w:marTop w:val="67"/>
          <w:marBottom w:val="0"/>
          <w:divBdr>
            <w:top w:val="none" w:sz="0" w:space="0" w:color="auto"/>
            <w:left w:val="none" w:sz="0" w:space="0" w:color="auto"/>
            <w:bottom w:val="none" w:sz="0" w:space="0" w:color="auto"/>
            <w:right w:val="none" w:sz="0" w:space="0" w:color="auto"/>
          </w:divBdr>
        </w:div>
        <w:div w:id="946959687">
          <w:marLeft w:val="1166"/>
          <w:marRight w:val="0"/>
          <w:marTop w:val="67"/>
          <w:marBottom w:val="0"/>
          <w:divBdr>
            <w:top w:val="none" w:sz="0" w:space="0" w:color="auto"/>
            <w:left w:val="none" w:sz="0" w:space="0" w:color="auto"/>
            <w:bottom w:val="none" w:sz="0" w:space="0" w:color="auto"/>
            <w:right w:val="none" w:sz="0" w:space="0" w:color="auto"/>
          </w:divBdr>
        </w:div>
        <w:div w:id="1180781803">
          <w:marLeft w:val="1166"/>
          <w:marRight w:val="0"/>
          <w:marTop w:val="67"/>
          <w:marBottom w:val="0"/>
          <w:divBdr>
            <w:top w:val="none" w:sz="0" w:space="0" w:color="auto"/>
            <w:left w:val="none" w:sz="0" w:space="0" w:color="auto"/>
            <w:bottom w:val="none" w:sz="0" w:space="0" w:color="auto"/>
            <w:right w:val="none" w:sz="0" w:space="0" w:color="auto"/>
          </w:divBdr>
        </w:div>
        <w:div w:id="1840385591">
          <w:marLeft w:val="547"/>
          <w:marRight w:val="0"/>
          <w:marTop w:val="67"/>
          <w:marBottom w:val="0"/>
          <w:divBdr>
            <w:top w:val="none" w:sz="0" w:space="0" w:color="auto"/>
            <w:left w:val="none" w:sz="0" w:space="0" w:color="auto"/>
            <w:bottom w:val="none" w:sz="0" w:space="0" w:color="auto"/>
            <w:right w:val="none" w:sz="0" w:space="0" w:color="auto"/>
          </w:divBdr>
        </w:div>
        <w:div w:id="1840732014">
          <w:marLeft w:val="547"/>
          <w:marRight w:val="0"/>
          <w:marTop w:val="67"/>
          <w:marBottom w:val="0"/>
          <w:divBdr>
            <w:top w:val="none" w:sz="0" w:space="0" w:color="auto"/>
            <w:left w:val="none" w:sz="0" w:space="0" w:color="auto"/>
            <w:bottom w:val="none" w:sz="0" w:space="0" w:color="auto"/>
            <w:right w:val="none" w:sz="0" w:space="0" w:color="auto"/>
          </w:divBdr>
        </w:div>
        <w:div w:id="1873424113">
          <w:marLeft w:val="1166"/>
          <w:marRight w:val="0"/>
          <w:marTop w:val="67"/>
          <w:marBottom w:val="0"/>
          <w:divBdr>
            <w:top w:val="none" w:sz="0" w:space="0" w:color="auto"/>
            <w:left w:val="none" w:sz="0" w:space="0" w:color="auto"/>
            <w:bottom w:val="none" w:sz="0" w:space="0" w:color="auto"/>
            <w:right w:val="none" w:sz="0" w:space="0" w:color="auto"/>
          </w:divBdr>
        </w:div>
        <w:div w:id="2086829866">
          <w:marLeft w:val="547"/>
          <w:marRight w:val="0"/>
          <w:marTop w:val="67"/>
          <w:marBottom w:val="0"/>
          <w:divBdr>
            <w:top w:val="none" w:sz="0" w:space="0" w:color="auto"/>
            <w:left w:val="none" w:sz="0" w:space="0" w:color="auto"/>
            <w:bottom w:val="none" w:sz="0" w:space="0" w:color="auto"/>
            <w:right w:val="none" w:sz="0" w:space="0" w:color="auto"/>
          </w:divBdr>
        </w:div>
      </w:divsChild>
    </w:div>
    <w:div w:id="598949145">
      <w:bodyDiv w:val="1"/>
      <w:marLeft w:val="0"/>
      <w:marRight w:val="0"/>
      <w:marTop w:val="0"/>
      <w:marBottom w:val="0"/>
      <w:divBdr>
        <w:top w:val="none" w:sz="0" w:space="0" w:color="auto"/>
        <w:left w:val="none" w:sz="0" w:space="0" w:color="auto"/>
        <w:bottom w:val="none" w:sz="0" w:space="0" w:color="auto"/>
        <w:right w:val="none" w:sz="0" w:space="0" w:color="auto"/>
      </w:divBdr>
      <w:divsChild>
        <w:div w:id="30617350">
          <w:marLeft w:val="547"/>
          <w:marRight w:val="0"/>
          <w:marTop w:val="67"/>
          <w:marBottom w:val="0"/>
          <w:divBdr>
            <w:top w:val="none" w:sz="0" w:space="0" w:color="auto"/>
            <w:left w:val="none" w:sz="0" w:space="0" w:color="auto"/>
            <w:bottom w:val="none" w:sz="0" w:space="0" w:color="auto"/>
            <w:right w:val="none" w:sz="0" w:space="0" w:color="auto"/>
          </w:divBdr>
        </w:div>
        <w:div w:id="523132120">
          <w:marLeft w:val="1166"/>
          <w:marRight w:val="0"/>
          <w:marTop w:val="67"/>
          <w:marBottom w:val="0"/>
          <w:divBdr>
            <w:top w:val="none" w:sz="0" w:space="0" w:color="auto"/>
            <w:left w:val="none" w:sz="0" w:space="0" w:color="auto"/>
            <w:bottom w:val="none" w:sz="0" w:space="0" w:color="auto"/>
            <w:right w:val="none" w:sz="0" w:space="0" w:color="auto"/>
          </w:divBdr>
        </w:div>
        <w:div w:id="825974056">
          <w:marLeft w:val="1166"/>
          <w:marRight w:val="0"/>
          <w:marTop w:val="67"/>
          <w:marBottom w:val="0"/>
          <w:divBdr>
            <w:top w:val="none" w:sz="0" w:space="0" w:color="auto"/>
            <w:left w:val="none" w:sz="0" w:space="0" w:color="auto"/>
            <w:bottom w:val="none" w:sz="0" w:space="0" w:color="auto"/>
            <w:right w:val="none" w:sz="0" w:space="0" w:color="auto"/>
          </w:divBdr>
        </w:div>
        <w:div w:id="923536029">
          <w:marLeft w:val="1166"/>
          <w:marRight w:val="0"/>
          <w:marTop w:val="67"/>
          <w:marBottom w:val="0"/>
          <w:divBdr>
            <w:top w:val="none" w:sz="0" w:space="0" w:color="auto"/>
            <w:left w:val="none" w:sz="0" w:space="0" w:color="auto"/>
            <w:bottom w:val="none" w:sz="0" w:space="0" w:color="auto"/>
            <w:right w:val="none" w:sz="0" w:space="0" w:color="auto"/>
          </w:divBdr>
        </w:div>
        <w:div w:id="1011953950">
          <w:marLeft w:val="1166"/>
          <w:marRight w:val="0"/>
          <w:marTop w:val="67"/>
          <w:marBottom w:val="0"/>
          <w:divBdr>
            <w:top w:val="none" w:sz="0" w:space="0" w:color="auto"/>
            <w:left w:val="none" w:sz="0" w:space="0" w:color="auto"/>
            <w:bottom w:val="none" w:sz="0" w:space="0" w:color="auto"/>
            <w:right w:val="none" w:sz="0" w:space="0" w:color="auto"/>
          </w:divBdr>
        </w:div>
        <w:div w:id="1025329777">
          <w:marLeft w:val="547"/>
          <w:marRight w:val="0"/>
          <w:marTop w:val="67"/>
          <w:marBottom w:val="0"/>
          <w:divBdr>
            <w:top w:val="none" w:sz="0" w:space="0" w:color="auto"/>
            <w:left w:val="none" w:sz="0" w:space="0" w:color="auto"/>
            <w:bottom w:val="none" w:sz="0" w:space="0" w:color="auto"/>
            <w:right w:val="none" w:sz="0" w:space="0" w:color="auto"/>
          </w:divBdr>
        </w:div>
        <w:div w:id="1504006975">
          <w:marLeft w:val="547"/>
          <w:marRight w:val="0"/>
          <w:marTop w:val="67"/>
          <w:marBottom w:val="0"/>
          <w:divBdr>
            <w:top w:val="none" w:sz="0" w:space="0" w:color="auto"/>
            <w:left w:val="none" w:sz="0" w:space="0" w:color="auto"/>
            <w:bottom w:val="none" w:sz="0" w:space="0" w:color="auto"/>
            <w:right w:val="none" w:sz="0" w:space="0" w:color="auto"/>
          </w:divBdr>
        </w:div>
        <w:div w:id="1608196133">
          <w:marLeft w:val="547"/>
          <w:marRight w:val="0"/>
          <w:marTop w:val="67"/>
          <w:marBottom w:val="0"/>
          <w:divBdr>
            <w:top w:val="none" w:sz="0" w:space="0" w:color="auto"/>
            <w:left w:val="none" w:sz="0" w:space="0" w:color="auto"/>
            <w:bottom w:val="none" w:sz="0" w:space="0" w:color="auto"/>
            <w:right w:val="none" w:sz="0" w:space="0" w:color="auto"/>
          </w:divBdr>
        </w:div>
        <w:div w:id="1813018272">
          <w:marLeft w:val="547"/>
          <w:marRight w:val="0"/>
          <w:marTop w:val="67"/>
          <w:marBottom w:val="0"/>
          <w:divBdr>
            <w:top w:val="none" w:sz="0" w:space="0" w:color="auto"/>
            <w:left w:val="none" w:sz="0" w:space="0" w:color="auto"/>
            <w:bottom w:val="none" w:sz="0" w:space="0" w:color="auto"/>
            <w:right w:val="none" w:sz="0" w:space="0" w:color="auto"/>
          </w:divBdr>
        </w:div>
        <w:div w:id="1832134556">
          <w:marLeft w:val="1166"/>
          <w:marRight w:val="0"/>
          <w:marTop w:val="67"/>
          <w:marBottom w:val="0"/>
          <w:divBdr>
            <w:top w:val="none" w:sz="0" w:space="0" w:color="auto"/>
            <w:left w:val="none" w:sz="0" w:space="0" w:color="auto"/>
            <w:bottom w:val="none" w:sz="0" w:space="0" w:color="auto"/>
            <w:right w:val="none" w:sz="0" w:space="0" w:color="auto"/>
          </w:divBdr>
        </w:div>
      </w:divsChild>
    </w:div>
    <w:div w:id="631793344">
      <w:bodyDiv w:val="1"/>
      <w:marLeft w:val="0"/>
      <w:marRight w:val="0"/>
      <w:marTop w:val="0"/>
      <w:marBottom w:val="0"/>
      <w:divBdr>
        <w:top w:val="none" w:sz="0" w:space="0" w:color="auto"/>
        <w:left w:val="none" w:sz="0" w:space="0" w:color="auto"/>
        <w:bottom w:val="none" w:sz="0" w:space="0" w:color="auto"/>
        <w:right w:val="none" w:sz="0" w:space="0" w:color="auto"/>
      </w:divBdr>
      <w:divsChild>
        <w:div w:id="1917089931">
          <w:marLeft w:val="547"/>
          <w:marRight w:val="0"/>
          <w:marTop w:val="58"/>
          <w:marBottom w:val="0"/>
          <w:divBdr>
            <w:top w:val="none" w:sz="0" w:space="0" w:color="auto"/>
            <w:left w:val="none" w:sz="0" w:space="0" w:color="auto"/>
            <w:bottom w:val="none" w:sz="0" w:space="0" w:color="auto"/>
            <w:right w:val="none" w:sz="0" w:space="0" w:color="auto"/>
          </w:divBdr>
        </w:div>
      </w:divsChild>
    </w:div>
    <w:div w:id="708145031">
      <w:bodyDiv w:val="1"/>
      <w:marLeft w:val="0"/>
      <w:marRight w:val="0"/>
      <w:marTop w:val="0"/>
      <w:marBottom w:val="0"/>
      <w:divBdr>
        <w:top w:val="none" w:sz="0" w:space="0" w:color="auto"/>
        <w:left w:val="none" w:sz="0" w:space="0" w:color="auto"/>
        <w:bottom w:val="none" w:sz="0" w:space="0" w:color="auto"/>
        <w:right w:val="none" w:sz="0" w:space="0" w:color="auto"/>
      </w:divBdr>
    </w:div>
    <w:div w:id="834952932">
      <w:bodyDiv w:val="1"/>
      <w:marLeft w:val="0"/>
      <w:marRight w:val="0"/>
      <w:marTop w:val="0"/>
      <w:marBottom w:val="0"/>
      <w:divBdr>
        <w:top w:val="none" w:sz="0" w:space="0" w:color="auto"/>
        <w:left w:val="none" w:sz="0" w:space="0" w:color="auto"/>
        <w:bottom w:val="none" w:sz="0" w:space="0" w:color="auto"/>
        <w:right w:val="none" w:sz="0" w:space="0" w:color="auto"/>
      </w:divBdr>
      <w:divsChild>
        <w:div w:id="457996568">
          <w:marLeft w:val="1166"/>
          <w:marRight w:val="0"/>
          <w:marTop w:val="67"/>
          <w:marBottom w:val="0"/>
          <w:divBdr>
            <w:top w:val="none" w:sz="0" w:space="0" w:color="auto"/>
            <w:left w:val="none" w:sz="0" w:space="0" w:color="auto"/>
            <w:bottom w:val="none" w:sz="0" w:space="0" w:color="auto"/>
            <w:right w:val="none" w:sz="0" w:space="0" w:color="auto"/>
          </w:divBdr>
        </w:div>
        <w:div w:id="731541368">
          <w:marLeft w:val="1166"/>
          <w:marRight w:val="0"/>
          <w:marTop w:val="67"/>
          <w:marBottom w:val="0"/>
          <w:divBdr>
            <w:top w:val="none" w:sz="0" w:space="0" w:color="auto"/>
            <w:left w:val="none" w:sz="0" w:space="0" w:color="auto"/>
            <w:bottom w:val="none" w:sz="0" w:space="0" w:color="auto"/>
            <w:right w:val="none" w:sz="0" w:space="0" w:color="auto"/>
          </w:divBdr>
        </w:div>
        <w:div w:id="974798882">
          <w:marLeft w:val="547"/>
          <w:marRight w:val="0"/>
          <w:marTop w:val="67"/>
          <w:marBottom w:val="0"/>
          <w:divBdr>
            <w:top w:val="none" w:sz="0" w:space="0" w:color="auto"/>
            <w:left w:val="none" w:sz="0" w:space="0" w:color="auto"/>
            <w:bottom w:val="none" w:sz="0" w:space="0" w:color="auto"/>
            <w:right w:val="none" w:sz="0" w:space="0" w:color="auto"/>
          </w:divBdr>
        </w:div>
        <w:div w:id="1785803368">
          <w:marLeft w:val="547"/>
          <w:marRight w:val="0"/>
          <w:marTop w:val="67"/>
          <w:marBottom w:val="0"/>
          <w:divBdr>
            <w:top w:val="none" w:sz="0" w:space="0" w:color="auto"/>
            <w:left w:val="none" w:sz="0" w:space="0" w:color="auto"/>
            <w:bottom w:val="none" w:sz="0" w:space="0" w:color="auto"/>
            <w:right w:val="none" w:sz="0" w:space="0" w:color="auto"/>
          </w:divBdr>
        </w:div>
      </w:divsChild>
    </w:div>
    <w:div w:id="838732606">
      <w:bodyDiv w:val="1"/>
      <w:marLeft w:val="0"/>
      <w:marRight w:val="0"/>
      <w:marTop w:val="0"/>
      <w:marBottom w:val="0"/>
      <w:divBdr>
        <w:top w:val="none" w:sz="0" w:space="0" w:color="auto"/>
        <w:left w:val="none" w:sz="0" w:space="0" w:color="auto"/>
        <w:bottom w:val="none" w:sz="0" w:space="0" w:color="auto"/>
        <w:right w:val="none" w:sz="0" w:space="0" w:color="auto"/>
      </w:divBdr>
      <w:divsChild>
        <w:div w:id="1901134195">
          <w:marLeft w:val="547"/>
          <w:marRight w:val="0"/>
          <w:marTop w:val="0"/>
          <w:marBottom w:val="0"/>
          <w:divBdr>
            <w:top w:val="none" w:sz="0" w:space="0" w:color="auto"/>
            <w:left w:val="none" w:sz="0" w:space="0" w:color="auto"/>
            <w:bottom w:val="none" w:sz="0" w:space="0" w:color="auto"/>
            <w:right w:val="none" w:sz="0" w:space="0" w:color="auto"/>
          </w:divBdr>
        </w:div>
      </w:divsChild>
    </w:div>
    <w:div w:id="898783003">
      <w:bodyDiv w:val="1"/>
      <w:marLeft w:val="0"/>
      <w:marRight w:val="0"/>
      <w:marTop w:val="0"/>
      <w:marBottom w:val="0"/>
      <w:divBdr>
        <w:top w:val="none" w:sz="0" w:space="0" w:color="auto"/>
        <w:left w:val="none" w:sz="0" w:space="0" w:color="auto"/>
        <w:bottom w:val="none" w:sz="0" w:space="0" w:color="auto"/>
        <w:right w:val="none" w:sz="0" w:space="0" w:color="auto"/>
      </w:divBdr>
    </w:div>
    <w:div w:id="918834152">
      <w:bodyDiv w:val="1"/>
      <w:marLeft w:val="0"/>
      <w:marRight w:val="0"/>
      <w:marTop w:val="0"/>
      <w:marBottom w:val="0"/>
      <w:divBdr>
        <w:top w:val="none" w:sz="0" w:space="0" w:color="auto"/>
        <w:left w:val="none" w:sz="0" w:space="0" w:color="auto"/>
        <w:bottom w:val="none" w:sz="0" w:space="0" w:color="auto"/>
        <w:right w:val="none" w:sz="0" w:space="0" w:color="auto"/>
      </w:divBdr>
      <w:divsChild>
        <w:div w:id="107360307">
          <w:marLeft w:val="1800"/>
          <w:marRight w:val="0"/>
          <w:marTop w:val="67"/>
          <w:marBottom w:val="0"/>
          <w:divBdr>
            <w:top w:val="none" w:sz="0" w:space="0" w:color="auto"/>
            <w:left w:val="none" w:sz="0" w:space="0" w:color="auto"/>
            <w:bottom w:val="none" w:sz="0" w:space="0" w:color="auto"/>
            <w:right w:val="none" w:sz="0" w:space="0" w:color="auto"/>
          </w:divBdr>
        </w:div>
        <w:div w:id="241451905">
          <w:marLeft w:val="1166"/>
          <w:marRight w:val="0"/>
          <w:marTop w:val="67"/>
          <w:marBottom w:val="0"/>
          <w:divBdr>
            <w:top w:val="none" w:sz="0" w:space="0" w:color="auto"/>
            <w:left w:val="none" w:sz="0" w:space="0" w:color="auto"/>
            <w:bottom w:val="none" w:sz="0" w:space="0" w:color="auto"/>
            <w:right w:val="none" w:sz="0" w:space="0" w:color="auto"/>
          </w:divBdr>
        </w:div>
        <w:div w:id="967080176">
          <w:marLeft w:val="1800"/>
          <w:marRight w:val="0"/>
          <w:marTop w:val="67"/>
          <w:marBottom w:val="0"/>
          <w:divBdr>
            <w:top w:val="none" w:sz="0" w:space="0" w:color="auto"/>
            <w:left w:val="none" w:sz="0" w:space="0" w:color="auto"/>
            <w:bottom w:val="none" w:sz="0" w:space="0" w:color="auto"/>
            <w:right w:val="none" w:sz="0" w:space="0" w:color="auto"/>
          </w:divBdr>
        </w:div>
        <w:div w:id="1214584148">
          <w:marLeft w:val="1166"/>
          <w:marRight w:val="0"/>
          <w:marTop w:val="67"/>
          <w:marBottom w:val="0"/>
          <w:divBdr>
            <w:top w:val="none" w:sz="0" w:space="0" w:color="auto"/>
            <w:left w:val="none" w:sz="0" w:space="0" w:color="auto"/>
            <w:bottom w:val="none" w:sz="0" w:space="0" w:color="auto"/>
            <w:right w:val="none" w:sz="0" w:space="0" w:color="auto"/>
          </w:divBdr>
        </w:div>
        <w:div w:id="1246304959">
          <w:marLeft w:val="1800"/>
          <w:marRight w:val="0"/>
          <w:marTop w:val="67"/>
          <w:marBottom w:val="0"/>
          <w:divBdr>
            <w:top w:val="none" w:sz="0" w:space="0" w:color="auto"/>
            <w:left w:val="none" w:sz="0" w:space="0" w:color="auto"/>
            <w:bottom w:val="none" w:sz="0" w:space="0" w:color="auto"/>
            <w:right w:val="none" w:sz="0" w:space="0" w:color="auto"/>
          </w:divBdr>
        </w:div>
      </w:divsChild>
    </w:div>
    <w:div w:id="1255819968">
      <w:bodyDiv w:val="1"/>
      <w:marLeft w:val="0"/>
      <w:marRight w:val="0"/>
      <w:marTop w:val="0"/>
      <w:marBottom w:val="0"/>
      <w:divBdr>
        <w:top w:val="none" w:sz="0" w:space="0" w:color="auto"/>
        <w:left w:val="none" w:sz="0" w:space="0" w:color="auto"/>
        <w:bottom w:val="none" w:sz="0" w:space="0" w:color="auto"/>
        <w:right w:val="none" w:sz="0" w:space="0" w:color="auto"/>
      </w:divBdr>
      <w:divsChild>
        <w:div w:id="1142962402">
          <w:marLeft w:val="720"/>
          <w:marRight w:val="0"/>
          <w:marTop w:val="200"/>
          <w:marBottom w:val="0"/>
          <w:divBdr>
            <w:top w:val="none" w:sz="0" w:space="0" w:color="auto"/>
            <w:left w:val="none" w:sz="0" w:space="0" w:color="auto"/>
            <w:bottom w:val="none" w:sz="0" w:space="0" w:color="auto"/>
            <w:right w:val="none" w:sz="0" w:space="0" w:color="auto"/>
          </w:divBdr>
        </w:div>
      </w:divsChild>
    </w:div>
    <w:div w:id="1386684395">
      <w:bodyDiv w:val="1"/>
      <w:marLeft w:val="0"/>
      <w:marRight w:val="0"/>
      <w:marTop w:val="0"/>
      <w:marBottom w:val="0"/>
      <w:divBdr>
        <w:top w:val="none" w:sz="0" w:space="0" w:color="auto"/>
        <w:left w:val="none" w:sz="0" w:space="0" w:color="auto"/>
        <w:bottom w:val="none" w:sz="0" w:space="0" w:color="auto"/>
        <w:right w:val="none" w:sz="0" w:space="0" w:color="auto"/>
      </w:divBdr>
      <w:divsChild>
        <w:div w:id="398671218">
          <w:marLeft w:val="547"/>
          <w:marRight w:val="0"/>
          <w:marTop w:val="0"/>
          <w:marBottom w:val="0"/>
          <w:divBdr>
            <w:top w:val="none" w:sz="0" w:space="0" w:color="auto"/>
            <w:left w:val="none" w:sz="0" w:space="0" w:color="auto"/>
            <w:bottom w:val="none" w:sz="0" w:space="0" w:color="auto"/>
            <w:right w:val="none" w:sz="0" w:space="0" w:color="auto"/>
          </w:divBdr>
        </w:div>
      </w:divsChild>
    </w:div>
    <w:div w:id="1434133369">
      <w:bodyDiv w:val="1"/>
      <w:marLeft w:val="0"/>
      <w:marRight w:val="0"/>
      <w:marTop w:val="0"/>
      <w:marBottom w:val="0"/>
      <w:divBdr>
        <w:top w:val="none" w:sz="0" w:space="0" w:color="auto"/>
        <w:left w:val="none" w:sz="0" w:space="0" w:color="auto"/>
        <w:bottom w:val="none" w:sz="0" w:space="0" w:color="auto"/>
        <w:right w:val="none" w:sz="0" w:space="0" w:color="auto"/>
      </w:divBdr>
      <w:divsChild>
        <w:div w:id="78603621">
          <w:marLeft w:val="1166"/>
          <w:marRight w:val="0"/>
          <w:marTop w:val="67"/>
          <w:marBottom w:val="0"/>
          <w:divBdr>
            <w:top w:val="none" w:sz="0" w:space="0" w:color="auto"/>
            <w:left w:val="none" w:sz="0" w:space="0" w:color="auto"/>
            <w:bottom w:val="none" w:sz="0" w:space="0" w:color="auto"/>
            <w:right w:val="none" w:sz="0" w:space="0" w:color="auto"/>
          </w:divBdr>
        </w:div>
        <w:div w:id="176967024">
          <w:marLeft w:val="1166"/>
          <w:marRight w:val="0"/>
          <w:marTop w:val="67"/>
          <w:marBottom w:val="0"/>
          <w:divBdr>
            <w:top w:val="none" w:sz="0" w:space="0" w:color="auto"/>
            <w:left w:val="none" w:sz="0" w:space="0" w:color="auto"/>
            <w:bottom w:val="none" w:sz="0" w:space="0" w:color="auto"/>
            <w:right w:val="none" w:sz="0" w:space="0" w:color="auto"/>
          </w:divBdr>
        </w:div>
        <w:div w:id="620920433">
          <w:marLeft w:val="547"/>
          <w:marRight w:val="0"/>
          <w:marTop w:val="67"/>
          <w:marBottom w:val="0"/>
          <w:divBdr>
            <w:top w:val="none" w:sz="0" w:space="0" w:color="auto"/>
            <w:left w:val="none" w:sz="0" w:space="0" w:color="auto"/>
            <w:bottom w:val="none" w:sz="0" w:space="0" w:color="auto"/>
            <w:right w:val="none" w:sz="0" w:space="0" w:color="auto"/>
          </w:divBdr>
        </w:div>
        <w:div w:id="855730607">
          <w:marLeft w:val="547"/>
          <w:marRight w:val="0"/>
          <w:marTop w:val="67"/>
          <w:marBottom w:val="0"/>
          <w:divBdr>
            <w:top w:val="none" w:sz="0" w:space="0" w:color="auto"/>
            <w:left w:val="none" w:sz="0" w:space="0" w:color="auto"/>
            <w:bottom w:val="none" w:sz="0" w:space="0" w:color="auto"/>
            <w:right w:val="none" w:sz="0" w:space="0" w:color="auto"/>
          </w:divBdr>
        </w:div>
        <w:div w:id="1470515195">
          <w:marLeft w:val="1166"/>
          <w:marRight w:val="0"/>
          <w:marTop w:val="67"/>
          <w:marBottom w:val="0"/>
          <w:divBdr>
            <w:top w:val="none" w:sz="0" w:space="0" w:color="auto"/>
            <w:left w:val="none" w:sz="0" w:space="0" w:color="auto"/>
            <w:bottom w:val="none" w:sz="0" w:space="0" w:color="auto"/>
            <w:right w:val="none" w:sz="0" w:space="0" w:color="auto"/>
          </w:divBdr>
        </w:div>
        <w:div w:id="2021078769">
          <w:marLeft w:val="547"/>
          <w:marRight w:val="0"/>
          <w:marTop w:val="67"/>
          <w:marBottom w:val="0"/>
          <w:divBdr>
            <w:top w:val="none" w:sz="0" w:space="0" w:color="auto"/>
            <w:left w:val="none" w:sz="0" w:space="0" w:color="auto"/>
            <w:bottom w:val="none" w:sz="0" w:space="0" w:color="auto"/>
            <w:right w:val="none" w:sz="0" w:space="0" w:color="auto"/>
          </w:divBdr>
        </w:div>
      </w:divsChild>
    </w:div>
    <w:div w:id="1585256754">
      <w:bodyDiv w:val="1"/>
      <w:marLeft w:val="0"/>
      <w:marRight w:val="0"/>
      <w:marTop w:val="0"/>
      <w:marBottom w:val="0"/>
      <w:divBdr>
        <w:top w:val="none" w:sz="0" w:space="0" w:color="auto"/>
        <w:left w:val="none" w:sz="0" w:space="0" w:color="auto"/>
        <w:bottom w:val="none" w:sz="0" w:space="0" w:color="auto"/>
        <w:right w:val="none" w:sz="0" w:space="0" w:color="auto"/>
      </w:divBdr>
      <w:divsChild>
        <w:div w:id="691996948">
          <w:marLeft w:val="547"/>
          <w:marRight w:val="0"/>
          <w:marTop w:val="0"/>
          <w:marBottom w:val="0"/>
          <w:divBdr>
            <w:top w:val="none" w:sz="0" w:space="0" w:color="auto"/>
            <w:left w:val="none" w:sz="0" w:space="0" w:color="auto"/>
            <w:bottom w:val="none" w:sz="0" w:space="0" w:color="auto"/>
            <w:right w:val="none" w:sz="0" w:space="0" w:color="auto"/>
          </w:divBdr>
        </w:div>
        <w:div w:id="1314607219">
          <w:marLeft w:val="547"/>
          <w:marRight w:val="0"/>
          <w:marTop w:val="0"/>
          <w:marBottom w:val="0"/>
          <w:divBdr>
            <w:top w:val="none" w:sz="0" w:space="0" w:color="auto"/>
            <w:left w:val="none" w:sz="0" w:space="0" w:color="auto"/>
            <w:bottom w:val="none" w:sz="0" w:space="0" w:color="auto"/>
            <w:right w:val="none" w:sz="0" w:space="0" w:color="auto"/>
          </w:divBdr>
        </w:div>
      </w:divsChild>
    </w:div>
    <w:div w:id="1603537807">
      <w:bodyDiv w:val="1"/>
      <w:marLeft w:val="0"/>
      <w:marRight w:val="0"/>
      <w:marTop w:val="0"/>
      <w:marBottom w:val="0"/>
      <w:divBdr>
        <w:top w:val="none" w:sz="0" w:space="0" w:color="auto"/>
        <w:left w:val="none" w:sz="0" w:space="0" w:color="auto"/>
        <w:bottom w:val="none" w:sz="0" w:space="0" w:color="auto"/>
        <w:right w:val="none" w:sz="0" w:space="0" w:color="auto"/>
      </w:divBdr>
    </w:div>
    <w:div w:id="1610314656">
      <w:bodyDiv w:val="1"/>
      <w:marLeft w:val="0"/>
      <w:marRight w:val="0"/>
      <w:marTop w:val="0"/>
      <w:marBottom w:val="0"/>
      <w:divBdr>
        <w:top w:val="none" w:sz="0" w:space="0" w:color="auto"/>
        <w:left w:val="none" w:sz="0" w:space="0" w:color="auto"/>
        <w:bottom w:val="none" w:sz="0" w:space="0" w:color="auto"/>
        <w:right w:val="none" w:sz="0" w:space="0" w:color="auto"/>
      </w:divBdr>
    </w:div>
    <w:div w:id="1625770855">
      <w:bodyDiv w:val="1"/>
      <w:marLeft w:val="0"/>
      <w:marRight w:val="0"/>
      <w:marTop w:val="0"/>
      <w:marBottom w:val="0"/>
      <w:divBdr>
        <w:top w:val="none" w:sz="0" w:space="0" w:color="auto"/>
        <w:left w:val="none" w:sz="0" w:space="0" w:color="auto"/>
        <w:bottom w:val="none" w:sz="0" w:space="0" w:color="auto"/>
        <w:right w:val="none" w:sz="0" w:space="0" w:color="auto"/>
      </w:divBdr>
      <w:divsChild>
        <w:div w:id="930088763">
          <w:marLeft w:val="446"/>
          <w:marRight w:val="0"/>
          <w:marTop w:val="0"/>
          <w:marBottom w:val="0"/>
          <w:divBdr>
            <w:top w:val="none" w:sz="0" w:space="0" w:color="auto"/>
            <w:left w:val="none" w:sz="0" w:space="0" w:color="auto"/>
            <w:bottom w:val="none" w:sz="0" w:space="0" w:color="auto"/>
            <w:right w:val="none" w:sz="0" w:space="0" w:color="auto"/>
          </w:divBdr>
        </w:div>
        <w:div w:id="1144616707">
          <w:marLeft w:val="446"/>
          <w:marRight w:val="0"/>
          <w:marTop w:val="0"/>
          <w:marBottom w:val="0"/>
          <w:divBdr>
            <w:top w:val="none" w:sz="0" w:space="0" w:color="auto"/>
            <w:left w:val="none" w:sz="0" w:space="0" w:color="auto"/>
            <w:bottom w:val="none" w:sz="0" w:space="0" w:color="auto"/>
            <w:right w:val="none" w:sz="0" w:space="0" w:color="auto"/>
          </w:divBdr>
        </w:div>
        <w:div w:id="1598102237">
          <w:marLeft w:val="446"/>
          <w:marRight w:val="0"/>
          <w:marTop w:val="0"/>
          <w:marBottom w:val="0"/>
          <w:divBdr>
            <w:top w:val="none" w:sz="0" w:space="0" w:color="auto"/>
            <w:left w:val="none" w:sz="0" w:space="0" w:color="auto"/>
            <w:bottom w:val="none" w:sz="0" w:space="0" w:color="auto"/>
            <w:right w:val="none" w:sz="0" w:space="0" w:color="auto"/>
          </w:divBdr>
        </w:div>
        <w:div w:id="1623339630">
          <w:marLeft w:val="446"/>
          <w:marRight w:val="0"/>
          <w:marTop w:val="0"/>
          <w:marBottom w:val="0"/>
          <w:divBdr>
            <w:top w:val="none" w:sz="0" w:space="0" w:color="auto"/>
            <w:left w:val="none" w:sz="0" w:space="0" w:color="auto"/>
            <w:bottom w:val="none" w:sz="0" w:space="0" w:color="auto"/>
            <w:right w:val="none" w:sz="0" w:space="0" w:color="auto"/>
          </w:divBdr>
        </w:div>
        <w:div w:id="1730960938">
          <w:marLeft w:val="446"/>
          <w:marRight w:val="0"/>
          <w:marTop w:val="0"/>
          <w:marBottom w:val="0"/>
          <w:divBdr>
            <w:top w:val="none" w:sz="0" w:space="0" w:color="auto"/>
            <w:left w:val="none" w:sz="0" w:space="0" w:color="auto"/>
            <w:bottom w:val="none" w:sz="0" w:space="0" w:color="auto"/>
            <w:right w:val="none" w:sz="0" w:space="0" w:color="auto"/>
          </w:divBdr>
        </w:div>
        <w:div w:id="1829860243">
          <w:marLeft w:val="446"/>
          <w:marRight w:val="0"/>
          <w:marTop w:val="0"/>
          <w:marBottom w:val="0"/>
          <w:divBdr>
            <w:top w:val="none" w:sz="0" w:space="0" w:color="auto"/>
            <w:left w:val="none" w:sz="0" w:space="0" w:color="auto"/>
            <w:bottom w:val="none" w:sz="0" w:space="0" w:color="auto"/>
            <w:right w:val="none" w:sz="0" w:space="0" w:color="auto"/>
          </w:divBdr>
        </w:div>
        <w:div w:id="1889146071">
          <w:marLeft w:val="446"/>
          <w:marRight w:val="0"/>
          <w:marTop w:val="0"/>
          <w:marBottom w:val="0"/>
          <w:divBdr>
            <w:top w:val="none" w:sz="0" w:space="0" w:color="auto"/>
            <w:left w:val="none" w:sz="0" w:space="0" w:color="auto"/>
            <w:bottom w:val="none" w:sz="0" w:space="0" w:color="auto"/>
            <w:right w:val="none" w:sz="0" w:space="0" w:color="auto"/>
          </w:divBdr>
        </w:div>
      </w:divsChild>
    </w:div>
    <w:div w:id="1627346022">
      <w:bodyDiv w:val="1"/>
      <w:marLeft w:val="0"/>
      <w:marRight w:val="0"/>
      <w:marTop w:val="0"/>
      <w:marBottom w:val="0"/>
      <w:divBdr>
        <w:top w:val="none" w:sz="0" w:space="0" w:color="auto"/>
        <w:left w:val="none" w:sz="0" w:space="0" w:color="auto"/>
        <w:bottom w:val="none" w:sz="0" w:space="0" w:color="auto"/>
        <w:right w:val="none" w:sz="0" w:space="0" w:color="auto"/>
      </w:divBdr>
      <w:divsChild>
        <w:div w:id="898132023">
          <w:marLeft w:val="446"/>
          <w:marRight w:val="0"/>
          <w:marTop w:val="0"/>
          <w:marBottom w:val="0"/>
          <w:divBdr>
            <w:top w:val="none" w:sz="0" w:space="0" w:color="auto"/>
            <w:left w:val="none" w:sz="0" w:space="0" w:color="auto"/>
            <w:bottom w:val="none" w:sz="0" w:space="0" w:color="auto"/>
            <w:right w:val="none" w:sz="0" w:space="0" w:color="auto"/>
          </w:divBdr>
        </w:div>
        <w:div w:id="1217932073">
          <w:marLeft w:val="446"/>
          <w:marRight w:val="0"/>
          <w:marTop w:val="0"/>
          <w:marBottom w:val="0"/>
          <w:divBdr>
            <w:top w:val="none" w:sz="0" w:space="0" w:color="auto"/>
            <w:left w:val="none" w:sz="0" w:space="0" w:color="auto"/>
            <w:bottom w:val="none" w:sz="0" w:space="0" w:color="auto"/>
            <w:right w:val="none" w:sz="0" w:space="0" w:color="auto"/>
          </w:divBdr>
        </w:div>
        <w:div w:id="1983802154">
          <w:marLeft w:val="446"/>
          <w:marRight w:val="0"/>
          <w:marTop w:val="0"/>
          <w:marBottom w:val="0"/>
          <w:divBdr>
            <w:top w:val="none" w:sz="0" w:space="0" w:color="auto"/>
            <w:left w:val="none" w:sz="0" w:space="0" w:color="auto"/>
            <w:bottom w:val="none" w:sz="0" w:space="0" w:color="auto"/>
            <w:right w:val="none" w:sz="0" w:space="0" w:color="auto"/>
          </w:divBdr>
        </w:div>
        <w:div w:id="2002656704">
          <w:marLeft w:val="446"/>
          <w:marRight w:val="0"/>
          <w:marTop w:val="0"/>
          <w:marBottom w:val="0"/>
          <w:divBdr>
            <w:top w:val="none" w:sz="0" w:space="0" w:color="auto"/>
            <w:left w:val="none" w:sz="0" w:space="0" w:color="auto"/>
            <w:bottom w:val="none" w:sz="0" w:space="0" w:color="auto"/>
            <w:right w:val="none" w:sz="0" w:space="0" w:color="auto"/>
          </w:divBdr>
        </w:div>
      </w:divsChild>
    </w:div>
    <w:div w:id="1651598099">
      <w:bodyDiv w:val="1"/>
      <w:marLeft w:val="0"/>
      <w:marRight w:val="0"/>
      <w:marTop w:val="0"/>
      <w:marBottom w:val="0"/>
      <w:divBdr>
        <w:top w:val="none" w:sz="0" w:space="0" w:color="auto"/>
        <w:left w:val="none" w:sz="0" w:space="0" w:color="auto"/>
        <w:bottom w:val="none" w:sz="0" w:space="0" w:color="auto"/>
        <w:right w:val="none" w:sz="0" w:space="0" w:color="auto"/>
      </w:divBdr>
      <w:divsChild>
        <w:div w:id="249389284">
          <w:marLeft w:val="1166"/>
          <w:marRight w:val="0"/>
          <w:marTop w:val="67"/>
          <w:marBottom w:val="0"/>
          <w:divBdr>
            <w:top w:val="none" w:sz="0" w:space="0" w:color="auto"/>
            <w:left w:val="none" w:sz="0" w:space="0" w:color="auto"/>
            <w:bottom w:val="none" w:sz="0" w:space="0" w:color="auto"/>
            <w:right w:val="none" w:sz="0" w:space="0" w:color="auto"/>
          </w:divBdr>
        </w:div>
        <w:div w:id="284317966">
          <w:marLeft w:val="547"/>
          <w:marRight w:val="0"/>
          <w:marTop w:val="67"/>
          <w:marBottom w:val="0"/>
          <w:divBdr>
            <w:top w:val="none" w:sz="0" w:space="0" w:color="auto"/>
            <w:left w:val="none" w:sz="0" w:space="0" w:color="auto"/>
            <w:bottom w:val="none" w:sz="0" w:space="0" w:color="auto"/>
            <w:right w:val="none" w:sz="0" w:space="0" w:color="auto"/>
          </w:divBdr>
        </w:div>
        <w:div w:id="343367727">
          <w:marLeft w:val="547"/>
          <w:marRight w:val="0"/>
          <w:marTop w:val="67"/>
          <w:marBottom w:val="0"/>
          <w:divBdr>
            <w:top w:val="none" w:sz="0" w:space="0" w:color="auto"/>
            <w:left w:val="none" w:sz="0" w:space="0" w:color="auto"/>
            <w:bottom w:val="none" w:sz="0" w:space="0" w:color="auto"/>
            <w:right w:val="none" w:sz="0" w:space="0" w:color="auto"/>
          </w:divBdr>
        </w:div>
        <w:div w:id="346445064">
          <w:marLeft w:val="1166"/>
          <w:marRight w:val="0"/>
          <w:marTop w:val="67"/>
          <w:marBottom w:val="0"/>
          <w:divBdr>
            <w:top w:val="none" w:sz="0" w:space="0" w:color="auto"/>
            <w:left w:val="none" w:sz="0" w:space="0" w:color="auto"/>
            <w:bottom w:val="none" w:sz="0" w:space="0" w:color="auto"/>
            <w:right w:val="none" w:sz="0" w:space="0" w:color="auto"/>
          </w:divBdr>
        </w:div>
        <w:div w:id="367343733">
          <w:marLeft w:val="1166"/>
          <w:marRight w:val="0"/>
          <w:marTop w:val="67"/>
          <w:marBottom w:val="0"/>
          <w:divBdr>
            <w:top w:val="none" w:sz="0" w:space="0" w:color="auto"/>
            <w:left w:val="none" w:sz="0" w:space="0" w:color="auto"/>
            <w:bottom w:val="none" w:sz="0" w:space="0" w:color="auto"/>
            <w:right w:val="none" w:sz="0" w:space="0" w:color="auto"/>
          </w:divBdr>
        </w:div>
        <w:div w:id="631833439">
          <w:marLeft w:val="1166"/>
          <w:marRight w:val="0"/>
          <w:marTop w:val="67"/>
          <w:marBottom w:val="0"/>
          <w:divBdr>
            <w:top w:val="none" w:sz="0" w:space="0" w:color="auto"/>
            <w:left w:val="none" w:sz="0" w:space="0" w:color="auto"/>
            <w:bottom w:val="none" w:sz="0" w:space="0" w:color="auto"/>
            <w:right w:val="none" w:sz="0" w:space="0" w:color="auto"/>
          </w:divBdr>
        </w:div>
        <w:div w:id="710039677">
          <w:marLeft w:val="1166"/>
          <w:marRight w:val="0"/>
          <w:marTop w:val="67"/>
          <w:marBottom w:val="0"/>
          <w:divBdr>
            <w:top w:val="none" w:sz="0" w:space="0" w:color="auto"/>
            <w:left w:val="none" w:sz="0" w:space="0" w:color="auto"/>
            <w:bottom w:val="none" w:sz="0" w:space="0" w:color="auto"/>
            <w:right w:val="none" w:sz="0" w:space="0" w:color="auto"/>
          </w:divBdr>
        </w:div>
        <w:div w:id="786043538">
          <w:marLeft w:val="547"/>
          <w:marRight w:val="0"/>
          <w:marTop w:val="67"/>
          <w:marBottom w:val="0"/>
          <w:divBdr>
            <w:top w:val="none" w:sz="0" w:space="0" w:color="auto"/>
            <w:left w:val="none" w:sz="0" w:space="0" w:color="auto"/>
            <w:bottom w:val="none" w:sz="0" w:space="0" w:color="auto"/>
            <w:right w:val="none" w:sz="0" w:space="0" w:color="auto"/>
          </w:divBdr>
        </w:div>
        <w:div w:id="838081706">
          <w:marLeft w:val="1166"/>
          <w:marRight w:val="0"/>
          <w:marTop w:val="67"/>
          <w:marBottom w:val="0"/>
          <w:divBdr>
            <w:top w:val="none" w:sz="0" w:space="0" w:color="auto"/>
            <w:left w:val="none" w:sz="0" w:space="0" w:color="auto"/>
            <w:bottom w:val="none" w:sz="0" w:space="0" w:color="auto"/>
            <w:right w:val="none" w:sz="0" w:space="0" w:color="auto"/>
          </w:divBdr>
        </w:div>
        <w:div w:id="1307467296">
          <w:marLeft w:val="1166"/>
          <w:marRight w:val="0"/>
          <w:marTop w:val="67"/>
          <w:marBottom w:val="0"/>
          <w:divBdr>
            <w:top w:val="none" w:sz="0" w:space="0" w:color="auto"/>
            <w:left w:val="none" w:sz="0" w:space="0" w:color="auto"/>
            <w:bottom w:val="none" w:sz="0" w:space="0" w:color="auto"/>
            <w:right w:val="none" w:sz="0" w:space="0" w:color="auto"/>
          </w:divBdr>
        </w:div>
        <w:div w:id="1644115034">
          <w:marLeft w:val="1166"/>
          <w:marRight w:val="0"/>
          <w:marTop w:val="67"/>
          <w:marBottom w:val="0"/>
          <w:divBdr>
            <w:top w:val="none" w:sz="0" w:space="0" w:color="auto"/>
            <w:left w:val="none" w:sz="0" w:space="0" w:color="auto"/>
            <w:bottom w:val="none" w:sz="0" w:space="0" w:color="auto"/>
            <w:right w:val="none" w:sz="0" w:space="0" w:color="auto"/>
          </w:divBdr>
        </w:div>
        <w:div w:id="1668093162">
          <w:marLeft w:val="1166"/>
          <w:marRight w:val="0"/>
          <w:marTop w:val="67"/>
          <w:marBottom w:val="0"/>
          <w:divBdr>
            <w:top w:val="none" w:sz="0" w:space="0" w:color="auto"/>
            <w:left w:val="none" w:sz="0" w:space="0" w:color="auto"/>
            <w:bottom w:val="none" w:sz="0" w:space="0" w:color="auto"/>
            <w:right w:val="none" w:sz="0" w:space="0" w:color="auto"/>
          </w:divBdr>
        </w:div>
        <w:div w:id="1779375660">
          <w:marLeft w:val="1166"/>
          <w:marRight w:val="0"/>
          <w:marTop w:val="67"/>
          <w:marBottom w:val="0"/>
          <w:divBdr>
            <w:top w:val="none" w:sz="0" w:space="0" w:color="auto"/>
            <w:left w:val="none" w:sz="0" w:space="0" w:color="auto"/>
            <w:bottom w:val="none" w:sz="0" w:space="0" w:color="auto"/>
            <w:right w:val="none" w:sz="0" w:space="0" w:color="auto"/>
          </w:divBdr>
        </w:div>
        <w:div w:id="1847743474">
          <w:marLeft w:val="547"/>
          <w:marRight w:val="0"/>
          <w:marTop w:val="67"/>
          <w:marBottom w:val="0"/>
          <w:divBdr>
            <w:top w:val="none" w:sz="0" w:space="0" w:color="auto"/>
            <w:left w:val="none" w:sz="0" w:space="0" w:color="auto"/>
            <w:bottom w:val="none" w:sz="0" w:space="0" w:color="auto"/>
            <w:right w:val="none" w:sz="0" w:space="0" w:color="auto"/>
          </w:divBdr>
        </w:div>
        <w:div w:id="1852447567">
          <w:marLeft w:val="547"/>
          <w:marRight w:val="0"/>
          <w:marTop w:val="67"/>
          <w:marBottom w:val="0"/>
          <w:divBdr>
            <w:top w:val="none" w:sz="0" w:space="0" w:color="auto"/>
            <w:left w:val="none" w:sz="0" w:space="0" w:color="auto"/>
            <w:bottom w:val="none" w:sz="0" w:space="0" w:color="auto"/>
            <w:right w:val="none" w:sz="0" w:space="0" w:color="auto"/>
          </w:divBdr>
        </w:div>
        <w:div w:id="1864243394">
          <w:marLeft w:val="1166"/>
          <w:marRight w:val="0"/>
          <w:marTop w:val="67"/>
          <w:marBottom w:val="0"/>
          <w:divBdr>
            <w:top w:val="none" w:sz="0" w:space="0" w:color="auto"/>
            <w:left w:val="none" w:sz="0" w:space="0" w:color="auto"/>
            <w:bottom w:val="none" w:sz="0" w:space="0" w:color="auto"/>
            <w:right w:val="none" w:sz="0" w:space="0" w:color="auto"/>
          </w:divBdr>
        </w:div>
        <w:div w:id="1906405197">
          <w:marLeft w:val="1166"/>
          <w:marRight w:val="0"/>
          <w:marTop w:val="67"/>
          <w:marBottom w:val="0"/>
          <w:divBdr>
            <w:top w:val="none" w:sz="0" w:space="0" w:color="auto"/>
            <w:left w:val="none" w:sz="0" w:space="0" w:color="auto"/>
            <w:bottom w:val="none" w:sz="0" w:space="0" w:color="auto"/>
            <w:right w:val="none" w:sz="0" w:space="0" w:color="auto"/>
          </w:divBdr>
        </w:div>
        <w:div w:id="1988245673">
          <w:marLeft w:val="1166"/>
          <w:marRight w:val="0"/>
          <w:marTop w:val="67"/>
          <w:marBottom w:val="0"/>
          <w:divBdr>
            <w:top w:val="none" w:sz="0" w:space="0" w:color="auto"/>
            <w:left w:val="none" w:sz="0" w:space="0" w:color="auto"/>
            <w:bottom w:val="none" w:sz="0" w:space="0" w:color="auto"/>
            <w:right w:val="none" w:sz="0" w:space="0" w:color="auto"/>
          </w:divBdr>
        </w:div>
        <w:div w:id="2112771761">
          <w:marLeft w:val="1166"/>
          <w:marRight w:val="0"/>
          <w:marTop w:val="67"/>
          <w:marBottom w:val="0"/>
          <w:divBdr>
            <w:top w:val="none" w:sz="0" w:space="0" w:color="auto"/>
            <w:left w:val="none" w:sz="0" w:space="0" w:color="auto"/>
            <w:bottom w:val="none" w:sz="0" w:space="0" w:color="auto"/>
            <w:right w:val="none" w:sz="0" w:space="0" w:color="auto"/>
          </w:divBdr>
        </w:div>
        <w:div w:id="2145583599">
          <w:marLeft w:val="1166"/>
          <w:marRight w:val="0"/>
          <w:marTop w:val="67"/>
          <w:marBottom w:val="0"/>
          <w:divBdr>
            <w:top w:val="none" w:sz="0" w:space="0" w:color="auto"/>
            <w:left w:val="none" w:sz="0" w:space="0" w:color="auto"/>
            <w:bottom w:val="none" w:sz="0" w:space="0" w:color="auto"/>
            <w:right w:val="none" w:sz="0" w:space="0" w:color="auto"/>
          </w:divBdr>
        </w:div>
      </w:divsChild>
    </w:div>
    <w:div w:id="1678387384">
      <w:bodyDiv w:val="1"/>
      <w:marLeft w:val="0"/>
      <w:marRight w:val="0"/>
      <w:marTop w:val="0"/>
      <w:marBottom w:val="0"/>
      <w:divBdr>
        <w:top w:val="none" w:sz="0" w:space="0" w:color="auto"/>
        <w:left w:val="none" w:sz="0" w:space="0" w:color="auto"/>
        <w:bottom w:val="none" w:sz="0" w:space="0" w:color="auto"/>
        <w:right w:val="none" w:sz="0" w:space="0" w:color="auto"/>
      </w:divBdr>
    </w:div>
    <w:div w:id="1691492124">
      <w:bodyDiv w:val="1"/>
      <w:marLeft w:val="0"/>
      <w:marRight w:val="0"/>
      <w:marTop w:val="0"/>
      <w:marBottom w:val="0"/>
      <w:divBdr>
        <w:top w:val="none" w:sz="0" w:space="0" w:color="auto"/>
        <w:left w:val="none" w:sz="0" w:space="0" w:color="auto"/>
        <w:bottom w:val="none" w:sz="0" w:space="0" w:color="auto"/>
        <w:right w:val="none" w:sz="0" w:space="0" w:color="auto"/>
      </w:divBdr>
      <w:divsChild>
        <w:div w:id="1908370706">
          <w:marLeft w:val="547"/>
          <w:marRight w:val="0"/>
          <w:marTop w:val="0"/>
          <w:marBottom w:val="0"/>
          <w:divBdr>
            <w:top w:val="none" w:sz="0" w:space="0" w:color="auto"/>
            <w:left w:val="none" w:sz="0" w:space="0" w:color="auto"/>
            <w:bottom w:val="none" w:sz="0" w:space="0" w:color="auto"/>
            <w:right w:val="none" w:sz="0" w:space="0" w:color="auto"/>
          </w:divBdr>
        </w:div>
      </w:divsChild>
    </w:div>
    <w:div w:id="1724600497">
      <w:bodyDiv w:val="1"/>
      <w:marLeft w:val="0"/>
      <w:marRight w:val="0"/>
      <w:marTop w:val="0"/>
      <w:marBottom w:val="0"/>
      <w:divBdr>
        <w:top w:val="none" w:sz="0" w:space="0" w:color="auto"/>
        <w:left w:val="none" w:sz="0" w:space="0" w:color="auto"/>
        <w:bottom w:val="none" w:sz="0" w:space="0" w:color="auto"/>
        <w:right w:val="none" w:sz="0" w:space="0" w:color="auto"/>
      </w:divBdr>
      <w:divsChild>
        <w:div w:id="2095085342">
          <w:marLeft w:val="547"/>
          <w:marRight w:val="0"/>
          <w:marTop w:val="0"/>
          <w:marBottom w:val="0"/>
          <w:divBdr>
            <w:top w:val="none" w:sz="0" w:space="0" w:color="auto"/>
            <w:left w:val="none" w:sz="0" w:space="0" w:color="auto"/>
            <w:bottom w:val="none" w:sz="0" w:space="0" w:color="auto"/>
            <w:right w:val="none" w:sz="0" w:space="0" w:color="auto"/>
          </w:divBdr>
        </w:div>
      </w:divsChild>
    </w:div>
    <w:div w:id="1757049248">
      <w:bodyDiv w:val="1"/>
      <w:marLeft w:val="0"/>
      <w:marRight w:val="0"/>
      <w:marTop w:val="0"/>
      <w:marBottom w:val="0"/>
      <w:divBdr>
        <w:top w:val="none" w:sz="0" w:space="0" w:color="auto"/>
        <w:left w:val="none" w:sz="0" w:space="0" w:color="auto"/>
        <w:bottom w:val="none" w:sz="0" w:space="0" w:color="auto"/>
        <w:right w:val="none" w:sz="0" w:space="0" w:color="auto"/>
      </w:divBdr>
      <w:divsChild>
        <w:div w:id="1670256507">
          <w:marLeft w:val="547"/>
          <w:marRight w:val="0"/>
          <w:marTop w:val="0"/>
          <w:marBottom w:val="0"/>
          <w:divBdr>
            <w:top w:val="none" w:sz="0" w:space="0" w:color="auto"/>
            <w:left w:val="none" w:sz="0" w:space="0" w:color="auto"/>
            <w:bottom w:val="none" w:sz="0" w:space="0" w:color="auto"/>
            <w:right w:val="none" w:sz="0" w:space="0" w:color="auto"/>
          </w:divBdr>
        </w:div>
      </w:divsChild>
    </w:div>
    <w:div w:id="1834565934">
      <w:bodyDiv w:val="1"/>
      <w:marLeft w:val="0"/>
      <w:marRight w:val="0"/>
      <w:marTop w:val="0"/>
      <w:marBottom w:val="0"/>
      <w:divBdr>
        <w:top w:val="none" w:sz="0" w:space="0" w:color="auto"/>
        <w:left w:val="none" w:sz="0" w:space="0" w:color="auto"/>
        <w:bottom w:val="none" w:sz="0" w:space="0" w:color="auto"/>
        <w:right w:val="none" w:sz="0" w:space="0" w:color="auto"/>
      </w:divBdr>
      <w:divsChild>
        <w:div w:id="390158825">
          <w:marLeft w:val="547"/>
          <w:marRight w:val="0"/>
          <w:marTop w:val="0"/>
          <w:marBottom w:val="0"/>
          <w:divBdr>
            <w:top w:val="none" w:sz="0" w:space="0" w:color="auto"/>
            <w:left w:val="none" w:sz="0" w:space="0" w:color="auto"/>
            <w:bottom w:val="none" w:sz="0" w:space="0" w:color="auto"/>
            <w:right w:val="none" w:sz="0" w:space="0" w:color="auto"/>
          </w:divBdr>
        </w:div>
      </w:divsChild>
    </w:div>
    <w:div w:id="1924101281">
      <w:bodyDiv w:val="1"/>
      <w:marLeft w:val="0"/>
      <w:marRight w:val="0"/>
      <w:marTop w:val="0"/>
      <w:marBottom w:val="0"/>
      <w:divBdr>
        <w:top w:val="none" w:sz="0" w:space="0" w:color="auto"/>
        <w:left w:val="none" w:sz="0" w:space="0" w:color="auto"/>
        <w:bottom w:val="none" w:sz="0" w:space="0" w:color="auto"/>
        <w:right w:val="none" w:sz="0" w:space="0" w:color="auto"/>
      </w:divBdr>
    </w:div>
    <w:div w:id="2012751930">
      <w:bodyDiv w:val="1"/>
      <w:marLeft w:val="0"/>
      <w:marRight w:val="0"/>
      <w:marTop w:val="0"/>
      <w:marBottom w:val="0"/>
      <w:divBdr>
        <w:top w:val="none" w:sz="0" w:space="0" w:color="auto"/>
        <w:left w:val="none" w:sz="0" w:space="0" w:color="auto"/>
        <w:bottom w:val="none" w:sz="0" w:space="0" w:color="auto"/>
        <w:right w:val="none" w:sz="0" w:space="0" w:color="auto"/>
      </w:divBdr>
    </w:div>
    <w:div w:id="2057653625">
      <w:bodyDiv w:val="1"/>
      <w:marLeft w:val="0"/>
      <w:marRight w:val="0"/>
      <w:marTop w:val="0"/>
      <w:marBottom w:val="0"/>
      <w:divBdr>
        <w:top w:val="none" w:sz="0" w:space="0" w:color="auto"/>
        <w:left w:val="none" w:sz="0" w:space="0" w:color="auto"/>
        <w:bottom w:val="none" w:sz="0" w:space="0" w:color="auto"/>
        <w:right w:val="none" w:sz="0" w:space="0" w:color="auto"/>
      </w:divBdr>
    </w:div>
    <w:div w:id="2066755298">
      <w:bodyDiv w:val="1"/>
      <w:marLeft w:val="0"/>
      <w:marRight w:val="0"/>
      <w:marTop w:val="0"/>
      <w:marBottom w:val="0"/>
      <w:divBdr>
        <w:top w:val="none" w:sz="0" w:space="0" w:color="auto"/>
        <w:left w:val="none" w:sz="0" w:space="0" w:color="auto"/>
        <w:bottom w:val="none" w:sz="0" w:space="0" w:color="auto"/>
        <w:right w:val="none" w:sz="0" w:space="0" w:color="auto"/>
      </w:divBdr>
    </w:div>
    <w:div w:id="2132743099">
      <w:bodyDiv w:val="1"/>
      <w:marLeft w:val="0"/>
      <w:marRight w:val="0"/>
      <w:marTop w:val="0"/>
      <w:marBottom w:val="0"/>
      <w:divBdr>
        <w:top w:val="none" w:sz="0" w:space="0" w:color="auto"/>
        <w:left w:val="none" w:sz="0" w:space="0" w:color="auto"/>
        <w:bottom w:val="none" w:sz="0" w:space="0" w:color="auto"/>
        <w:right w:val="none" w:sz="0" w:space="0" w:color="auto"/>
      </w:divBdr>
      <w:divsChild>
        <w:div w:id="49811222">
          <w:marLeft w:val="547"/>
          <w:marRight w:val="0"/>
          <w:marTop w:val="67"/>
          <w:marBottom w:val="0"/>
          <w:divBdr>
            <w:top w:val="none" w:sz="0" w:space="0" w:color="auto"/>
            <w:left w:val="none" w:sz="0" w:space="0" w:color="auto"/>
            <w:bottom w:val="none" w:sz="0" w:space="0" w:color="auto"/>
            <w:right w:val="none" w:sz="0" w:space="0" w:color="auto"/>
          </w:divBdr>
        </w:div>
        <w:div w:id="866680442">
          <w:marLeft w:val="547"/>
          <w:marRight w:val="0"/>
          <w:marTop w:val="67"/>
          <w:marBottom w:val="0"/>
          <w:divBdr>
            <w:top w:val="none" w:sz="0" w:space="0" w:color="auto"/>
            <w:left w:val="none" w:sz="0" w:space="0" w:color="auto"/>
            <w:bottom w:val="none" w:sz="0" w:space="0" w:color="auto"/>
            <w:right w:val="none" w:sz="0" w:space="0" w:color="auto"/>
          </w:divBdr>
        </w:div>
        <w:div w:id="934246680">
          <w:marLeft w:val="1166"/>
          <w:marRight w:val="0"/>
          <w:marTop w:val="67"/>
          <w:marBottom w:val="0"/>
          <w:divBdr>
            <w:top w:val="none" w:sz="0" w:space="0" w:color="auto"/>
            <w:left w:val="none" w:sz="0" w:space="0" w:color="auto"/>
            <w:bottom w:val="none" w:sz="0" w:space="0" w:color="auto"/>
            <w:right w:val="none" w:sz="0" w:space="0" w:color="auto"/>
          </w:divBdr>
        </w:div>
        <w:div w:id="1180781658">
          <w:marLeft w:val="547"/>
          <w:marRight w:val="0"/>
          <w:marTop w:val="67"/>
          <w:marBottom w:val="0"/>
          <w:divBdr>
            <w:top w:val="none" w:sz="0" w:space="0" w:color="auto"/>
            <w:left w:val="none" w:sz="0" w:space="0" w:color="auto"/>
            <w:bottom w:val="none" w:sz="0" w:space="0" w:color="auto"/>
            <w:right w:val="none" w:sz="0" w:space="0" w:color="auto"/>
          </w:divBdr>
        </w:div>
        <w:div w:id="1807814293">
          <w:marLeft w:val="1166"/>
          <w:marRight w:val="0"/>
          <w:marTop w:val="67"/>
          <w:marBottom w:val="0"/>
          <w:divBdr>
            <w:top w:val="none" w:sz="0" w:space="0" w:color="auto"/>
            <w:left w:val="none" w:sz="0" w:space="0" w:color="auto"/>
            <w:bottom w:val="none" w:sz="0" w:space="0" w:color="auto"/>
            <w:right w:val="none" w:sz="0" w:space="0" w:color="auto"/>
          </w:divBdr>
        </w:div>
        <w:div w:id="1896231126">
          <w:marLeft w:val="1166"/>
          <w:marRight w:val="0"/>
          <w:marTop w:val="6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336556/2013-01-21-RPC13-DEFRA-1625_3_-environmental_permitting_regulations_2010_materials_recovery_facilities.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op2pdrv02\users$\DoulisK\Cases" TargetMode="External"/><Relationship Id="rId17" Type="http://schemas.openxmlformats.org/officeDocument/2006/relationships/hyperlink" Target="http://www.legislation.gov.uk/ukdsi/2015/9780111133439/impacts/2015/158" TargetMode="External"/><Relationship Id="rId2" Type="http://schemas.openxmlformats.org/officeDocument/2006/relationships/numbering" Target="numbering.xml"/><Relationship Id="rId16" Type="http://schemas.openxmlformats.org/officeDocument/2006/relationships/hyperlink" Target="https://www.gov.uk/government/publications/zero-hours-contracts-tackling-avoidance-of-a-ban-on-exclusivity-clauses-final-impact-assess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260631/RPC-Published-Opinions-2012.pdf" TargetMode="External"/><Relationship Id="rId5" Type="http://schemas.openxmlformats.org/officeDocument/2006/relationships/settings" Target="settings.xml"/><Relationship Id="rId15" Type="http://schemas.openxmlformats.org/officeDocument/2006/relationships/hyperlink" Target="https://www.gov.uk/government/uploads/system/uploads/attachment_data/file/347508/2014-03-27_-_RPC14-DECC-2027_-_Community_right_to_buy_into_renewable_electricity_developments.pdf" TargetMode="External"/><Relationship Id="rId10" Type="http://schemas.openxmlformats.org/officeDocument/2006/relationships/hyperlink" Target="https://www.gov.uk/government/uploads/system/uploads/attachment_data/file/454855/RPC15-BIS-2402__3010__-_Ballot_thresholds_in_important_public_services_-_IA_c__-_opinion.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gov.uk/government/publications/the-green-book-appraisal-and-evaluation-in-central-governent" TargetMode="External"/><Relationship Id="rId14" Type="http://schemas.openxmlformats.org/officeDocument/2006/relationships/hyperlink" Target="https://www.gov.uk/government/uploads/system/uploads/attachment_data/file/319453/IA_DECC0158_ISSUE_CR2B.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oecd-ilibrary.org/governance/regulatory-policy-and-behavioural-economics_9789264207851-en" TargetMode="External"/><Relationship Id="rId1" Type="http://schemas.openxmlformats.org/officeDocument/2006/relationships/hyperlink" Target="https://www.gov.uk/government/publications/2010-to-2015-government-policy-business-regulation/2010-to-2015-government-policy-business-regulation%23appendix-2-using-alternatives-to-reg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82330-3F3F-4918-A42B-A1AB58E9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3604</Words>
  <Characters>20549</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24105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Ian (RPC)</dc:creator>
  <cp:lastModifiedBy>Lenoach Ciara (Regulatory Policy Committee (RPC))</cp:lastModifiedBy>
  <cp:revision>2</cp:revision>
  <cp:lastPrinted>2015-11-19T12:28:00Z</cp:lastPrinted>
  <dcterms:created xsi:type="dcterms:W3CDTF">2016-07-29T08:12:00Z</dcterms:created>
  <dcterms:modified xsi:type="dcterms:W3CDTF">2016-07-29T08:12:00Z</dcterms:modified>
</cp:coreProperties>
</file>