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FB" w:rsidRDefault="00306CFB" w:rsidP="00306CFB">
      <w:pPr>
        <w:keepNext/>
        <w:keepLines/>
        <w:spacing w:before="200" w:after="0"/>
        <w:outlineLvl w:val="2"/>
        <w:rPr>
          <w:rFonts w:eastAsiaTheme="majorEastAsia" w:cstheme="minorHAnsi"/>
          <w:b/>
          <w:bCs/>
          <w:color w:val="984806" w:themeColor="accent6" w:themeShade="80"/>
          <w:sz w:val="28"/>
          <w:szCs w:val="28"/>
        </w:rPr>
      </w:pPr>
      <w:r>
        <w:rPr>
          <w:rFonts w:eastAsiaTheme="majorEastAsia" w:cstheme="minorHAnsi"/>
          <w:b/>
          <w:bCs/>
          <w:color w:val="984806" w:themeColor="accent6" w:themeShade="80"/>
          <w:sz w:val="28"/>
          <w:szCs w:val="28"/>
        </w:rPr>
        <w:t xml:space="preserve">3.2 </w:t>
      </w:r>
      <w:r w:rsidRPr="00E21EBA">
        <w:rPr>
          <w:rFonts w:eastAsiaTheme="majorEastAsia" w:cstheme="minorHAnsi"/>
          <w:b/>
          <w:bCs/>
          <w:color w:val="984806" w:themeColor="accent6" w:themeShade="80"/>
          <w:sz w:val="28"/>
          <w:szCs w:val="28"/>
        </w:rPr>
        <w:t>Proportionality</w:t>
      </w:r>
    </w:p>
    <w:p w:rsidR="00157532" w:rsidRDefault="00157532" w:rsidP="00306CFB">
      <w:pPr>
        <w:keepNext/>
        <w:keepLines/>
        <w:spacing w:before="200" w:after="0"/>
        <w:outlineLvl w:val="2"/>
        <w:rPr>
          <w:rFonts w:eastAsiaTheme="majorEastAsia" w:cstheme="minorHAnsi"/>
          <w:b/>
          <w:bCs/>
          <w:color w:val="984806" w:themeColor="accent6" w:themeShade="80"/>
          <w:sz w:val="28"/>
          <w:szCs w:val="28"/>
        </w:rPr>
      </w:pPr>
    </w:p>
    <w:p w:rsidR="008F72A0" w:rsidRPr="00EF42CB" w:rsidRDefault="00C03883" w:rsidP="008F72A0">
      <w:pPr>
        <w:autoSpaceDE w:val="0"/>
        <w:autoSpaceDN w:val="0"/>
        <w:adjustRightInd w:val="0"/>
        <w:spacing w:after="0"/>
        <w:rPr>
          <w:rFonts w:cstheme="minorHAnsi"/>
          <w:color w:val="000000"/>
          <w:sz w:val="24"/>
          <w:szCs w:val="24"/>
        </w:rPr>
      </w:pPr>
      <w:r w:rsidRPr="00EF42CB">
        <w:rPr>
          <w:rFonts w:cstheme="minorHAnsi"/>
          <w:color w:val="000000"/>
          <w:sz w:val="24"/>
          <w:szCs w:val="24"/>
        </w:rPr>
        <w:t>The BRFM (para 1.5.</w:t>
      </w:r>
      <w:r w:rsidR="008F72A0" w:rsidRPr="00EF42CB">
        <w:rPr>
          <w:rFonts w:cstheme="minorHAnsi"/>
          <w:color w:val="000000"/>
          <w:sz w:val="24"/>
          <w:szCs w:val="24"/>
        </w:rPr>
        <w:t>1</w:t>
      </w:r>
      <w:r w:rsidRPr="00EF42CB">
        <w:rPr>
          <w:rFonts w:cstheme="minorHAnsi"/>
          <w:color w:val="000000"/>
          <w:sz w:val="24"/>
          <w:szCs w:val="24"/>
        </w:rPr>
        <w:t>7</w:t>
      </w:r>
      <w:r w:rsidR="008F72A0" w:rsidRPr="00EF42CB">
        <w:rPr>
          <w:rFonts w:cstheme="minorHAnsi"/>
          <w:color w:val="000000"/>
          <w:sz w:val="24"/>
          <w:szCs w:val="24"/>
        </w:rPr>
        <w:t>) states: “</w:t>
      </w:r>
      <w:r w:rsidRPr="00EF42CB">
        <w:rPr>
          <w:rFonts w:cstheme="minorHAnsi"/>
          <w:i/>
          <w:color w:val="000000"/>
          <w:sz w:val="24"/>
          <w:szCs w:val="24"/>
        </w:rPr>
        <w:t>You should ensure that the resource you invest in undertaking an RIA is proportionate. Some of the factors that should be considered when deciding what level of analysis would be appropriate include: the scale of the expected impact, stage of the policy, sensitivity of the policy and the ability and cost of doing further analysis relative to the benefits this analysis may yield. Any limiting factors in identifying robust estimates of the impact of the measure should be fully explained in the RIA</w:t>
      </w:r>
      <w:r w:rsidRPr="00EF42CB">
        <w:rPr>
          <w:rFonts w:cstheme="minorHAnsi"/>
          <w:color w:val="000000"/>
          <w:sz w:val="24"/>
          <w:szCs w:val="24"/>
        </w:rPr>
        <w:t>.</w:t>
      </w:r>
      <w:r w:rsidR="008F72A0" w:rsidRPr="00EF42CB">
        <w:rPr>
          <w:rFonts w:cstheme="minorHAnsi"/>
          <w:color w:val="000000"/>
          <w:sz w:val="24"/>
          <w:szCs w:val="24"/>
        </w:rPr>
        <w:t>”</w:t>
      </w:r>
      <w:r w:rsidRPr="00EF42CB">
        <w:rPr>
          <w:rFonts w:cstheme="minorHAnsi"/>
          <w:color w:val="000000"/>
          <w:sz w:val="24"/>
          <w:szCs w:val="24"/>
        </w:rPr>
        <w:t xml:space="preserve"> </w:t>
      </w:r>
      <w:r w:rsidR="008F72A0" w:rsidRPr="00EF42CB">
        <w:rPr>
          <w:rFonts w:cstheme="minorHAnsi"/>
          <w:color w:val="000000"/>
          <w:sz w:val="24"/>
          <w:szCs w:val="24"/>
        </w:rPr>
        <w:t xml:space="preserve">Section 2.2 (pages </w:t>
      </w:r>
      <w:r w:rsidR="00251121" w:rsidRPr="00EF42CB">
        <w:rPr>
          <w:rFonts w:cstheme="minorHAnsi"/>
          <w:color w:val="000000"/>
          <w:sz w:val="24"/>
          <w:szCs w:val="24"/>
        </w:rPr>
        <w:t>60-63</w:t>
      </w:r>
      <w:r w:rsidR="008F72A0" w:rsidRPr="00EF42CB">
        <w:rPr>
          <w:rFonts w:cstheme="minorHAnsi"/>
          <w:color w:val="000000"/>
          <w:sz w:val="24"/>
          <w:szCs w:val="24"/>
        </w:rPr>
        <w:t>) of the BRFM provides more detailed guidance on proportionate analysis.</w:t>
      </w:r>
    </w:p>
    <w:p w:rsidR="008F72A0" w:rsidRPr="00EF42CB" w:rsidRDefault="008F72A0" w:rsidP="008F72A0">
      <w:pPr>
        <w:autoSpaceDE w:val="0"/>
        <w:autoSpaceDN w:val="0"/>
        <w:adjustRightInd w:val="0"/>
        <w:spacing w:after="0"/>
        <w:rPr>
          <w:rFonts w:cstheme="minorHAnsi"/>
          <w:color w:val="000000"/>
          <w:sz w:val="24"/>
          <w:szCs w:val="24"/>
        </w:rPr>
      </w:pPr>
    </w:p>
    <w:p w:rsidR="008F72A0" w:rsidRPr="00EF42CB" w:rsidRDefault="00EC63DB" w:rsidP="008F72A0">
      <w:pPr>
        <w:autoSpaceDE w:val="0"/>
        <w:autoSpaceDN w:val="0"/>
        <w:adjustRightInd w:val="0"/>
        <w:spacing w:after="0"/>
        <w:rPr>
          <w:rFonts w:cstheme="minorHAnsi"/>
          <w:sz w:val="24"/>
          <w:szCs w:val="24"/>
        </w:rPr>
      </w:pPr>
      <w:r w:rsidRPr="00EF42CB">
        <w:rPr>
          <w:rFonts w:cstheme="minorHAnsi"/>
          <w:sz w:val="24"/>
          <w:szCs w:val="24"/>
        </w:rPr>
        <w:t xml:space="preserve">This </w:t>
      </w:r>
      <w:r w:rsidR="000C6115" w:rsidRPr="00EF42CB">
        <w:rPr>
          <w:rFonts w:cstheme="minorHAnsi"/>
          <w:sz w:val="24"/>
          <w:szCs w:val="24"/>
        </w:rPr>
        <w:t xml:space="preserve">section </w:t>
      </w:r>
      <w:r w:rsidR="008F72A0" w:rsidRPr="00EF42CB">
        <w:rPr>
          <w:rFonts w:cstheme="minorHAnsi"/>
          <w:sz w:val="24"/>
          <w:szCs w:val="24"/>
        </w:rPr>
        <w:t xml:space="preserve">of case histories </w:t>
      </w:r>
      <w:r w:rsidRPr="00EF42CB">
        <w:rPr>
          <w:rFonts w:cstheme="minorHAnsi"/>
          <w:sz w:val="24"/>
          <w:szCs w:val="24"/>
        </w:rPr>
        <w:t xml:space="preserve">seeks </w:t>
      </w:r>
      <w:r w:rsidR="000C6115" w:rsidRPr="00EF42CB">
        <w:rPr>
          <w:rFonts w:cstheme="minorHAnsi"/>
          <w:sz w:val="24"/>
          <w:szCs w:val="24"/>
        </w:rPr>
        <w:t xml:space="preserve">to </w:t>
      </w:r>
      <w:r w:rsidR="008F72A0" w:rsidRPr="00EF42CB">
        <w:rPr>
          <w:rFonts w:cstheme="minorHAnsi"/>
          <w:sz w:val="24"/>
          <w:szCs w:val="24"/>
        </w:rPr>
        <w:t xml:space="preserve">supplement that by </w:t>
      </w:r>
      <w:r w:rsidR="003C4195" w:rsidRPr="00EF42CB">
        <w:rPr>
          <w:rFonts w:cstheme="minorHAnsi"/>
          <w:sz w:val="24"/>
          <w:szCs w:val="24"/>
        </w:rPr>
        <w:t>illustrating</w:t>
      </w:r>
      <w:r w:rsidR="000C6115" w:rsidRPr="00EF42CB">
        <w:rPr>
          <w:rFonts w:cstheme="minorHAnsi"/>
          <w:sz w:val="24"/>
          <w:szCs w:val="24"/>
        </w:rPr>
        <w:t xml:space="preserve"> </w:t>
      </w:r>
      <w:r w:rsidR="008F72A0" w:rsidRPr="00EF42CB">
        <w:rPr>
          <w:rFonts w:cstheme="minorHAnsi"/>
          <w:sz w:val="24"/>
          <w:szCs w:val="24"/>
        </w:rPr>
        <w:t xml:space="preserve">how the RPC applies </w:t>
      </w:r>
      <w:r w:rsidR="003C4195" w:rsidRPr="00EF42CB">
        <w:rPr>
          <w:rFonts w:cstheme="minorHAnsi"/>
          <w:sz w:val="24"/>
          <w:szCs w:val="24"/>
        </w:rPr>
        <w:t xml:space="preserve">this </w:t>
      </w:r>
      <w:r w:rsidR="008F72A0" w:rsidRPr="00EF42CB">
        <w:rPr>
          <w:rFonts w:cstheme="minorHAnsi"/>
          <w:sz w:val="24"/>
          <w:szCs w:val="24"/>
        </w:rPr>
        <w:t>guidance</w:t>
      </w:r>
      <w:r w:rsidR="003C4195" w:rsidRPr="00EF42CB">
        <w:rPr>
          <w:rFonts w:cstheme="minorHAnsi"/>
          <w:sz w:val="24"/>
          <w:szCs w:val="24"/>
        </w:rPr>
        <w:t xml:space="preserve">, i.e. providing an indication of </w:t>
      </w:r>
      <w:r w:rsidR="000C6115" w:rsidRPr="00EF42CB">
        <w:rPr>
          <w:rFonts w:cstheme="minorHAnsi"/>
          <w:sz w:val="24"/>
          <w:szCs w:val="24"/>
        </w:rPr>
        <w:t xml:space="preserve">the level of analysis the RPC expects to see from </w:t>
      </w:r>
      <w:r w:rsidR="0045365B" w:rsidRPr="00EF42CB">
        <w:rPr>
          <w:rFonts w:cstheme="minorHAnsi"/>
          <w:sz w:val="24"/>
          <w:szCs w:val="24"/>
        </w:rPr>
        <w:t>departments</w:t>
      </w:r>
      <w:r w:rsidR="008F72A0" w:rsidRPr="00EF42CB">
        <w:rPr>
          <w:rFonts w:cstheme="minorHAnsi"/>
          <w:sz w:val="24"/>
          <w:szCs w:val="24"/>
        </w:rPr>
        <w:t>.</w:t>
      </w:r>
      <w:r w:rsidR="000C6115" w:rsidRPr="00EF42CB">
        <w:rPr>
          <w:rFonts w:cstheme="minorHAnsi"/>
          <w:sz w:val="24"/>
          <w:szCs w:val="24"/>
        </w:rPr>
        <w:t xml:space="preserve"> The RPC fully recognises the need to prioritise analytical resources in order to focus on the most important </w:t>
      </w:r>
      <w:r w:rsidR="0045365B" w:rsidRPr="00EF42CB">
        <w:rPr>
          <w:rFonts w:cstheme="minorHAnsi"/>
          <w:sz w:val="24"/>
          <w:szCs w:val="24"/>
        </w:rPr>
        <w:t xml:space="preserve">and influential </w:t>
      </w:r>
      <w:r w:rsidR="000C6115" w:rsidRPr="00EF42CB">
        <w:rPr>
          <w:rFonts w:cstheme="minorHAnsi"/>
          <w:sz w:val="24"/>
          <w:szCs w:val="24"/>
        </w:rPr>
        <w:t>measures. In the last parliament measures with EAN</w:t>
      </w:r>
      <w:r w:rsidR="003C3A32" w:rsidRPr="00EF42CB">
        <w:rPr>
          <w:rFonts w:cstheme="minorHAnsi"/>
          <w:sz w:val="24"/>
          <w:szCs w:val="24"/>
        </w:rPr>
        <w:t>D</w:t>
      </w:r>
      <w:r w:rsidR="000C6115" w:rsidRPr="00EF42CB">
        <w:rPr>
          <w:rFonts w:cstheme="minorHAnsi"/>
          <w:sz w:val="24"/>
          <w:szCs w:val="24"/>
        </w:rPr>
        <w:t>CBs less than or equal to +/- £1 million accounted for approximately 60</w:t>
      </w:r>
      <w:r w:rsidRPr="00EF42CB">
        <w:rPr>
          <w:rFonts w:cstheme="minorHAnsi"/>
          <w:sz w:val="24"/>
          <w:szCs w:val="24"/>
        </w:rPr>
        <w:t xml:space="preserve"> per cent</w:t>
      </w:r>
      <w:r w:rsidR="000C6115" w:rsidRPr="00EF42CB">
        <w:rPr>
          <w:rFonts w:cstheme="minorHAnsi"/>
          <w:sz w:val="24"/>
          <w:szCs w:val="24"/>
        </w:rPr>
        <w:t xml:space="preserve"> of the volume of proposals within the One-in, Two-out framework</w:t>
      </w:r>
      <w:r w:rsidR="000C6115" w:rsidRPr="00EF42CB">
        <w:rPr>
          <w:rFonts w:cstheme="minorHAnsi"/>
          <w:sz w:val="24"/>
          <w:szCs w:val="24"/>
          <w:vertAlign w:val="superscript"/>
        </w:rPr>
        <w:footnoteReference w:id="1"/>
      </w:r>
      <w:r w:rsidR="000C6115" w:rsidRPr="00EF42CB">
        <w:rPr>
          <w:rFonts w:cstheme="minorHAnsi"/>
          <w:sz w:val="24"/>
          <w:szCs w:val="24"/>
        </w:rPr>
        <w:t xml:space="preserve"> but only amounted to 0.6</w:t>
      </w:r>
      <w:r w:rsidR="00C03883" w:rsidRPr="00EF42CB">
        <w:rPr>
          <w:rFonts w:cstheme="minorHAnsi"/>
          <w:sz w:val="24"/>
          <w:szCs w:val="24"/>
        </w:rPr>
        <w:t xml:space="preserve"> per cent</w:t>
      </w:r>
      <w:r w:rsidR="000C6115" w:rsidRPr="00EF42CB">
        <w:rPr>
          <w:rFonts w:cstheme="minorHAnsi"/>
          <w:sz w:val="24"/>
          <w:szCs w:val="24"/>
        </w:rPr>
        <w:t xml:space="preserve"> of the absolute value of all validated in-scope proposals.</w:t>
      </w:r>
    </w:p>
    <w:p w:rsidR="008F72A0" w:rsidRPr="00EF42CB" w:rsidRDefault="008F72A0" w:rsidP="008F72A0">
      <w:pPr>
        <w:autoSpaceDE w:val="0"/>
        <w:autoSpaceDN w:val="0"/>
        <w:adjustRightInd w:val="0"/>
        <w:spacing w:after="0"/>
        <w:rPr>
          <w:rFonts w:cstheme="minorHAnsi"/>
          <w:sz w:val="24"/>
          <w:szCs w:val="24"/>
        </w:rPr>
      </w:pPr>
    </w:p>
    <w:p w:rsidR="00E3549A" w:rsidRPr="00EF42CB" w:rsidRDefault="003C4195" w:rsidP="00E72D3D">
      <w:pPr>
        <w:spacing w:after="0"/>
        <w:rPr>
          <w:rFonts w:cstheme="minorHAnsi"/>
          <w:color w:val="000000" w:themeColor="text1"/>
          <w:sz w:val="24"/>
          <w:szCs w:val="24"/>
        </w:rPr>
      </w:pPr>
      <w:r w:rsidRPr="00EF42CB">
        <w:rPr>
          <w:rFonts w:cstheme="minorHAnsi"/>
          <w:color w:val="000000" w:themeColor="text1"/>
          <w:sz w:val="24"/>
          <w:szCs w:val="24"/>
        </w:rPr>
        <w:t>It should be emphasised, h</w:t>
      </w:r>
      <w:r w:rsidR="000C6115" w:rsidRPr="00EF42CB">
        <w:rPr>
          <w:rFonts w:cstheme="minorHAnsi"/>
          <w:color w:val="000000" w:themeColor="text1"/>
          <w:sz w:val="24"/>
          <w:szCs w:val="24"/>
        </w:rPr>
        <w:t>owever</w:t>
      </w:r>
      <w:r w:rsidR="00FE2160" w:rsidRPr="00EF42CB">
        <w:rPr>
          <w:rFonts w:cstheme="minorHAnsi"/>
          <w:color w:val="000000" w:themeColor="text1"/>
          <w:sz w:val="24"/>
          <w:szCs w:val="24"/>
        </w:rPr>
        <w:t>,</w:t>
      </w:r>
      <w:r w:rsidR="000C6115" w:rsidRPr="00EF42CB">
        <w:rPr>
          <w:rFonts w:cstheme="minorHAnsi"/>
          <w:color w:val="000000" w:themeColor="text1"/>
          <w:sz w:val="24"/>
          <w:szCs w:val="24"/>
        </w:rPr>
        <w:t xml:space="preserve"> </w:t>
      </w:r>
      <w:r w:rsidRPr="00EF42CB">
        <w:rPr>
          <w:rFonts w:cstheme="minorHAnsi"/>
          <w:color w:val="000000" w:themeColor="text1"/>
          <w:sz w:val="24"/>
          <w:szCs w:val="24"/>
        </w:rPr>
        <w:t xml:space="preserve">that </w:t>
      </w:r>
      <w:r w:rsidR="00981C5A" w:rsidRPr="00EF42CB">
        <w:rPr>
          <w:rFonts w:cstheme="minorHAnsi"/>
          <w:color w:val="000000" w:themeColor="text1"/>
          <w:sz w:val="24"/>
          <w:szCs w:val="24"/>
        </w:rPr>
        <w:t xml:space="preserve">proportionality </w:t>
      </w:r>
      <w:r w:rsidRPr="00EF42CB">
        <w:rPr>
          <w:rFonts w:cstheme="minorHAnsi"/>
          <w:color w:val="000000" w:themeColor="text1"/>
          <w:sz w:val="24"/>
          <w:szCs w:val="24"/>
        </w:rPr>
        <w:t xml:space="preserve">will always </w:t>
      </w:r>
      <w:r w:rsidR="000C6115" w:rsidRPr="00EF42CB">
        <w:rPr>
          <w:rFonts w:cstheme="minorHAnsi"/>
          <w:color w:val="000000" w:themeColor="text1"/>
          <w:sz w:val="24"/>
          <w:szCs w:val="24"/>
        </w:rPr>
        <w:t>remain a matter of judgement</w:t>
      </w:r>
      <w:r w:rsidR="007E5510" w:rsidRPr="00EF42CB">
        <w:rPr>
          <w:rFonts w:cstheme="minorHAnsi"/>
          <w:color w:val="000000" w:themeColor="text1"/>
          <w:sz w:val="24"/>
          <w:szCs w:val="24"/>
        </w:rPr>
        <w:t xml:space="preserve"> </w:t>
      </w:r>
      <w:r w:rsidRPr="00EF42CB">
        <w:rPr>
          <w:rFonts w:cstheme="minorHAnsi"/>
          <w:color w:val="000000" w:themeColor="text1"/>
          <w:sz w:val="24"/>
          <w:szCs w:val="24"/>
        </w:rPr>
        <w:t>bec</w:t>
      </w:r>
      <w:r w:rsidR="007E5510" w:rsidRPr="00EF42CB">
        <w:rPr>
          <w:rFonts w:cstheme="minorHAnsi"/>
          <w:color w:val="000000" w:themeColor="text1"/>
          <w:sz w:val="24"/>
          <w:szCs w:val="24"/>
        </w:rPr>
        <w:t>a</w:t>
      </w:r>
      <w:r w:rsidRPr="00EF42CB">
        <w:rPr>
          <w:rFonts w:cstheme="minorHAnsi"/>
          <w:color w:val="000000" w:themeColor="text1"/>
          <w:sz w:val="24"/>
          <w:szCs w:val="24"/>
        </w:rPr>
        <w:t>use</w:t>
      </w:r>
      <w:r w:rsidR="007E5510" w:rsidRPr="00EF42CB">
        <w:rPr>
          <w:rFonts w:cstheme="minorHAnsi"/>
          <w:color w:val="000000" w:themeColor="text1"/>
          <w:sz w:val="24"/>
          <w:szCs w:val="24"/>
        </w:rPr>
        <w:t xml:space="preserve"> it is neither possible nor desirable to set out, </w:t>
      </w:r>
      <w:r w:rsidR="007E5510" w:rsidRPr="00EF42CB">
        <w:rPr>
          <w:rFonts w:cstheme="minorHAnsi"/>
          <w:color w:val="000000" w:themeColor="text1"/>
          <w:sz w:val="24"/>
          <w:szCs w:val="24"/>
          <w:u w:val="single"/>
        </w:rPr>
        <w:t>in fixed terms</w:t>
      </w:r>
      <w:r w:rsidR="007E5510" w:rsidRPr="00EF42CB">
        <w:rPr>
          <w:rFonts w:cstheme="minorHAnsi"/>
          <w:color w:val="000000" w:themeColor="text1"/>
          <w:sz w:val="24"/>
          <w:szCs w:val="24"/>
        </w:rPr>
        <w:t xml:space="preserve">, </w:t>
      </w:r>
      <w:r w:rsidRPr="00EF42CB">
        <w:rPr>
          <w:rFonts w:cstheme="minorHAnsi"/>
          <w:color w:val="000000" w:themeColor="text1"/>
          <w:sz w:val="24"/>
          <w:szCs w:val="24"/>
        </w:rPr>
        <w:t xml:space="preserve">exactly </w:t>
      </w:r>
      <w:r w:rsidR="006A70D8" w:rsidRPr="00EF42CB">
        <w:rPr>
          <w:rFonts w:cstheme="minorHAnsi"/>
          <w:color w:val="000000" w:themeColor="text1"/>
          <w:sz w:val="24"/>
          <w:szCs w:val="24"/>
        </w:rPr>
        <w:t xml:space="preserve">what is </w:t>
      </w:r>
      <w:r w:rsidRPr="00EF42CB">
        <w:rPr>
          <w:rFonts w:cstheme="minorHAnsi"/>
          <w:color w:val="000000" w:themeColor="text1"/>
          <w:sz w:val="24"/>
          <w:szCs w:val="24"/>
        </w:rPr>
        <w:t xml:space="preserve">a </w:t>
      </w:r>
      <w:r w:rsidR="006A70D8" w:rsidRPr="00EF42CB">
        <w:rPr>
          <w:rFonts w:cstheme="minorHAnsi"/>
          <w:color w:val="000000" w:themeColor="text1"/>
          <w:sz w:val="24"/>
          <w:szCs w:val="24"/>
        </w:rPr>
        <w:t xml:space="preserve">proportionate </w:t>
      </w:r>
      <w:r w:rsidRPr="00EF42CB">
        <w:rPr>
          <w:rFonts w:cstheme="minorHAnsi"/>
          <w:color w:val="000000" w:themeColor="text1"/>
          <w:sz w:val="24"/>
          <w:szCs w:val="24"/>
        </w:rPr>
        <w:t xml:space="preserve">level of </w:t>
      </w:r>
      <w:r w:rsidR="006A70D8" w:rsidRPr="00EF42CB">
        <w:rPr>
          <w:rFonts w:cstheme="minorHAnsi"/>
          <w:color w:val="000000" w:themeColor="text1"/>
          <w:sz w:val="24"/>
          <w:szCs w:val="24"/>
        </w:rPr>
        <w:t xml:space="preserve">analysis.  </w:t>
      </w:r>
      <w:r w:rsidRPr="00EF42CB">
        <w:rPr>
          <w:rFonts w:cstheme="minorHAnsi"/>
          <w:color w:val="000000" w:themeColor="text1"/>
          <w:sz w:val="24"/>
          <w:szCs w:val="24"/>
        </w:rPr>
        <w:t>E</w:t>
      </w:r>
      <w:r w:rsidR="00981C5A" w:rsidRPr="00EF42CB">
        <w:rPr>
          <w:rFonts w:cstheme="minorHAnsi"/>
          <w:color w:val="000000" w:themeColor="text1"/>
          <w:sz w:val="24"/>
          <w:szCs w:val="24"/>
        </w:rPr>
        <w:t>a</w:t>
      </w:r>
      <w:r w:rsidR="00EF42CB">
        <w:rPr>
          <w:rFonts w:cstheme="minorHAnsi"/>
          <w:color w:val="000000" w:themeColor="text1"/>
          <w:sz w:val="24"/>
          <w:szCs w:val="24"/>
        </w:rPr>
        <w:t>ch case will need to be judged o</w:t>
      </w:r>
      <w:r w:rsidR="00981C5A" w:rsidRPr="00EF42CB">
        <w:rPr>
          <w:rFonts w:cstheme="minorHAnsi"/>
          <w:color w:val="000000" w:themeColor="text1"/>
          <w:sz w:val="24"/>
          <w:szCs w:val="24"/>
        </w:rPr>
        <w:t>n its own merits, both by departments when considering appropriate level of analysis</w:t>
      </w:r>
      <w:bookmarkStart w:id="0" w:name="_GoBack"/>
      <w:bookmarkEnd w:id="0"/>
      <w:r w:rsidR="00981C5A" w:rsidRPr="00EF42CB">
        <w:rPr>
          <w:rFonts w:cstheme="minorHAnsi"/>
          <w:color w:val="000000" w:themeColor="text1"/>
          <w:sz w:val="24"/>
          <w:szCs w:val="24"/>
        </w:rPr>
        <w:t xml:space="preserve"> and by the RPC when scrutinising the quality of evidence presented in an IA. </w:t>
      </w:r>
    </w:p>
    <w:p w:rsidR="00E3549A" w:rsidRPr="00AA30A1" w:rsidRDefault="00EF42CB" w:rsidP="00EF42CB">
      <w:pPr>
        <w:tabs>
          <w:tab w:val="left" w:pos="2913"/>
        </w:tabs>
        <w:spacing w:after="0"/>
        <w:rPr>
          <w:rFonts w:cstheme="minorHAnsi"/>
          <w:color w:val="000000" w:themeColor="text1"/>
          <w:sz w:val="24"/>
          <w:szCs w:val="24"/>
          <w:highlight w:val="cyan"/>
        </w:rPr>
      </w:pPr>
      <w:r w:rsidRPr="00EF42CB">
        <w:rPr>
          <w:rFonts w:cstheme="minorHAnsi"/>
          <w:color w:val="000000" w:themeColor="text1"/>
          <w:sz w:val="24"/>
          <w:szCs w:val="24"/>
        </w:rPr>
        <w:tab/>
      </w:r>
    </w:p>
    <w:p w:rsidR="000C6115" w:rsidRPr="00E3549A" w:rsidRDefault="00E72D3D" w:rsidP="00E72D3D">
      <w:pPr>
        <w:spacing w:after="0"/>
        <w:rPr>
          <w:b/>
          <w:sz w:val="24"/>
          <w:szCs w:val="24"/>
        </w:rPr>
      </w:pPr>
      <w:r w:rsidRPr="00EF42CB">
        <w:rPr>
          <w:b/>
          <w:sz w:val="24"/>
          <w:szCs w:val="24"/>
        </w:rPr>
        <w:t xml:space="preserve">Please </w:t>
      </w:r>
      <w:r w:rsidR="00C258F2" w:rsidRPr="00EF42CB">
        <w:rPr>
          <w:b/>
          <w:sz w:val="24"/>
          <w:szCs w:val="24"/>
        </w:rPr>
        <w:t xml:space="preserve">note that this section deals mainly with what departments need to provide in relation to full impact assessments. </w:t>
      </w:r>
      <w:r w:rsidRPr="00EF42CB">
        <w:rPr>
          <w:b/>
          <w:sz w:val="24"/>
          <w:szCs w:val="24"/>
        </w:rPr>
        <w:t xml:space="preserve"> RPC requirements for validation</w:t>
      </w:r>
      <w:r w:rsidR="00C258F2" w:rsidRPr="00EF42CB">
        <w:rPr>
          <w:b/>
          <w:sz w:val="24"/>
          <w:szCs w:val="24"/>
        </w:rPr>
        <w:t xml:space="preserve">s (particularly </w:t>
      </w:r>
      <w:r w:rsidRPr="00EF42CB">
        <w:rPr>
          <w:b/>
          <w:sz w:val="24"/>
          <w:szCs w:val="24"/>
        </w:rPr>
        <w:t>of smaller measures</w:t>
      </w:r>
      <w:r w:rsidR="00C258F2" w:rsidRPr="00EF42CB">
        <w:rPr>
          <w:b/>
          <w:sz w:val="24"/>
          <w:szCs w:val="24"/>
        </w:rPr>
        <w:t>) and for confirmation of</w:t>
      </w:r>
      <w:r w:rsidRPr="00EF42CB">
        <w:rPr>
          <w:b/>
          <w:sz w:val="24"/>
          <w:szCs w:val="24"/>
        </w:rPr>
        <w:t xml:space="preserve"> </w:t>
      </w:r>
      <w:r w:rsidR="00C258F2" w:rsidRPr="00EF42CB">
        <w:rPr>
          <w:b/>
          <w:sz w:val="24"/>
          <w:szCs w:val="24"/>
        </w:rPr>
        <w:t>NQRP status are different, and generally require less resource fr</w:t>
      </w:r>
      <w:r w:rsidR="00E3549A" w:rsidRPr="00EF42CB">
        <w:rPr>
          <w:b/>
          <w:sz w:val="24"/>
          <w:szCs w:val="24"/>
        </w:rPr>
        <w:t>om departments.</w:t>
      </w:r>
      <w:r w:rsidRPr="00EF42CB">
        <w:rPr>
          <w:b/>
          <w:sz w:val="24"/>
          <w:szCs w:val="24"/>
        </w:rPr>
        <w:t> </w:t>
      </w:r>
      <w:r w:rsidR="00C258F2" w:rsidRPr="00EF42CB">
        <w:rPr>
          <w:b/>
          <w:sz w:val="24"/>
          <w:szCs w:val="24"/>
        </w:rPr>
        <w:t>Departments are encouraged</w:t>
      </w:r>
      <w:r w:rsidRPr="00EF42CB">
        <w:rPr>
          <w:b/>
          <w:sz w:val="24"/>
          <w:szCs w:val="24"/>
        </w:rPr>
        <w:t xml:space="preserve"> to consider the </w:t>
      </w:r>
      <w:r w:rsidR="00E3549A" w:rsidRPr="00EF42CB">
        <w:rPr>
          <w:b/>
          <w:sz w:val="24"/>
          <w:szCs w:val="24"/>
        </w:rPr>
        <w:t xml:space="preserve">particular </w:t>
      </w:r>
      <w:r w:rsidRPr="00EF42CB">
        <w:rPr>
          <w:b/>
          <w:sz w:val="24"/>
          <w:szCs w:val="24"/>
        </w:rPr>
        <w:t xml:space="preserve">type of case </w:t>
      </w:r>
      <w:r w:rsidR="00E3549A" w:rsidRPr="00EF42CB">
        <w:rPr>
          <w:b/>
          <w:sz w:val="24"/>
          <w:szCs w:val="24"/>
        </w:rPr>
        <w:t xml:space="preserve">they are dealing with </w:t>
      </w:r>
      <w:r w:rsidRPr="00EF42CB">
        <w:rPr>
          <w:b/>
          <w:sz w:val="24"/>
          <w:szCs w:val="24"/>
        </w:rPr>
        <w:t>and</w:t>
      </w:r>
      <w:r w:rsidR="00E3549A" w:rsidRPr="00EF42CB">
        <w:rPr>
          <w:b/>
          <w:sz w:val="24"/>
          <w:szCs w:val="24"/>
        </w:rPr>
        <w:t xml:space="preserve">, if in doubt, </w:t>
      </w:r>
      <w:r w:rsidRPr="00EF42CB">
        <w:rPr>
          <w:b/>
          <w:sz w:val="24"/>
          <w:szCs w:val="24"/>
        </w:rPr>
        <w:t xml:space="preserve">to </w:t>
      </w:r>
      <w:r w:rsidR="00E3549A" w:rsidRPr="00EF42CB">
        <w:rPr>
          <w:b/>
          <w:sz w:val="24"/>
          <w:szCs w:val="24"/>
        </w:rPr>
        <w:t>contact the RPC</w:t>
      </w:r>
      <w:r w:rsidRPr="00EF42CB">
        <w:rPr>
          <w:b/>
          <w:sz w:val="24"/>
          <w:szCs w:val="24"/>
        </w:rPr>
        <w:t xml:space="preserve"> to </w:t>
      </w:r>
      <w:r w:rsidR="00E3549A" w:rsidRPr="00EF42CB">
        <w:rPr>
          <w:b/>
          <w:sz w:val="24"/>
          <w:szCs w:val="24"/>
        </w:rPr>
        <w:t>check that they a</w:t>
      </w:r>
      <w:r w:rsidRPr="00EF42CB">
        <w:rPr>
          <w:b/>
          <w:sz w:val="24"/>
          <w:szCs w:val="24"/>
        </w:rPr>
        <w:t>re approaching it correctly</w:t>
      </w:r>
      <w:r w:rsidR="00E3549A" w:rsidRPr="00EF42CB">
        <w:rPr>
          <w:b/>
          <w:sz w:val="24"/>
          <w:szCs w:val="24"/>
        </w:rPr>
        <w:t>.</w:t>
      </w:r>
    </w:p>
    <w:p w:rsidR="00E72D3D" w:rsidRPr="00E3549A" w:rsidRDefault="00E72D3D" w:rsidP="00E72D3D">
      <w:pPr>
        <w:spacing w:after="0"/>
        <w:rPr>
          <w:rFonts w:eastAsia="Times New Roman" w:cstheme="minorHAnsi"/>
          <w:sz w:val="24"/>
          <w:szCs w:val="24"/>
          <w:lang w:eastAsia="en-GB"/>
        </w:rPr>
      </w:pPr>
    </w:p>
    <w:p w:rsidR="000C6115" w:rsidRPr="000C6115" w:rsidRDefault="000C6115" w:rsidP="00A864AC">
      <w:pPr>
        <w:pStyle w:val="ListParagraph"/>
        <w:numPr>
          <w:ilvl w:val="2"/>
          <w:numId w:val="26"/>
        </w:numPr>
        <w:spacing w:line="264" w:lineRule="auto"/>
        <w:rPr>
          <w:rFonts w:cstheme="minorHAnsi"/>
          <w:b/>
          <w:color w:val="000000" w:themeColor="text1"/>
          <w:sz w:val="24"/>
          <w:szCs w:val="24"/>
        </w:rPr>
      </w:pPr>
      <w:r w:rsidRPr="000C6115">
        <w:rPr>
          <w:rFonts w:cstheme="minorHAnsi"/>
          <w:b/>
          <w:color w:val="000000" w:themeColor="text1"/>
          <w:sz w:val="24"/>
          <w:szCs w:val="24"/>
        </w:rPr>
        <w:t>Levels of analysis</w:t>
      </w:r>
    </w:p>
    <w:p w:rsidR="000C6115" w:rsidRPr="000C6115" w:rsidRDefault="000C6115" w:rsidP="000C6115">
      <w:pPr>
        <w:spacing w:after="0"/>
        <w:rPr>
          <w:rFonts w:cstheme="minorHAnsi"/>
          <w:color w:val="000000" w:themeColor="text1"/>
          <w:sz w:val="24"/>
          <w:szCs w:val="24"/>
        </w:rPr>
      </w:pPr>
      <w:r w:rsidRPr="000C6115">
        <w:rPr>
          <w:rFonts w:cstheme="minorHAnsi"/>
          <w:color w:val="000000" w:themeColor="text1"/>
          <w:sz w:val="24"/>
          <w:szCs w:val="24"/>
        </w:rPr>
        <w:t>The BRFM (2.2.4) states that “</w:t>
      </w:r>
      <w:r w:rsidRPr="000C6115">
        <w:rPr>
          <w:rFonts w:cstheme="minorHAnsi"/>
          <w:i/>
          <w:color w:val="000000" w:themeColor="text1"/>
          <w:sz w:val="24"/>
          <w:szCs w:val="24"/>
        </w:rPr>
        <w:t xml:space="preserve">The principle of proportionality is not used to guide whether or not an </w:t>
      </w:r>
      <w:r w:rsidR="006A760F">
        <w:rPr>
          <w:rFonts w:cstheme="minorHAnsi"/>
          <w:i/>
          <w:color w:val="000000" w:themeColor="text1"/>
          <w:sz w:val="24"/>
          <w:szCs w:val="24"/>
        </w:rPr>
        <w:t>RIA</w:t>
      </w:r>
      <w:r w:rsidRPr="000C6115">
        <w:rPr>
          <w:rFonts w:cstheme="minorHAnsi"/>
          <w:i/>
          <w:color w:val="000000" w:themeColor="text1"/>
          <w:sz w:val="24"/>
          <w:szCs w:val="24"/>
        </w:rPr>
        <w:t xml:space="preserve"> should be completed for policy approval. It relates only to the scale of effort invested in the analysis</w:t>
      </w:r>
      <w:r w:rsidR="006A760F">
        <w:rPr>
          <w:rFonts w:cstheme="minorHAnsi"/>
          <w:i/>
          <w:color w:val="000000" w:themeColor="text1"/>
          <w:sz w:val="24"/>
          <w:szCs w:val="24"/>
        </w:rPr>
        <w:t xml:space="preserve"> required for an RIA</w:t>
      </w:r>
      <w:r w:rsidRPr="000C6115">
        <w:rPr>
          <w:rFonts w:cstheme="minorHAnsi"/>
          <w:color w:val="000000" w:themeColor="text1"/>
          <w:sz w:val="24"/>
          <w:szCs w:val="24"/>
        </w:rPr>
        <w:t>”.</w:t>
      </w:r>
    </w:p>
    <w:p w:rsidR="000C6115" w:rsidRPr="000C6115" w:rsidRDefault="000C6115" w:rsidP="000C6115">
      <w:pPr>
        <w:spacing w:after="0"/>
        <w:rPr>
          <w:rFonts w:cstheme="minorHAnsi"/>
          <w:color w:val="000000" w:themeColor="text1"/>
          <w:sz w:val="24"/>
          <w:szCs w:val="24"/>
        </w:rPr>
      </w:pPr>
    </w:p>
    <w:p w:rsidR="00FA40AD" w:rsidRPr="00EF42CB" w:rsidRDefault="000C6115" w:rsidP="000C6115">
      <w:pPr>
        <w:rPr>
          <w:sz w:val="24"/>
          <w:szCs w:val="24"/>
        </w:rPr>
      </w:pPr>
      <w:r w:rsidRPr="000C6115">
        <w:rPr>
          <w:sz w:val="24"/>
          <w:szCs w:val="24"/>
        </w:rPr>
        <w:t>Proportionality also cannot be used as a justification for not providing a baseline level of analysis.</w:t>
      </w:r>
      <w:r w:rsidR="0008713A">
        <w:rPr>
          <w:sz w:val="24"/>
          <w:szCs w:val="24"/>
        </w:rPr>
        <w:t xml:space="preserve"> </w:t>
      </w:r>
      <w:r w:rsidR="0008713A" w:rsidRPr="00EF42CB">
        <w:rPr>
          <w:sz w:val="24"/>
          <w:szCs w:val="24"/>
        </w:rPr>
        <w:t>I</w:t>
      </w:r>
      <w:r w:rsidRPr="00EF42CB">
        <w:rPr>
          <w:sz w:val="24"/>
          <w:szCs w:val="24"/>
        </w:rPr>
        <w:t xml:space="preserve">mpact assessments should always: </w:t>
      </w:r>
    </w:p>
    <w:p w:rsidR="00FA40AD" w:rsidRPr="00EF42CB" w:rsidRDefault="000C6115" w:rsidP="00A864AC">
      <w:pPr>
        <w:pStyle w:val="ListParagraph"/>
        <w:numPr>
          <w:ilvl w:val="0"/>
          <w:numId w:val="28"/>
        </w:numPr>
        <w:rPr>
          <w:sz w:val="24"/>
          <w:szCs w:val="24"/>
        </w:rPr>
      </w:pPr>
      <w:r w:rsidRPr="00EF42CB">
        <w:rPr>
          <w:sz w:val="24"/>
          <w:szCs w:val="24"/>
        </w:rPr>
        <w:lastRenderedPageBreak/>
        <w:t xml:space="preserve">explain what </w:t>
      </w:r>
      <w:r w:rsidR="006A760F" w:rsidRPr="00EF42CB">
        <w:rPr>
          <w:sz w:val="24"/>
          <w:szCs w:val="24"/>
        </w:rPr>
        <w:t xml:space="preserve">is </w:t>
      </w:r>
      <w:r w:rsidRPr="00EF42CB">
        <w:rPr>
          <w:sz w:val="24"/>
          <w:szCs w:val="24"/>
        </w:rPr>
        <w:t>the problem the proposal</w:t>
      </w:r>
      <w:r w:rsidR="0045365B" w:rsidRPr="00EF42CB">
        <w:rPr>
          <w:sz w:val="24"/>
          <w:szCs w:val="24"/>
        </w:rPr>
        <w:t xml:space="preserve"> is seeking to address;</w:t>
      </w:r>
      <w:r w:rsidRPr="00EF42CB">
        <w:rPr>
          <w:sz w:val="24"/>
          <w:szCs w:val="24"/>
        </w:rPr>
        <w:t xml:space="preserve"> </w:t>
      </w:r>
    </w:p>
    <w:p w:rsidR="006458ED" w:rsidRPr="00EF42CB" w:rsidRDefault="000C6115" w:rsidP="00A864AC">
      <w:pPr>
        <w:pStyle w:val="ListParagraph"/>
        <w:numPr>
          <w:ilvl w:val="0"/>
          <w:numId w:val="28"/>
        </w:numPr>
        <w:rPr>
          <w:sz w:val="24"/>
          <w:szCs w:val="24"/>
        </w:rPr>
      </w:pPr>
      <w:r w:rsidRPr="00EF42CB">
        <w:rPr>
          <w:sz w:val="24"/>
          <w:szCs w:val="24"/>
        </w:rPr>
        <w:t>consider a</w:t>
      </w:r>
      <w:r w:rsidR="0008713A" w:rsidRPr="00EF42CB">
        <w:rPr>
          <w:sz w:val="24"/>
          <w:szCs w:val="24"/>
        </w:rPr>
        <w:t xml:space="preserve">n appropriate </w:t>
      </w:r>
      <w:r w:rsidRPr="00EF42CB">
        <w:rPr>
          <w:sz w:val="24"/>
          <w:szCs w:val="24"/>
        </w:rPr>
        <w:t xml:space="preserve">range of </w:t>
      </w:r>
      <w:r w:rsidR="0045365B" w:rsidRPr="00EF42CB">
        <w:rPr>
          <w:sz w:val="24"/>
          <w:szCs w:val="24"/>
        </w:rPr>
        <w:t>options (at consultation stage)</w:t>
      </w:r>
      <w:r w:rsidR="0008713A" w:rsidRPr="00EF42CB">
        <w:rPr>
          <w:sz w:val="24"/>
          <w:szCs w:val="24"/>
        </w:rPr>
        <w:t>, including any non-regulatory ones</w:t>
      </w:r>
      <w:r w:rsidR="0045365B" w:rsidRPr="00EF42CB">
        <w:rPr>
          <w:sz w:val="24"/>
          <w:szCs w:val="24"/>
        </w:rPr>
        <w:t>;</w:t>
      </w:r>
      <w:r w:rsidRPr="00EF42CB">
        <w:rPr>
          <w:sz w:val="24"/>
          <w:szCs w:val="24"/>
        </w:rPr>
        <w:t xml:space="preserve"> </w:t>
      </w:r>
    </w:p>
    <w:p w:rsidR="00FA40AD" w:rsidRPr="00EF42CB" w:rsidRDefault="000C6115" w:rsidP="00A864AC">
      <w:pPr>
        <w:pStyle w:val="ListParagraph"/>
        <w:numPr>
          <w:ilvl w:val="0"/>
          <w:numId w:val="28"/>
        </w:numPr>
        <w:rPr>
          <w:sz w:val="24"/>
          <w:szCs w:val="24"/>
        </w:rPr>
      </w:pPr>
      <w:r w:rsidRPr="00EF42CB">
        <w:rPr>
          <w:sz w:val="24"/>
          <w:szCs w:val="24"/>
        </w:rPr>
        <w:t>explain how each of the potential interventions would address the problem</w:t>
      </w:r>
      <w:r w:rsidR="00FA40AD" w:rsidRPr="00EF42CB">
        <w:rPr>
          <w:sz w:val="24"/>
          <w:szCs w:val="24"/>
        </w:rPr>
        <w:t>;</w:t>
      </w:r>
      <w:r w:rsidRPr="00EF42CB">
        <w:rPr>
          <w:sz w:val="24"/>
          <w:szCs w:val="24"/>
        </w:rPr>
        <w:t xml:space="preserve"> and</w:t>
      </w:r>
    </w:p>
    <w:p w:rsidR="000C6115" w:rsidRPr="00EF42CB" w:rsidRDefault="000C6115" w:rsidP="00A864AC">
      <w:pPr>
        <w:pStyle w:val="ListParagraph"/>
        <w:numPr>
          <w:ilvl w:val="0"/>
          <w:numId w:val="28"/>
        </w:numPr>
        <w:rPr>
          <w:sz w:val="24"/>
          <w:szCs w:val="24"/>
        </w:rPr>
      </w:pPr>
      <w:proofErr w:type="gramStart"/>
      <w:r w:rsidRPr="00EF42CB">
        <w:rPr>
          <w:sz w:val="24"/>
          <w:szCs w:val="24"/>
        </w:rPr>
        <w:t>provide</w:t>
      </w:r>
      <w:proofErr w:type="gramEnd"/>
      <w:r w:rsidRPr="00EF42CB">
        <w:rPr>
          <w:sz w:val="24"/>
          <w:szCs w:val="24"/>
        </w:rPr>
        <w:t xml:space="preserve"> </w:t>
      </w:r>
      <w:r w:rsidR="00CB4058" w:rsidRPr="00EF42CB">
        <w:rPr>
          <w:sz w:val="24"/>
          <w:szCs w:val="24"/>
        </w:rPr>
        <w:t xml:space="preserve">an </w:t>
      </w:r>
      <w:r w:rsidR="0045365B" w:rsidRPr="00EF42CB">
        <w:rPr>
          <w:sz w:val="24"/>
          <w:szCs w:val="24"/>
        </w:rPr>
        <w:t xml:space="preserve">adequate level of </w:t>
      </w:r>
      <w:r w:rsidRPr="00EF42CB">
        <w:rPr>
          <w:sz w:val="24"/>
          <w:szCs w:val="24"/>
        </w:rPr>
        <w:t xml:space="preserve">analysis of the impacts of the proposal (as defined </w:t>
      </w:r>
      <w:r w:rsidR="006A760F" w:rsidRPr="00EF42CB">
        <w:rPr>
          <w:sz w:val="24"/>
          <w:szCs w:val="24"/>
        </w:rPr>
        <w:t>at</w:t>
      </w:r>
      <w:r w:rsidRPr="00EF42CB">
        <w:rPr>
          <w:sz w:val="24"/>
          <w:szCs w:val="24"/>
        </w:rPr>
        <w:t xml:space="preserve"> BRFM </w:t>
      </w:r>
      <w:r w:rsidR="006A760F" w:rsidRPr="00EF42CB">
        <w:rPr>
          <w:sz w:val="24"/>
          <w:szCs w:val="24"/>
        </w:rPr>
        <w:t xml:space="preserve">paragraph </w:t>
      </w:r>
      <w:r w:rsidRPr="00EF42CB">
        <w:rPr>
          <w:sz w:val="24"/>
          <w:szCs w:val="24"/>
        </w:rPr>
        <w:t xml:space="preserve">2.2.7). </w:t>
      </w:r>
      <w:r w:rsidR="00021F77" w:rsidRPr="00EF42CB">
        <w:rPr>
          <w:sz w:val="24"/>
          <w:szCs w:val="24"/>
        </w:rPr>
        <w:t xml:space="preserve">  In particular, even where impacts are not fully monetised they must be described.</w:t>
      </w:r>
    </w:p>
    <w:p w:rsidR="004727C4" w:rsidRDefault="000C6115" w:rsidP="00251121">
      <w:pPr>
        <w:rPr>
          <w:sz w:val="24"/>
          <w:szCs w:val="24"/>
        </w:rPr>
      </w:pPr>
      <w:r w:rsidRPr="000C6115">
        <w:rPr>
          <w:sz w:val="24"/>
          <w:szCs w:val="24"/>
        </w:rPr>
        <w:t xml:space="preserve">The principle of proportionality can be used when deciding the level of detail to be included in explaining the policy problem, options and how each option would address the problem. It can also be used when deciding whether to undertake </w:t>
      </w:r>
      <w:r w:rsidR="0045365B">
        <w:rPr>
          <w:sz w:val="24"/>
          <w:szCs w:val="24"/>
        </w:rPr>
        <w:t>full quantification and monetisation of all impacts</w:t>
      </w:r>
      <w:r w:rsidR="00471E2D">
        <w:rPr>
          <w:sz w:val="24"/>
          <w:szCs w:val="24"/>
        </w:rPr>
        <w:t xml:space="preserve">. </w:t>
      </w:r>
      <w:r w:rsidRPr="000C6115">
        <w:rPr>
          <w:sz w:val="24"/>
          <w:szCs w:val="24"/>
        </w:rPr>
        <w:t xml:space="preserve"> Any decision not to engage in </w:t>
      </w:r>
      <w:r w:rsidR="00471E2D">
        <w:rPr>
          <w:sz w:val="24"/>
          <w:szCs w:val="24"/>
        </w:rPr>
        <w:t xml:space="preserve">full monetary </w:t>
      </w:r>
      <w:r w:rsidRPr="000C6115">
        <w:rPr>
          <w:sz w:val="24"/>
          <w:szCs w:val="24"/>
        </w:rPr>
        <w:t>analysis on the basis that it would require a disproportionate use of resources needs to be explained</w:t>
      </w:r>
      <w:r w:rsidR="00471E2D">
        <w:rPr>
          <w:sz w:val="24"/>
          <w:szCs w:val="24"/>
        </w:rPr>
        <w:t xml:space="preserve"> </w:t>
      </w:r>
      <w:r w:rsidR="006A760F">
        <w:rPr>
          <w:sz w:val="24"/>
          <w:szCs w:val="24"/>
        </w:rPr>
        <w:t xml:space="preserve">clearly </w:t>
      </w:r>
      <w:r w:rsidR="00471E2D">
        <w:rPr>
          <w:sz w:val="24"/>
          <w:szCs w:val="24"/>
        </w:rPr>
        <w:t xml:space="preserve">in </w:t>
      </w:r>
      <w:r w:rsidR="00021F77">
        <w:rPr>
          <w:sz w:val="24"/>
          <w:szCs w:val="24"/>
        </w:rPr>
        <w:t xml:space="preserve">the </w:t>
      </w:r>
      <w:r w:rsidR="00471E2D">
        <w:rPr>
          <w:sz w:val="24"/>
          <w:szCs w:val="24"/>
        </w:rPr>
        <w:t>IA</w:t>
      </w:r>
      <w:r w:rsidR="005007BF">
        <w:rPr>
          <w:sz w:val="24"/>
          <w:szCs w:val="24"/>
        </w:rPr>
        <w:t>, especially where this is partially or completely linked to an absence of evidence or data.</w:t>
      </w:r>
    </w:p>
    <w:p w:rsidR="000C6115" w:rsidRPr="004727C4" w:rsidRDefault="00251121" w:rsidP="004727C4">
      <w:pPr>
        <w:rPr>
          <w:sz w:val="24"/>
          <w:szCs w:val="24"/>
        </w:rPr>
      </w:pPr>
      <w:r w:rsidRPr="00A076D2">
        <w:rPr>
          <w:sz w:val="24"/>
          <w:szCs w:val="24"/>
        </w:rPr>
        <w:t>The Treasury Green Book states that “</w:t>
      </w:r>
      <w:r w:rsidRPr="00A076D2">
        <w:rPr>
          <w:i/>
          <w:sz w:val="24"/>
          <w:szCs w:val="24"/>
        </w:rPr>
        <w:t>all new policies, programmes and projects, whether revenue, capital or regulatory, should be subject to comprehensive but proportionate assessment, wherever it is practicable, so as best to promote the public interest</w:t>
      </w:r>
      <w:r w:rsidRPr="00A076D2">
        <w:rPr>
          <w:sz w:val="24"/>
          <w:szCs w:val="24"/>
        </w:rPr>
        <w:t>”</w:t>
      </w:r>
      <w:r w:rsidR="004727C4" w:rsidRPr="00A076D2">
        <w:rPr>
          <w:sz w:val="24"/>
          <w:szCs w:val="24"/>
        </w:rPr>
        <w:t xml:space="preserve"> (paragraph 1.1). It then states further: “</w:t>
      </w:r>
      <w:r w:rsidR="004727C4" w:rsidRPr="00A076D2">
        <w:rPr>
          <w:i/>
          <w:sz w:val="24"/>
          <w:szCs w:val="24"/>
        </w:rPr>
        <w:t>as the stages of an assessment progress, data must be refined to become more specific and accurate. The effort applied at each step should be proportionate to the funds involved, outcomes at stake, and the time available. Accordingly, in the early steps of identifying and appraising options, summary data only is normally required. Later on, before significant funds are committed, the confidence required must increase</w:t>
      </w:r>
      <w:r w:rsidR="004727C4" w:rsidRPr="00A076D2">
        <w:rPr>
          <w:sz w:val="24"/>
          <w:szCs w:val="24"/>
        </w:rPr>
        <w:t>” (paragraph 2.5).</w:t>
      </w:r>
    </w:p>
    <w:p w:rsidR="009E7FF6" w:rsidRPr="000C6115" w:rsidRDefault="009E7FF6" w:rsidP="009E7FF6">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contextualSpacing/>
        <w:rPr>
          <w:rFonts w:cstheme="minorHAnsi"/>
          <w:sz w:val="24"/>
          <w:szCs w:val="24"/>
        </w:rPr>
      </w:pPr>
      <w:r w:rsidRPr="000C6115">
        <w:rPr>
          <w:rFonts w:cstheme="minorHAnsi"/>
          <w:b/>
          <w:sz w:val="24"/>
          <w:szCs w:val="24"/>
        </w:rPr>
        <w:t xml:space="preserve">Testing Kits and services (revocation) regulations 2014 (RPC13-FT-DH-1829-HIV): </w:t>
      </w:r>
      <w:r w:rsidRPr="000C6115">
        <w:rPr>
          <w:rFonts w:cstheme="minorHAnsi"/>
          <w:sz w:val="24"/>
          <w:szCs w:val="24"/>
        </w:rPr>
        <w:t>This policy revoked the ban on the sale of HIV home-testing kits, effectively opening up the market for the</w:t>
      </w:r>
      <w:r>
        <w:rPr>
          <w:rFonts w:cstheme="minorHAnsi"/>
          <w:sz w:val="24"/>
          <w:szCs w:val="24"/>
        </w:rPr>
        <w:t>ir</w:t>
      </w:r>
      <w:r w:rsidRPr="000C6115">
        <w:rPr>
          <w:rFonts w:cstheme="minorHAnsi"/>
          <w:sz w:val="24"/>
          <w:szCs w:val="24"/>
        </w:rPr>
        <w:t xml:space="preserve"> sale.</w:t>
      </w:r>
      <w:r w:rsidR="005C313A">
        <w:rPr>
          <w:rFonts w:cstheme="minorHAnsi"/>
          <w:sz w:val="24"/>
          <w:szCs w:val="24"/>
        </w:rPr>
        <w:t xml:space="preserve"> </w:t>
      </w:r>
      <w:r w:rsidR="0059790A">
        <w:rPr>
          <w:rFonts w:cstheme="minorHAnsi"/>
          <w:sz w:val="24"/>
          <w:szCs w:val="24"/>
        </w:rPr>
        <w:t xml:space="preserve">This was a </w:t>
      </w:r>
      <w:r w:rsidR="004727C4">
        <w:rPr>
          <w:rFonts w:cstheme="minorHAnsi"/>
          <w:sz w:val="24"/>
          <w:szCs w:val="24"/>
        </w:rPr>
        <w:t>substantial</w:t>
      </w:r>
      <w:r w:rsidR="0059790A">
        <w:rPr>
          <w:rFonts w:cstheme="minorHAnsi"/>
          <w:sz w:val="24"/>
          <w:szCs w:val="24"/>
        </w:rPr>
        <w:t xml:space="preserve"> policy proposal. </w:t>
      </w:r>
      <w:r w:rsidR="00B26F29">
        <w:rPr>
          <w:rFonts w:cstheme="minorHAnsi"/>
          <w:sz w:val="24"/>
          <w:szCs w:val="24"/>
        </w:rPr>
        <w:t>As a result of the policy,</w:t>
      </w:r>
      <w:r w:rsidR="005C313A">
        <w:rPr>
          <w:rFonts w:cstheme="minorHAnsi"/>
          <w:sz w:val="24"/>
          <w:szCs w:val="24"/>
        </w:rPr>
        <w:t xml:space="preserve"> businesses </w:t>
      </w:r>
      <w:r w:rsidR="00B26F29">
        <w:rPr>
          <w:rFonts w:cstheme="minorHAnsi"/>
          <w:sz w:val="24"/>
          <w:szCs w:val="24"/>
        </w:rPr>
        <w:t>were able to</w:t>
      </w:r>
      <w:r w:rsidR="005C313A">
        <w:rPr>
          <w:rFonts w:cstheme="minorHAnsi"/>
          <w:sz w:val="24"/>
          <w:szCs w:val="24"/>
        </w:rPr>
        <w:t xml:space="preserve"> produce and sell HIV home-testing kits, and consumers were no longer limited to </w:t>
      </w:r>
      <w:r w:rsidR="00B26F29">
        <w:rPr>
          <w:rFonts w:cstheme="minorHAnsi"/>
          <w:sz w:val="24"/>
          <w:szCs w:val="24"/>
        </w:rPr>
        <w:t xml:space="preserve">only </w:t>
      </w:r>
      <w:r w:rsidR="005C313A">
        <w:rPr>
          <w:rFonts w:cstheme="minorHAnsi"/>
          <w:sz w:val="24"/>
          <w:szCs w:val="24"/>
        </w:rPr>
        <w:t>visiting a professional for testing.</w:t>
      </w:r>
      <w:r w:rsidR="00ED5823">
        <w:rPr>
          <w:rFonts w:cstheme="minorHAnsi"/>
          <w:sz w:val="24"/>
          <w:szCs w:val="24"/>
        </w:rPr>
        <w:t xml:space="preserve"> </w:t>
      </w:r>
      <w:r w:rsidRPr="000C6115">
        <w:rPr>
          <w:rFonts w:cstheme="minorHAnsi"/>
          <w:sz w:val="24"/>
          <w:szCs w:val="24"/>
        </w:rPr>
        <w:t xml:space="preserve">DH </w:t>
      </w:r>
      <w:r>
        <w:rPr>
          <w:rFonts w:cstheme="minorHAnsi"/>
          <w:sz w:val="24"/>
          <w:szCs w:val="24"/>
        </w:rPr>
        <w:t xml:space="preserve">initially </w:t>
      </w:r>
      <w:r w:rsidRPr="000C6115">
        <w:rPr>
          <w:rFonts w:cstheme="minorHAnsi"/>
          <w:sz w:val="24"/>
          <w:szCs w:val="24"/>
        </w:rPr>
        <w:t xml:space="preserve">received </w:t>
      </w:r>
      <w:r>
        <w:rPr>
          <w:rFonts w:cstheme="minorHAnsi"/>
          <w:sz w:val="24"/>
          <w:szCs w:val="24"/>
        </w:rPr>
        <w:t xml:space="preserve">two </w:t>
      </w:r>
      <w:r w:rsidRPr="000C6115">
        <w:rPr>
          <w:rFonts w:cstheme="minorHAnsi"/>
          <w:sz w:val="24"/>
          <w:szCs w:val="24"/>
        </w:rPr>
        <w:t>Red opinions on the basis of the lack of evidence available to underpin the estimated benefit to business</w:t>
      </w:r>
      <w:r>
        <w:rPr>
          <w:rFonts w:cstheme="minorHAnsi"/>
          <w:sz w:val="24"/>
          <w:szCs w:val="24"/>
        </w:rPr>
        <w:t>.</w:t>
      </w:r>
      <w:r w:rsidR="00DE3684">
        <w:rPr>
          <w:rFonts w:cstheme="minorHAnsi"/>
          <w:sz w:val="24"/>
          <w:szCs w:val="24"/>
        </w:rPr>
        <w:t xml:space="preserve"> </w:t>
      </w:r>
      <w:r w:rsidR="00DE3684" w:rsidRPr="00A076D2">
        <w:rPr>
          <w:rFonts w:cstheme="minorHAnsi"/>
          <w:sz w:val="24"/>
          <w:szCs w:val="24"/>
        </w:rPr>
        <w:t>The second submission calculated an EANDCB of -£7.16 million, whilst in the final IA</w:t>
      </w:r>
      <w:r w:rsidR="0059790A" w:rsidRPr="00A076D2">
        <w:rPr>
          <w:rFonts w:cstheme="minorHAnsi"/>
          <w:sz w:val="24"/>
          <w:szCs w:val="24"/>
        </w:rPr>
        <w:t xml:space="preserve"> this was reduced substantially to -£2.81 million.</w:t>
      </w:r>
      <w:r w:rsidR="0059790A">
        <w:rPr>
          <w:rFonts w:cstheme="minorHAnsi"/>
          <w:sz w:val="24"/>
          <w:szCs w:val="24"/>
        </w:rPr>
        <w:t xml:space="preserve"> </w:t>
      </w:r>
      <w:r w:rsidRPr="000C6115">
        <w:rPr>
          <w:rFonts w:cstheme="minorHAnsi"/>
          <w:sz w:val="24"/>
          <w:szCs w:val="24"/>
        </w:rPr>
        <w:t xml:space="preserve">In both submissions DH pointed to the substantial uncertainty around their estimates and the limited support for these estimates from stakeholders. Whilst the second submission provided more detailed evidence, with a combination of survey data from different sources, there were significant changes to the estimated market for the product between the first and second submissions which was not explained or justified. </w:t>
      </w:r>
      <w:r w:rsidRPr="006E2620">
        <w:rPr>
          <w:rFonts w:cstheme="minorHAnsi"/>
          <w:sz w:val="24"/>
          <w:szCs w:val="24"/>
        </w:rPr>
        <w:t xml:space="preserve">On the basis that DH did not justify why their estimates were the ‘best available’, the submission received a second Red opinion. In the </w:t>
      </w:r>
      <w:r>
        <w:rPr>
          <w:rFonts w:cstheme="minorHAnsi"/>
          <w:sz w:val="24"/>
          <w:szCs w:val="24"/>
        </w:rPr>
        <w:t>third</w:t>
      </w:r>
      <w:r w:rsidRPr="006E2620">
        <w:rPr>
          <w:rFonts w:cstheme="minorHAnsi"/>
          <w:sz w:val="24"/>
          <w:szCs w:val="24"/>
        </w:rPr>
        <w:t xml:space="preserve"> submission DH</w:t>
      </w:r>
      <w:r>
        <w:rPr>
          <w:rFonts w:cstheme="minorHAnsi"/>
          <w:sz w:val="24"/>
          <w:szCs w:val="24"/>
        </w:rPr>
        <w:t xml:space="preserve"> clarified these changes and</w:t>
      </w:r>
      <w:r w:rsidRPr="006E2620">
        <w:rPr>
          <w:rFonts w:cstheme="minorHAnsi"/>
          <w:sz w:val="24"/>
          <w:szCs w:val="24"/>
        </w:rPr>
        <w:t xml:space="preserve"> included evidence gathered via a</w:t>
      </w:r>
      <w:r w:rsidR="004C4E90">
        <w:rPr>
          <w:rFonts w:cstheme="minorHAnsi"/>
          <w:sz w:val="24"/>
          <w:szCs w:val="24"/>
        </w:rPr>
        <w:t>n online</w:t>
      </w:r>
      <w:r w:rsidRPr="006E2620">
        <w:rPr>
          <w:rFonts w:cstheme="minorHAnsi"/>
          <w:sz w:val="24"/>
          <w:szCs w:val="24"/>
        </w:rPr>
        <w:t xml:space="preserve"> survey of the UK community pharmacy sector. This evidence allowed the Department to present robust estimates of the volume of kits that may be purchased directly by consumers in UK, </w:t>
      </w:r>
      <w:r w:rsidRPr="006E2620">
        <w:rPr>
          <w:rFonts w:cstheme="minorHAnsi"/>
          <w:sz w:val="24"/>
          <w:szCs w:val="24"/>
        </w:rPr>
        <w:lastRenderedPageBreak/>
        <w:t xml:space="preserve">resulting in a Green opinion from the RPC. </w:t>
      </w:r>
      <w:r w:rsidR="004C4E90">
        <w:rPr>
          <w:rFonts w:cstheme="minorHAnsi"/>
          <w:sz w:val="24"/>
          <w:szCs w:val="24"/>
        </w:rPr>
        <w:t xml:space="preserve"> </w:t>
      </w:r>
      <w:r w:rsidR="007D3591" w:rsidRPr="00A076D2">
        <w:rPr>
          <w:rFonts w:cstheme="minorHAnsi"/>
          <w:sz w:val="24"/>
          <w:szCs w:val="24"/>
        </w:rPr>
        <w:t xml:space="preserve">The resource costs of conducting an online survey were not substantial </w:t>
      </w:r>
      <w:r w:rsidR="00C16811" w:rsidRPr="00A076D2">
        <w:rPr>
          <w:rFonts w:cstheme="minorHAnsi"/>
          <w:sz w:val="24"/>
          <w:szCs w:val="24"/>
        </w:rPr>
        <w:t>and</w:t>
      </w:r>
      <w:r w:rsidR="004727C4" w:rsidRPr="00A076D2">
        <w:rPr>
          <w:rFonts w:cstheme="minorHAnsi"/>
          <w:sz w:val="24"/>
          <w:szCs w:val="24"/>
        </w:rPr>
        <w:t xml:space="preserve"> additional evidence was</w:t>
      </w:r>
      <w:r w:rsidR="007D3591" w:rsidRPr="00A076D2">
        <w:rPr>
          <w:rFonts w:cstheme="minorHAnsi"/>
          <w:sz w:val="24"/>
          <w:szCs w:val="24"/>
        </w:rPr>
        <w:t xml:space="preserve"> appropriate given the scale of the measure</w:t>
      </w:r>
      <w:r w:rsidR="00C75D28" w:rsidRPr="00A076D2">
        <w:rPr>
          <w:rFonts w:cstheme="minorHAnsi"/>
          <w:sz w:val="24"/>
          <w:szCs w:val="24"/>
        </w:rPr>
        <w:t xml:space="preserve"> </w:t>
      </w:r>
      <w:r w:rsidR="007D3591" w:rsidRPr="00A076D2">
        <w:rPr>
          <w:rFonts w:cstheme="minorHAnsi"/>
          <w:sz w:val="24"/>
          <w:szCs w:val="24"/>
        </w:rPr>
        <w:t>and significant uncertainty surrounding previous estimates.</w:t>
      </w:r>
    </w:p>
    <w:p w:rsidR="009E7FF6" w:rsidRDefault="009E7FF6" w:rsidP="000C6115">
      <w:pPr>
        <w:rPr>
          <w:sz w:val="24"/>
          <w:szCs w:val="24"/>
        </w:rPr>
      </w:pPr>
    </w:p>
    <w:p w:rsidR="000C6115" w:rsidRPr="000C6115" w:rsidRDefault="000C6115" w:rsidP="000C6115">
      <w:pPr>
        <w:rPr>
          <w:sz w:val="24"/>
          <w:szCs w:val="24"/>
        </w:rPr>
      </w:pPr>
      <w:r w:rsidRPr="000C6115">
        <w:rPr>
          <w:sz w:val="24"/>
          <w:szCs w:val="24"/>
        </w:rPr>
        <w:t>The sections below set out the criteria</w:t>
      </w:r>
      <w:r w:rsidR="00981C5A">
        <w:rPr>
          <w:sz w:val="24"/>
          <w:szCs w:val="24"/>
        </w:rPr>
        <w:t xml:space="preserve"> that are rele</w:t>
      </w:r>
      <w:r w:rsidR="00710663">
        <w:rPr>
          <w:sz w:val="24"/>
          <w:szCs w:val="24"/>
        </w:rPr>
        <w:t xml:space="preserve">vant to help inform what might </w:t>
      </w:r>
      <w:r w:rsidRPr="000C6115">
        <w:rPr>
          <w:sz w:val="24"/>
          <w:szCs w:val="24"/>
        </w:rPr>
        <w:t xml:space="preserve">constitute </w:t>
      </w:r>
      <w:r w:rsidR="00981C5A">
        <w:rPr>
          <w:sz w:val="24"/>
          <w:szCs w:val="24"/>
        </w:rPr>
        <w:t xml:space="preserve">a </w:t>
      </w:r>
      <w:r w:rsidRPr="000C6115">
        <w:rPr>
          <w:sz w:val="24"/>
          <w:szCs w:val="24"/>
        </w:rPr>
        <w:t>proportiona</w:t>
      </w:r>
      <w:r w:rsidR="00981C5A">
        <w:rPr>
          <w:sz w:val="24"/>
          <w:szCs w:val="24"/>
        </w:rPr>
        <w:t>te level of</w:t>
      </w:r>
      <w:r w:rsidRPr="000C6115">
        <w:rPr>
          <w:sz w:val="24"/>
          <w:szCs w:val="24"/>
        </w:rPr>
        <w:t xml:space="preserve"> analysis for a policy. However</w:t>
      </w:r>
      <w:r w:rsidR="00981C5A">
        <w:rPr>
          <w:sz w:val="24"/>
          <w:szCs w:val="24"/>
        </w:rPr>
        <w:t>,</w:t>
      </w:r>
      <w:r w:rsidRPr="000C6115">
        <w:rPr>
          <w:sz w:val="24"/>
          <w:szCs w:val="24"/>
        </w:rPr>
        <w:t xml:space="preserve"> policies must be treated on a case by case basis and the SCS that signs off an IA is responsible for ensuring that the analysis it contains </w:t>
      </w:r>
      <w:r w:rsidR="006A760F">
        <w:rPr>
          <w:sz w:val="24"/>
          <w:szCs w:val="24"/>
        </w:rPr>
        <w:t>is</w:t>
      </w:r>
      <w:r w:rsidRPr="000C6115">
        <w:rPr>
          <w:sz w:val="24"/>
          <w:szCs w:val="24"/>
        </w:rPr>
        <w:t xml:space="preserve"> proportiona</w:t>
      </w:r>
      <w:r w:rsidR="006A760F">
        <w:rPr>
          <w:sz w:val="24"/>
          <w:szCs w:val="24"/>
        </w:rPr>
        <w:t>te</w:t>
      </w:r>
      <w:r w:rsidRPr="000C6115">
        <w:rPr>
          <w:sz w:val="24"/>
          <w:szCs w:val="24"/>
        </w:rPr>
        <w:t>.</w:t>
      </w:r>
    </w:p>
    <w:p w:rsidR="000C6115" w:rsidRPr="000C6115" w:rsidRDefault="000C6115" w:rsidP="000C6115">
      <w:pPr>
        <w:spacing w:line="264" w:lineRule="auto"/>
        <w:ind w:left="480"/>
        <w:contextualSpacing/>
        <w:rPr>
          <w:rFonts w:cstheme="minorHAnsi"/>
          <w:b/>
          <w:color w:val="000000" w:themeColor="text1"/>
          <w:sz w:val="24"/>
          <w:szCs w:val="24"/>
        </w:rPr>
      </w:pPr>
    </w:p>
    <w:p w:rsidR="000C6115" w:rsidRPr="009142CD" w:rsidRDefault="000C6115" w:rsidP="00A864AC">
      <w:pPr>
        <w:numPr>
          <w:ilvl w:val="2"/>
          <w:numId w:val="26"/>
        </w:numPr>
        <w:spacing w:line="264" w:lineRule="auto"/>
        <w:contextualSpacing/>
        <w:rPr>
          <w:rFonts w:cstheme="minorHAnsi"/>
          <w:b/>
          <w:color w:val="000000" w:themeColor="text1"/>
          <w:sz w:val="24"/>
          <w:szCs w:val="24"/>
        </w:rPr>
      </w:pPr>
      <w:r w:rsidRPr="009142CD">
        <w:rPr>
          <w:rFonts w:cstheme="minorHAnsi"/>
          <w:b/>
          <w:color w:val="000000" w:themeColor="text1"/>
          <w:sz w:val="24"/>
          <w:szCs w:val="24"/>
        </w:rPr>
        <w:t xml:space="preserve">How </w:t>
      </w:r>
      <w:r w:rsidR="00021F77" w:rsidRPr="009142CD">
        <w:rPr>
          <w:rFonts w:cstheme="minorHAnsi"/>
          <w:b/>
          <w:color w:val="000000" w:themeColor="text1"/>
          <w:sz w:val="24"/>
          <w:szCs w:val="24"/>
        </w:rPr>
        <w:t xml:space="preserve">a </w:t>
      </w:r>
      <w:r w:rsidRPr="009142CD">
        <w:rPr>
          <w:rFonts w:cstheme="minorHAnsi"/>
          <w:b/>
          <w:color w:val="000000" w:themeColor="text1"/>
          <w:sz w:val="24"/>
          <w:szCs w:val="24"/>
        </w:rPr>
        <w:t>policy’s impact</w:t>
      </w:r>
      <w:r w:rsidR="00FF7E42" w:rsidRPr="009142CD">
        <w:rPr>
          <w:rFonts w:cstheme="minorHAnsi"/>
          <w:b/>
          <w:color w:val="000000" w:themeColor="text1"/>
          <w:sz w:val="24"/>
          <w:szCs w:val="24"/>
        </w:rPr>
        <w:t>s</w:t>
      </w:r>
      <w:r w:rsidRPr="009142CD">
        <w:rPr>
          <w:rFonts w:cstheme="minorHAnsi"/>
          <w:b/>
          <w:color w:val="000000" w:themeColor="text1"/>
          <w:sz w:val="24"/>
          <w:szCs w:val="24"/>
        </w:rPr>
        <w:t xml:space="preserve"> </w:t>
      </w:r>
      <w:r w:rsidR="00D76058" w:rsidRPr="009142CD">
        <w:rPr>
          <w:rFonts w:cstheme="minorHAnsi"/>
          <w:b/>
          <w:color w:val="000000" w:themeColor="text1"/>
          <w:sz w:val="24"/>
          <w:szCs w:val="24"/>
        </w:rPr>
        <w:t xml:space="preserve">might </w:t>
      </w:r>
      <w:r w:rsidRPr="009142CD">
        <w:rPr>
          <w:rFonts w:cstheme="minorHAnsi"/>
          <w:b/>
          <w:color w:val="000000" w:themeColor="text1"/>
          <w:sz w:val="24"/>
          <w:szCs w:val="24"/>
        </w:rPr>
        <w:t xml:space="preserve">affect what constitutes </w:t>
      </w:r>
      <w:r w:rsidR="00D76058" w:rsidRPr="009142CD">
        <w:rPr>
          <w:rFonts w:cstheme="minorHAnsi"/>
          <w:b/>
          <w:color w:val="000000" w:themeColor="text1"/>
          <w:sz w:val="24"/>
          <w:szCs w:val="24"/>
        </w:rPr>
        <w:t xml:space="preserve">a </w:t>
      </w:r>
      <w:r w:rsidRPr="009142CD">
        <w:rPr>
          <w:rFonts w:cstheme="minorHAnsi"/>
          <w:b/>
          <w:color w:val="000000" w:themeColor="text1"/>
          <w:sz w:val="24"/>
          <w:szCs w:val="24"/>
        </w:rPr>
        <w:t>proportiona</w:t>
      </w:r>
      <w:r w:rsidR="00D76058" w:rsidRPr="009142CD">
        <w:rPr>
          <w:rFonts w:cstheme="minorHAnsi"/>
          <w:b/>
          <w:color w:val="000000" w:themeColor="text1"/>
          <w:sz w:val="24"/>
          <w:szCs w:val="24"/>
        </w:rPr>
        <w:t>te</w:t>
      </w:r>
      <w:r w:rsidRPr="009142CD">
        <w:rPr>
          <w:rFonts w:cstheme="minorHAnsi"/>
          <w:b/>
          <w:color w:val="000000" w:themeColor="text1"/>
          <w:sz w:val="24"/>
          <w:szCs w:val="24"/>
        </w:rPr>
        <w:t xml:space="preserve"> </w:t>
      </w:r>
      <w:r w:rsidR="00D76058" w:rsidRPr="009142CD">
        <w:rPr>
          <w:rFonts w:cstheme="minorHAnsi"/>
          <w:b/>
          <w:color w:val="000000" w:themeColor="text1"/>
          <w:sz w:val="24"/>
          <w:szCs w:val="24"/>
        </w:rPr>
        <w:t xml:space="preserve">level of </w:t>
      </w:r>
      <w:r w:rsidRPr="009142CD">
        <w:rPr>
          <w:rFonts w:cstheme="minorHAnsi"/>
          <w:b/>
          <w:color w:val="000000" w:themeColor="text1"/>
          <w:sz w:val="24"/>
          <w:szCs w:val="24"/>
        </w:rPr>
        <w:t xml:space="preserve">analysis </w:t>
      </w:r>
    </w:p>
    <w:p w:rsidR="000C6115" w:rsidRPr="000C6115" w:rsidRDefault="000C6115" w:rsidP="000C6115">
      <w:pPr>
        <w:spacing w:line="264" w:lineRule="auto"/>
        <w:ind w:left="720"/>
        <w:contextualSpacing/>
        <w:rPr>
          <w:rFonts w:cstheme="minorHAnsi"/>
          <w:b/>
          <w:color w:val="000000" w:themeColor="text1"/>
          <w:sz w:val="24"/>
          <w:szCs w:val="24"/>
        </w:rPr>
      </w:pPr>
    </w:p>
    <w:p w:rsidR="008512BB" w:rsidRDefault="000C6115" w:rsidP="000C6115">
      <w:pPr>
        <w:rPr>
          <w:sz w:val="24"/>
          <w:szCs w:val="24"/>
        </w:rPr>
      </w:pPr>
      <w:r w:rsidRPr="000C6115">
        <w:rPr>
          <w:sz w:val="24"/>
          <w:szCs w:val="24"/>
        </w:rPr>
        <w:t xml:space="preserve">The BRFM (2.2.3) </w:t>
      </w:r>
      <w:r w:rsidR="00341739">
        <w:rPr>
          <w:sz w:val="24"/>
          <w:szCs w:val="24"/>
        </w:rPr>
        <w:t>lists</w:t>
      </w:r>
      <w:r w:rsidRPr="000C6115">
        <w:rPr>
          <w:sz w:val="24"/>
          <w:szCs w:val="24"/>
        </w:rPr>
        <w:t xml:space="preserve"> key factors affect</w:t>
      </w:r>
      <w:r w:rsidR="00341739">
        <w:rPr>
          <w:sz w:val="24"/>
          <w:szCs w:val="24"/>
        </w:rPr>
        <w:t>ing</w:t>
      </w:r>
      <w:r w:rsidRPr="000C6115">
        <w:rPr>
          <w:sz w:val="24"/>
          <w:szCs w:val="24"/>
        </w:rPr>
        <w:t xml:space="preserve"> the level of analysis required, includ</w:t>
      </w:r>
      <w:r w:rsidR="00341739">
        <w:rPr>
          <w:sz w:val="24"/>
          <w:szCs w:val="24"/>
        </w:rPr>
        <w:t>ing</w:t>
      </w:r>
      <w:r w:rsidR="00351ADE" w:rsidRPr="00351ADE">
        <w:rPr>
          <w:sz w:val="24"/>
          <w:szCs w:val="24"/>
        </w:rPr>
        <w:t xml:space="preserve"> </w:t>
      </w:r>
      <w:r w:rsidR="00351ADE">
        <w:rPr>
          <w:sz w:val="24"/>
          <w:szCs w:val="24"/>
        </w:rPr>
        <w:t>those that relate to the policy’s expected impact</w:t>
      </w:r>
      <w:r w:rsidRPr="000C6115">
        <w:rPr>
          <w:sz w:val="24"/>
          <w:szCs w:val="24"/>
        </w:rPr>
        <w:t xml:space="preserve">: </w:t>
      </w:r>
    </w:p>
    <w:p w:rsidR="008512BB" w:rsidRPr="00B44982" w:rsidRDefault="009E5966" w:rsidP="00A864AC">
      <w:pPr>
        <w:pStyle w:val="ListParagraph"/>
        <w:numPr>
          <w:ilvl w:val="0"/>
          <w:numId w:val="27"/>
        </w:numPr>
        <w:rPr>
          <w:color w:val="E36C0A" w:themeColor="accent6" w:themeShade="BF"/>
          <w:sz w:val="24"/>
          <w:szCs w:val="24"/>
        </w:rPr>
      </w:pPr>
      <w:r w:rsidRPr="00B44982">
        <w:rPr>
          <w:i/>
          <w:color w:val="E36C0A" w:themeColor="accent6" w:themeShade="BF"/>
          <w:sz w:val="24"/>
          <w:szCs w:val="24"/>
        </w:rPr>
        <w:t>t</w:t>
      </w:r>
      <w:r w:rsidR="000C6115" w:rsidRPr="00B44982">
        <w:rPr>
          <w:i/>
          <w:color w:val="E36C0A" w:themeColor="accent6" w:themeShade="BF"/>
          <w:sz w:val="24"/>
          <w:szCs w:val="24"/>
        </w:rPr>
        <w:t xml:space="preserve">he </w:t>
      </w:r>
      <w:r w:rsidR="000C6115" w:rsidRPr="00B44982">
        <w:rPr>
          <w:b/>
          <w:i/>
          <w:color w:val="E36C0A" w:themeColor="accent6" w:themeShade="BF"/>
          <w:sz w:val="24"/>
          <w:szCs w:val="24"/>
        </w:rPr>
        <w:t>scale, duration and distribution of expected impact</w:t>
      </w:r>
      <w:r w:rsidR="00B44982">
        <w:rPr>
          <w:i/>
          <w:color w:val="E36C0A" w:themeColor="accent6" w:themeShade="BF"/>
          <w:sz w:val="24"/>
          <w:szCs w:val="24"/>
        </w:rPr>
        <w:t>;</w:t>
      </w:r>
      <w:r w:rsidR="000C6115" w:rsidRPr="00B44982">
        <w:rPr>
          <w:color w:val="E36C0A" w:themeColor="accent6" w:themeShade="BF"/>
          <w:sz w:val="24"/>
          <w:szCs w:val="24"/>
        </w:rPr>
        <w:t xml:space="preserve"> and </w:t>
      </w:r>
    </w:p>
    <w:p w:rsidR="000C6115" w:rsidRPr="00B44982" w:rsidRDefault="009E5966" w:rsidP="00A864AC">
      <w:pPr>
        <w:pStyle w:val="ListParagraph"/>
        <w:numPr>
          <w:ilvl w:val="0"/>
          <w:numId w:val="27"/>
        </w:numPr>
        <w:rPr>
          <w:color w:val="E36C0A" w:themeColor="accent6" w:themeShade="BF"/>
          <w:sz w:val="24"/>
          <w:szCs w:val="24"/>
        </w:rPr>
      </w:pPr>
      <w:proofErr w:type="gramStart"/>
      <w:r w:rsidRPr="00B44982">
        <w:rPr>
          <w:i/>
          <w:color w:val="E36C0A" w:themeColor="accent6" w:themeShade="BF"/>
          <w:sz w:val="24"/>
          <w:szCs w:val="24"/>
        </w:rPr>
        <w:t>t</w:t>
      </w:r>
      <w:r w:rsidR="000C6115" w:rsidRPr="00B44982">
        <w:rPr>
          <w:i/>
          <w:color w:val="E36C0A" w:themeColor="accent6" w:themeShade="BF"/>
          <w:sz w:val="24"/>
          <w:szCs w:val="24"/>
        </w:rPr>
        <w:t>he</w:t>
      </w:r>
      <w:proofErr w:type="gramEnd"/>
      <w:r w:rsidR="000C6115" w:rsidRPr="00B44982">
        <w:rPr>
          <w:i/>
          <w:color w:val="E36C0A" w:themeColor="accent6" w:themeShade="BF"/>
          <w:sz w:val="24"/>
          <w:szCs w:val="24"/>
        </w:rPr>
        <w:t xml:space="preserve"> </w:t>
      </w:r>
      <w:r w:rsidR="000C6115" w:rsidRPr="00B44982">
        <w:rPr>
          <w:b/>
          <w:i/>
          <w:color w:val="E36C0A" w:themeColor="accent6" w:themeShade="BF"/>
          <w:sz w:val="24"/>
          <w:szCs w:val="24"/>
        </w:rPr>
        <w:t>level of uncertainty</w:t>
      </w:r>
      <w:r w:rsidR="000C6115" w:rsidRPr="00B44982">
        <w:rPr>
          <w:i/>
          <w:color w:val="E36C0A" w:themeColor="accent6" w:themeShade="BF"/>
          <w:sz w:val="24"/>
          <w:szCs w:val="24"/>
        </w:rPr>
        <w:t xml:space="preserve"> around likely impacts</w:t>
      </w:r>
      <w:r w:rsidR="000C6115" w:rsidRPr="00B44982">
        <w:rPr>
          <w:color w:val="E36C0A" w:themeColor="accent6" w:themeShade="BF"/>
          <w:sz w:val="24"/>
          <w:szCs w:val="24"/>
        </w:rPr>
        <w:t>.</w:t>
      </w:r>
    </w:p>
    <w:p w:rsidR="000C6115" w:rsidRPr="000C6115" w:rsidRDefault="000C6115" w:rsidP="000C6115">
      <w:pPr>
        <w:rPr>
          <w:sz w:val="24"/>
          <w:szCs w:val="24"/>
        </w:rPr>
      </w:pPr>
      <w:r w:rsidRPr="009142CD">
        <w:rPr>
          <w:sz w:val="24"/>
          <w:szCs w:val="24"/>
        </w:rPr>
        <w:t>Department</w:t>
      </w:r>
      <w:r w:rsidR="00525420" w:rsidRPr="009142CD">
        <w:rPr>
          <w:sz w:val="24"/>
          <w:szCs w:val="24"/>
        </w:rPr>
        <w:t>s</w:t>
      </w:r>
      <w:r w:rsidRPr="009142CD">
        <w:rPr>
          <w:sz w:val="24"/>
          <w:szCs w:val="24"/>
        </w:rPr>
        <w:t xml:space="preserve"> should use </w:t>
      </w:r>
      <w:r w:rsidRPr="009142CD">
        <w:rPr>
          <w:b/>
          <w:sz w:val="24"/>
          <w:szCs w:val="24"/>
        </w:rPr>
        <w:t>the scale of a policy’s likely impacts</w:t>
      </w:r>
      <w:r w:rsidRPr="009142CD">
        <w:rPr>
          <w:sz w:val="24"/>
          <w:szCs w:val="24"/>
        </w:rPr>
        <w:t xml:space="preserve"> as the most important factor in deciding what level of analysis is required. This</w:t>
      </w:r>
      <w:r w:rsidRPr="000C6115">
        <w:rPr>
          <w:sz w:val="24"/>
          <w:szCs w:val="24"/>
        </w:rPr>
        <w:t xml:space="preserve"> could be measured by the expected Net Present Value or EAN</w:t>
      </w:r>
      <w:r w:rsidR="003C3A32">
        <w:rPr>
          <w:sz w:val="24"/>
          <w:szCs w:val="24"/>
        </w:rPr>
        <w:t>D</w:t>
      </w:r>
      <w:r w:rsidRPr="000C6115">
        <w:rPr>
          <w:sz w:val="24"/>
          <w:szCs w:val="24"/>
        </w:rPr>
        <w:t xml:space="preserve">CB, which capture elements of the scale and the duration of a policy. Policies that have large, widespread and ongoing effects </w:t>
      </w:r>
      <w:r w:rsidR="007E5510">
        <w:rPr>
          <w:sz w:val="24"/>
          <w:szCs w:val="24"/>
        </w:rPr>
        <w:t>will usually require</w:t>
      </w:r>
      <w:r w:rsidRPr="000C6115">
        <w:rPr>
          <w:sz w:val="24"/>
          <w:szCs w:val="24"/>
        </w:rPr>
        <w:t xml:space="preserve"> a greater depth of analysis than </w:t>
      </w:r>
      <w:r w:rsidR="00021F77">
        <w:rPr>
          <w:sz w:val="24"/>
          <w:szCs w:val="24"/>
        </w:rPr>
        <w:t xml:space="preserve">ones with </w:t>
      </w:r>
      <w:r w:rsidRPr="000C6115">
        <w:rPr>
          <w:sz w:val="24"/>
          <w:szCs w:val="24"/>
        </w:rPr>
        <w:t xml:space="preserve">minor, temporary </w:t>
      </w:r>
      <w:r w:rsidR="00021F77">
        <w:rPr>
          <w:sz w:val="24"/>
          <w:szCs w:val="24"/>
        </w:rPr>
        <w:t>effects</w:t>
      </w:r>
      <w:r w:rsidRPr="000C6115">
        <w:rPr>
          <w:sz w:val="24"/>
          <w:szCs w:val="24"/>
        </w:rPr>
        <w:t xml:space="preserve">. </w:t>
      </w:r>
    </w:p>
    <w:p w:rsidR="000C6115" w:rsidRPr="000C6115" w:rsidRDefault="000C6115" w:rsidP="000C6115">
      <w:pPr>
        <w:rPr>
          <w:sz w:val="24"/>
          <w:szCs w:val="24"/>
        </w:rPr>
      </w:pPr>
      <w:r w:rsidRPr="000C6115">
        <w:rPr>
          <w:sz w:val="24"/>
          <w:szCs w:val="24"/>
        </w:rPr>
        <w:t xml:space="preserve">Policies that have large costs and benefits </w:t>
      </w:r>
      <w:r w:rsidR="00021F77">
        <w:rPr>
          <w:sz w:val="24"/>
          <w:szCs w:val="24"/>
        </w:rPr>
        <w:t>which offset one another to produce</w:t>
      </w:r>
      <w:r w:rsidR="00021F77" w:rsidRPr="000C6115">
        <w:rPr>
          <w:sz w:val="24"/>
          <w:szCs w:val="24"/>
        </w:rPr>
        <w:t xml:space="preserve"> </w:t>
      </w:r>
      <w:r w:rsidRPr="000C6115">
        <w:rPr>
          <w:sz w:val="24"/>
          <w:szCs w:val="24"/>
        </w:rPr>
        <w:t>relatively small net effects, or those that impose large costs or benefits in the future but are heavily discounted, should be treated as being large scale. For policies in which the NPV is not available</w:t>
      </w:r>
      <w:r w:rsidR="00341739">
        <w:rPr>
          <w:sz w:val="24"/>
          <w:szCs w:val="24"/>
        </w:rPr>
        <w:t>,</w:t>
      </w:r>
      <w:r w:rsidRPr="000C6115">
        <w:rPr>
          <w:sz w:val="24"/>
          <w:szCs w:val="24"/>
        </w:rPr>
        <w:t xml:space="preserve"> the number of individuals, groups or businesses affected and the size of any impacts it will have</w:t>
      </w:r>
      <w:r w:rsidR="006458ED">
        <w:rPr>
          <w:sz w:val="24"/>
          <w:szCs w:val="24"/>
        </w:rPr>
        <w:t>,</w:t>
      </w:r>
      <w:r w:rsidRPr="000C6115">
        <w:rPr>
          <w:sz w:val="24"/>
          <w:szCs w:val="24"/>
        </w:rPr>
        <w:t xml:space="preserve"> can be used to gauge the scale of the effects. Even for cases that have a relatively small expected NPV greater levels of analysis are expected for policies that </w:t>
      </w:r>
      <w:r w:rsidR="00341739">
        <w:rPr>
          <w:sz w:val="24"/>
          <w:szCs w:val="24"/>
        </w:rPr>
        <w:t>have</w:t>
      </w:r>
      <w:r w:rsidRPr="000C6115">
        <w:rPr>
          <w:sz w:val="24"/>
          <w:szCs w:val="24"/>
        </w:rPr>
        <w:t xml:space="preserve"> disproportionate </w:t>
      </w:r>
      <w:r w:rsidR="00341739">
        <w:rPr>
          <w:sz w:val="24"/>
          <w:szCs w:val="24"/>
        </w:rPr>
        <w:t>impacts</w:t>
      </w:r>
      <w:r w:rsidRPr="000C6115">
        <w:rPr>
          <w:sz w:val="24"/>
          <w:szCs w:val="24"/>
        </w:rPr>
        <w:t xml:space="preserve"> on specific group</w:t>
      </w:r>
      <w:r w:rsidR="00341739">
        <w:rPr>
          <w:sz w:val="24"/>
          <w:szCs w:val="24"/>
        </w:rPr>
        <w:t>s</w:t>
      </w:r>
      <w:r w:rsidRPr="000C6115">
        <w:rPr>
          <w:sz w:val="24"/>
          <w:szCs w:val="24"/>
        </w:rPr>
        <w:t xml:space="preserve">. </w:t>
      </w:r>
    </w:p>
    <w:p w:rsidR="000C6115" w:rsidRPr="000C6115" w:rsidRDefault="000C6115" w:rsidP="000C6115">
      <w:pPr>
        <w:rPr>
          <w:sz w:val="24"/>
          <w:szCs w:val="24"/>
        </w:rPr>
      </w:pPr>
      <w:r w:rsidRPr="000C6115">
        <w:rPr>
          <w:sz w:val="24"/>
          <w:szCs w:val="24"/>
        </w:rPr>
        <w:t xml:space="preserve">This criterion can also be applied to deciding on the appropriate level of analysis required for individual costs and benefits. For instance, even when appraising a policy that has very large impacts it may not be a proportionate use of resources to monetise one very small benefit. The materiality of the change should also be taken into account. For instance, ignoring a tiny cost may make very little difference to the NPV of a large measure but could </w:t>
      </w:r>
      <w:r w:rsidRPr="00A076D2">
        <w:rPr>
          <w:sz w:val="24"/>
          <w:szCs w:val="24"/>
        </w:rPr>
        <w:t xml:space="preserve">change the classification of a small </w:t>
      </w:r>
      <w:r w:rsidR="003C3A32" w:rsidRPr="00A076D2">
        <w:rPr>
          <w:sz w:val="24"/>
          <w:szCs w:val="24"/>
        </w:rPr>
        <w:t>net beneficial measure into a net costly measure.</w:t>
      </w:r>
      <w:r w:rsidR="003C3A32">
        <w:rPr>
          <w:sz w:val="24"/>
          <w:szCs w:val="24"/>
        </w:rPr>
        <w:t xml:space="preserve"> </w:t>
      </w:r>
    </w:p>
    <w:p w:rsidR="000C6115" w:rsidRDefault="00D5534F" w:rsidP="000C6115">
      <w:pPr>
        <w:rPr>
          <w:sz w:val="24"/>
          <w:szCs w:val="24"/>
        </w:rPr>
      </w:pPr>
      <w:r w:rsidRPr="00D5534F">
        <w:rPr>
          <w:noProof/>
          <w:lang w:eastAsia="en-GB"/>
        </w:rPr>
        <mc:AlternateContent>
          <mc:Choice Requires="wps">
            <w:drawing>
              <wp:anchor distT="0" distB="0" distL="114300" distR="114300" simplePos="0" relativeHeight="251692032" behindDoc="0" locked="0" layoutInCell="1" allowOverlap="1" wp14:anchorId="20E4558D" wp14:editId="72B2D2FE">
                <wp:simplePos x="0" y="0"/>
                <wp:positionH relativeFrom="column">
                  <wp:posOffset>5835015</wp:posOffset>
                </wp:positionH>
                <wp:positionV relativeFrom="paragraph">
                  <wp:posOffset>349250</wp:posOffset>
                </wp:positionV>
                <wp:extent cx="683895" cy="44831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83895" cy="448310"/>
                        </a:xfrm>
                        <a:prstGeom prst="rect">
                          <a:avLst/>
                        </a:prstGeom>
                        <a:noFill/>
                        <a:ln w="6350">
                          <a:noFill/>
                        </a:ln>
                        <a:effectLst/>
                      </wps:spPr>
                      <wps:txbx>
                        <w:txbxContent>
                          <w:p w:rsidR="00D11808" w:rsidRPr="00F3504F" w:rsidRDefault="00D11808" w:rsidP="00D5534F">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59.45pt;margin-top:27.5pt;width:53.85pt;height:3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ChMgIAAGAEAAAOAAAAZHJzL2Uyb0RvYy54bWysVF1v2jAUfZ+0/2D5fYTPjiJCxVoxTara&#10;SlD12TgOREp8PduQsF+/YydQ1O1p2ou5vvfmfpxzzPyuqUp2VNYVpFM+6PU5U1pSVuhdyl83qy9T&#10;zpwXOhMlaZXyk3L8bvH507w2MzWkPZWZsgxFtJvVJuV7780sSZzcq0q4HhmlEczJVsLjandJZkWN&#10;6lWZDPv9m6QmmxlLUjkH70Mb5ItYP8+V9M957pRnZcoxm4+njec2nMliLmY7K8y+kN0Y4h+mqESh&#10;0fRS6kF4wQ62+KNUVUhLjnLfk1QllOeFVHEHbDPof9hmvRdGxV0AjjMXmNz/Kyufji+WFRm4G3Cm&#10;RQWONqrx7Bs1DC7gUxs3Q9raINE38CP37HdwhrWb3FbhFwsxxIH06YJuqCbhvJmOprcTziRC4/F0&#10;NIjoJ+8fG+v8d0UVC0bKLciLmIrjo/MYBKnnlNBL06ooy0hgqVmNBqNJP35wieCLUodcFaXQlQkL&#10;tYMHyzfbpttyS9kJS1pqZeKMXBUY5VE4/yIsdIG9oHX/jCMvCS2pszjbk/31N3/IB12IclZDZyl3&#10;Pw/CKs7KHxpE3g7G4yDMeBlPvg5xsdeR7XVEH6p7gpTBFaaLZsj35dnMLVVveBLL0BUhoSV6p9yf&#10;zXvfqh9PSqrlMiZBikb4R702MpQOgAWgN82bsKZjw4PGJzorUsw+kNLmtrQsD57yIjIWAG5RBX3h&#10;AhlHIrsnF97J9T1mvf8xLH4DAAD//wMAUEsDBBQABgAIAAAAIQC1uN8S4QAAAAsBAAAPAAAAZHJz&#10;L2Rvd25yZXYueG1sTI/BSsNAEIbvgu+wjODNbhpISGM2pQSKIHpo7cXbJNkmwd3ZmN220ad3erK3&#10;Gebjn+8v1rM14qwnPzhSsFxEIDQ1rh2oU3D42D5lIHxAatE40gp+tId1eX9XYN66C+30eR86wSHk&#10;c1TQhzDmUvqm1xb9wo2a+HZ0k8XA69TJdsILh1sj4yhKpcWB+EOPo6563XztT1bBa7V9x10d2+zX&#10;VC9vx834ffhMlHp8mDfPIIKewz8MV31Wh5Kdanei1gujYLXMVowqSBLudAWiOE1B1DzFSQqyLORt&#10;h/IPAAD//wMAUEsBAi0AFAAGAAgAAAAhALaDOJL+AAAA4QEAABMAAAAAAAAAAAAAAAAAAAAAAFtD&#10;b250ZW50X1R5cGVzXS54bWxQSwECLQAUAAYACAAAACEAOP0h/9YAAACUAQAACwAAAAAAAAAAAAAA&#10;AAAvAQAAX3JlbHMvLnJlbHNQSwECLQAUAAYACAAAACEA0jwgoTICAABgBAAADgAAAAAAAAAAAAAA&#10;AAAuAgAAZHJzL2Uyb0RvYy54bWxQSwECLQAUAAYACAAAACEAtbjfEuEAAAALAQAADwAAAAAAAAAA&#10;AAAAAACMBAAAZHJzL2Rvd25yZXYueG1sUEsFBgAAAAAEAAQA8wAAAJoFAAAAAA==&#10;" filled="f" stroked="f" strokeweight=".5pt">
                <v:textbox>
                  <w:txbxContent>
                    <w:p w:rsidR="00D11808" w:rsidRPr="00F3504F" w:rsidRDefault="00D11808" w:rsidP="00D5534F">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v:textbox>
                <w10:wrap type="square"/>
              </v:shape>
            </w:pict>
          </mc:Fallback>
        </mc:AlternateContent>
      </w:r>
      <w:r w:rsidR="007E5510" w:rsidRPr="00633A48">
        <w:rPr>
          <w:sz w:val="24"/>
          <w:szCs w:val="24"/>
        </w:rPr>
        <w:t xml:space="preserve">If there is a significant </w:t>
      </w:r>
      <w:r w:rsidR="007E5510" w:rsidRPr="007E5510">
        <w:rPr>
          <w:b/>
          <w:sz w:val="24"/>
          <w:szCs w:val="24"/>
        </w:rPr>
        <w:t>degree of uncertainty</w:t>
      </w:r>
      <w:r w:rsidR="007E5510" w:rsidRPr="00633A48">
        <w:rPr>
          <w:sz w:val="24"/>
          <w:szCs w:val="24"/>
        </w:rPr>
        <w:t xml:space="preserve"> around the estimated impacts</w:t>
      </w:r>
      <w:r w:rsidR="007E5510">
        <w:rPr>
          <w:sz w:val="24"/>
          <w:szCs w:val="24"/>
        </w:rPr>
        <w:t>,</w:t>
      </w:r>
      <w:r w:rsidR="007E5510" w:rsidRPr="00633A48">
        <w:rPr>
          <w:sz w:val="24"/>
          <w:szCs w:val="24"/>
        </w:rPr>
        <w:t xml:space="preserve"> or they are based on untested assumptions</w:t>
      </w:r>
      <w:r w:rsidR="007E5510">
        <w:rPr>
          <w:sz w:val="24"/>
          <w:szCs w:val="24"/>
        </w:rPr>
        <w:t>,</w:t>
      </w:r>
      <w:r w:rsidR="007E5510" w:rsidRPr="00633A48">
        <w:rPr>
          <w:sz w:val="24"/>
          <w:szCs w:val="24"/>
        </w:rPr>
        <w:t xml:space="preserve"> then </w:t>
      </w:r>
      <w:r w:rsidR="00021F77">
        <w:rPr>
          <w:sz w:val="24"/>
          <w:szCs w:val="24"/>
        </w:rPr>
        <w:t>an</w:t>
      </w:r>
      <w:r w:rsidR="00021F77" w:rsidRPr="00633A48">
        <w:rPr>
          <w:sz w:val="24"/>
          <w:szCs w:val="24"/>
        </w:rPr>
        <w:t xml:space="preserve"> </w:t>
      </w:r>
      <w:r w:rsidR="007E5510" w:rsidRPr="00633A48">
        <w:rPr>
          <w:sz w:val="24"/>
          <w:szCs w:val="24"/>
        </w:rPr>
        <w:t xml:space="preserve">analysis </w:t>
      </w:r>
      <w:r w:rsidR="00021F77">
        <w:rPr>
          <w:sz w:val="24"/>
          <w:szCs w:val="24"/>
        </w:rPr>
        <w:t xml:space="preserve">of the effects of uncertainty </w:t>
      </w:r>
      <w:r w:rsidR="007E5510" w:rsidRPr="00633A48">
        <w:rPr>
          <w:sz w:val="24"/>
          <w:szCs w:val="24"/>
        </w:rPr>
        <w:t xml:space="preserve">should be conducted. This should focus on calculating upper and lower estimates </w:t>
      </w:r>
      <w:r w:rsidR="00CE0E4E">
        <w:rPr>
          <w:sz w:val="24"/>
          <w:szCs w:val="24"/>
        </w:rPr>
        <w:t>and/</w:t>
      </w:r>
      <w:r w:rsidR="007E5510" w:rsidRPr="00633A48">
        <w:rPr>
          <w:sz w:val="24"/>
          <w:szCs w:val="24"/>
        </w:rPr>
        <w:t>or mak</w:t>
      </w:r>
      <w:r w:rsidR="00CE0E4E">
        <w:rPr>
          <w:sz w:val="24"/>
          <w:szCs w:val="24"/>
        </w:rPr>
        <w:t>ing</w:t>
      </w:r>
      <w:r w:rsidR="007E5510" w:rsidRPr="00633A48">
        <w:rPr>
          <w:sz w:val="24"/>
          <w:szCs w:val="24"/>
        </w:rPr>
        <w:t xml:space="preserve"> use </w:t>
      </w:r>
      <w:r w:rsidR="007E5510" w:rsidRPr="00633A48">
        <w:rPr>
          <w:sz w:val="24"/>
          <w:szCs w:val="24"/>
        </w:rPr>
        <w:lastRenderedPageBreak/>
        <w:t xml:space="preserve">of </w:t>
      </w:r>
      <w:r w:rsidR="007E5510" w:rsidRPr="007E5510">
        <w:rPr>
          <w:b/>
          <w:sz w:val="24"/>
          <w:szCs w:val="24"/>
        </w:rPr>
        <w:t>sensitivity analysis</w:t>
      </w:r>
      <w:r w:rsidR="007E5510" w:rsidRPr="00633A48">
        <w:rPr>
          <w:sz w:val="24"/>
          <w:szCs w:val="24"/>
        </w:rPr>
        <w:t xml:space="preserve">. </w:t>
      </w:r>
      <w:r w:rsidR="00FF7E42" w:rsidRPr="00FF7E42">
        <w:rPr>
          <w:sz w:val="24"/>
          <w:szCs w:val="24"/>
        </w:rPr>
        <w:t xml:space="preserve"> </w:t>
      </w:r>
      <w:r w:rsidR="00FF7E42">
        <w:rPr>
          <w:sz w:val="24"/>
          <w:szCs w:val="24"/>
        </w:rPr>
        <w:t>This analysis needs to be particularly robust when producing figures, such as EAN</w:t>
      </w:r>
      <w:r w:rsidR="003C3A32">
        <w:rPr>
          <w:sz w:val="24"/>
          <w:szCs w:val="24"/>
        </w:rPr>
        <w:t>D</w:t>
      </w:r>
      <w:r w:rsidR="00FF7E42">
        <w:rPr>
          <w:sz w:val="24"/>
          <w:szCs w:val="24"/>
        </w:rPr>
        <w:t>CBs, for validation.</w:t>
      </w:r>
    </w:p>
    <w:p w:rsidR="00EF6E21" w:rsidRPr="009142CD" w:rsidRDefault="00EF6E21" w:rsidP="000C6115">
      <w:pPr>
        <w:rPr>
          <w:b/>
          <w:sz w:val="24"/>
          <w:szCs w:val="24"/>
          <w:u w:val="single"/>
        </w:rPr>
      </w:pPr>
      <w:proofErr w:type="gramStart"/>
      <w:r w:rsidRPr="009142CD">
        <w:rPr>
          <w:sz w:val="24"/>
          <w:szCs w:val="24"/>
          <w:u w:val="single"/>
        </w:rPr>
        <w:t>Example where a simpler assessment would have been proportionate.</w:t>
      </w:r>
      <w:proofErr w:type="gramEnd"/>
    </w:p>
    <w:p w:rsidR="000C6115" w:rsidRPr="006A70D8" w:rsidRDefault="000C6115" w:rsidP="000C611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contextualSpacing/>
        <w:rPr>
          <w:sz w:val="24"/>
          <w:szCs w:val="24"/>
        </w:rPr>
      </w:pPr>
      <w:r w:rsidRPr="000C6115">
        <w:rPr>
          <w:b/>
          <w:sz w:val="24"/>
          <w:szCs w:val="24"/>
        </w:rPr>
        <w:t>Proposal for new regulations on health and safety in mines (RPC14-FT-HSE-2206):</w:t>
      </w:r>
      <w:r w:rsidRPr="000C6115">
        <w:rPr>
          <w:sz w:val="24"/>
          <w:szCs w:val="24"/>
        </w:rPr>
        <w:t xml:space="preserve"> This policy implemented an independent review’s advice to combine 47 pieces of health and safety legislation regarding mines into a single set of regulations. This would result in slightly reduced administrative burdens but would make little substantive difference to the operations of mines. The HSE estimate</w:t>
      </w:r>
      <w:r w:rsidR="00CE0E4E">
        <w:rPr>
          <w:sz w:val="24"/>
          <w:szCs w:val="24"/>
        </w:rPr>
        <w:t>d</w:t>
      </w:r>
      <w:r w:rsidRPr="000C6115">
        <w:rPr>
          <w:sz w:val="24"/>
          <w:szCs w:val="24"/>
        </w:rPr>
        <w:t xml:space="preserve"> one-off familiarisation costs to the industry of around £242,000. The reduced administration costs were estimated at £1.8 million in present value terms</w:t>
      </w:r>
      <w:r w:rsidR="00CE0E4E">
        <w:rPr>
          <w:sz w:val="24"/>
          <w:szCs w:val="24"/>
        </w:rPr>
        <w:t>,</w:t>
      </w:r>
      <w:r w:rsidRPr="000C6115">
        <w:rPr>
          <w:sz w:val="24"/>
          <w:szCs w:val="24"/>
        </w:rPr>
        <w:t xml:space="preserve"> and a couple of other minor benefits were identified to give an </w:t>
      </w:r>
      <w:r w:rsidR="00CE0E4E">
        <w:rPr>
          <w:sz w:val="24"/>
          <w:szCs w:val="24"/>
        </w:rPr>
        <w:t>OUT</w:t>
      </w:r>
      <w:r w:rsidRPr="000C6115">
        <w:rPr>
          <w:sz w:val="24"/>
          <w:szCs w:val="24"/>
        </w:rPr>
        <w:t xml:space="preserve"> of £2.1 million. </w:t>
      </w:r>
      <w:r w:rsidRPr="005223E3">
        <w:rPr>
          <w:sz w:val="24"/>
          <w:szCs w:val="24"/>
        </w:rPr>
        <w:t>The department presented a huge quantity of analysis, totalling over 66 pages of material and including many technical details that were not of particular relevance</w:t>
      </w:r>
      <w:r w:rsidRPr="000C6115">
        <w:rPr>
          <w:sz w:val="24"/>
          <w:szCs w:val="24"/>
        </w:rPr>
        <w:t xml:space="preserve">. </w:t>
      </w:r>
      <w:r w:rsidR="00253B6D" w:rsidRPr="004C563F">
        <w:rPr>
          <w:sz w:val="24"/>
          <w:szCs w:val="24"/>
        </w:rPr>
        <w:t>While the department received a green for the opinion</w:t>
      </w:r>
      <w:r w:rsidR="00253B6D">
        <w:rPr>
          <w:sz w:val="24"/>
          <w:szCs w:val="24"/>
        </w:rPr>
        <w:t>,</w:t>
      </w:r>
      <w:r w:rsidR="00253B6D" w:rsidRPr="004C563F">
        <w:rPr>
          <w:sz w:val="24"/>
          <w:szCs w:val="24"/>
        </w:rPr>
        <w:t xml:space="preserve"> they would also have received a green for a </w:t>
      </w:r>
      <w:r w:rsidR="00253B6D">
        <w:rPr>
          <w:sz w:val="24"/>
          <w:szCs w:val="24"/>
        </w:rPr>
        <w:t>simpler assessment that</w:t>
      </w:r>
      <w:r w:rsidR="00253B6D" w:rsidRPr="004C563F">
        <w:rPr>
          <w:sz w:val="24"/>
          <w:szCs w:val="24"/>
        </w:rPr>
        <w:t xml:space="preserve"> focused on the familiarisation and administrative costs.</w:t>
      </w:r>
    </w:p>
    <w:p w:rsidR="009142CD" w:rsidRDefault="009142CD" w:rsidP="00EF6E21">
      <w:pPr>
        <w:rPr>
          <w:sz w:val="24"/>
          <w:szCs w:val="24"/>
          <w:u w:val="single"/>
        </w:rPr>
      </w:pPr>
    </w:p>
    <w:p w:rsidR="00EF6E21" w:rsidRPr="009142CD" w:rsidRDefault="00EF6E21" w:rsidP="00EF6E21">
      <w:pPr>
        <w:rPr>
          <w:b/>
          <w:sz w:val="24"/>
          <w:szCs w:val="24"/>
          <w:u w:val="single"/>
        </w:rPr>
      </w:pPr>
      <w:r w:rsidRPr="009142CD">
        <w:rPr>
          <w:sz w:val="24"/>
          <w:szCs w:val="24"/>
          <w:u w:val="single"/>
        </w:rPr>
        <w:t>Example where the assessment provided was proportionate.</w:t>
      </w:r>
    </w:p>
    <w:p w:rsidR="00EF6E21" w:rsidRPr="005223E3" w:rsidRDefault="00EF6E21" w:rsidP="00EF6E21">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contextualSpacing/>
        <w:rPr>
          <w:b/>
          <w:sz w:val="24"/>
          <w:szCs w:val="24"/>
        </w:rPr>
      </w:pPr>
      <w:r w:rsidRPr="005223E3">
        <w:rPr>
          <w:b/>
          <w:sz w:val="24"/>
          <w:szCs w:val="24"/>
        </w:rPr>
        <w:t>Speeding up cheque payments: legislating for cheque imaging – RPC14-FT-HMT-2001(2)</w:t>
      </w:r>
    </w:p>
    <w:p w:rsidR="00EF6E21" w:rsidRPr="005223E3" w:rsidRDefault="00EF6E21" w:rsidP="00EF6E21">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contextualSpacing/>
        <w:rPr>
          <w:sz w:val="24"/>
          <w:szCs w:val="24"/>
        </w:rPr>
      </w:pPr>
      <w:r w:rsidRPr="005223E3">
        <w:rPr>
          <w:sz w:val="24"/>
          <w:szCs w:val="24"/>
        </w:rPr>
        <w:t xml:space="preserve">This policy recast and modernised existing cheques legislation to enable ‘cheque imaging’ to be introduced in the UK. Under the policy, customers with cheques could either take it to their bank branch to be scanned and processed digitally, or use their mobile banking application to create the digital image of the cheque and pay it in electronically.  The RPC opinion highlighted the robust assessment of the costs and benefits in the IA. The cost and benefit analysis is detailed yet concise. In the IA, the department breaks down the costs and benefits to business into a number of sections, under the headings of either transitional or recurring. Each section has sufficient explanation of the impact and estimates are supported with evidence. This improves the readability and clarity of the IA. The department also highlight potential issues related to assumptions made and accuracy of estimates. The cost and benefit analysis is supported by accompanying tables detailing the breakdown of a particular cost estimate year by year. Furthermore, the IA includes sections on social and environmental benefits. Both contain a good level of detail and explanation on the nature of these benefits. </w:t>
      </w:r>
    </w:p>
    <w:p w:rsidR="00EF6E21" w:rsidRPr="005223E3" w:rsidRDefault="00EF6E21" w:rsidP="00EF6E21">
      <w:pPr>
        <w:autoSpaceDE w:val="0"/>
        <w:autoSpaceDN w:val="0"/>
        <w:adjustRightInd w:val="0"/>
        <w:spacing w:after="120" w:line="240" w:lineRule="auto"/>
        <w:rPr>
          <w:rFonts w:cstheme="minorHAnsi"/>
          <w:color w:val="000000" w:themeColor="text1"/>
          <w:sz w:val="24"/>
          <w:szCs w:val="24"/>
        </w:rPr>
      </w:pPr>
    </w:p>
    <w:p w:rsidR="00FB0C05" w:rsidRPr="005223E3" w:rsidRDefault="00FB0C05" w:rsidP="00EF6E21">
      <w:pPr>
        <w:autoSpaceDE w:val="0"/>
        <w:autoSpaceDN w:val="0"/>
        <w:adjustRightInd w:val="0"/>
        <w:spacing w:after="120" w:line="240" w:lineRule="auto"/>
        <w:rPr>
          <w:rFonts w:cstheme="minorHAnsi"/>
          <w:color w:val="000000" w:themeColor="text1"/>
          <w:sz w:val="24"/>
          <w:szCs w:val="24"/>
        </w:rPr>
      </w:pPr>
      <w:r w:rsidRPr="005223E3">
        <w:rPr>
          <w:rFonts w:cstheme="minorHAnsi"/>
          <w:color w:val="000000" w:themeColor="text1"/>
          <w:sz w:val="24"/>
          <w:szCs w:val="24"/>
        </w:rPr>
        <w:t xml:space="preserve">A policy may have a relatively small expected NPV but </w:t>
      </w:r>
      <w:r w:rsidRPr="009142CD">
        <w:rPr>
          <w:rFonts w:cstheme="minorHAnsi"/>
          <w:color w:val="000000" w:themeColor="text1"/>
          <w:sz w:val="24"/>
          <w:szCs w:val="24"/>
          <w:u w:val="single"/>
        </w:rPr>
        <w:t>disproportionate impacts</w:t>
      </w:r>
      <w:r w:rsidRPr="005223E3">
        <w:rPr>
          <w:rFonts w:cstheme="minorHAnsi"/>
          <w:color w:val="000000" w:themeColor="text1"/>
          <w:sz w:val="24"/>
          <w:szCs w:val="24"/>
        </w:rPr>
        <w:t xml:space="preserve"> on specific groups. This would justify a relatively high level of analysis. See example below.</w:t>
      </w:r>
    </w:p>
    <w:p w:rsidR="00FB0C05" w:rsidRPr="005223E3" w:rsidRDefault="00FB0C05" w:rsidP="00FB0C05">
      <w:pPr>
        <w:rPr>
          <w:b/>
          <w:sz w:val="24"/>
          <w:szCs w:val="24"/>
        </w:rPr>
      </w:pPr>
    </w:p>
    <w:p w:rsidR="00FB0C05" w:rsidRPr="005223E3" w:rsidRDefault="00FB0C05" w:rsidP="00FB0C0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contextualSpacing/>
        <w:rPr>
          <w:sz w:val="24"/>
          <w:szCs w:val="24"/>
        </w:rPr>
      </w:pPr>
      <w:r w:rsidRPr="005223E3">
        <w:rPr>
          <w:b/>
          <w:sz w:val="24"/>
          <w:szCs w:val="24"/>
        </w:rPr>
        <w:t xml:space="preserve">RPC13-DCMS-1757(2) – Banning video on-demand content not suitable for classification by the British Board of Film Classification: </w:t>
      </w:r>
      <w:r w:rsidRPr="005223E3">
        <w:rPr>
          <w:sz w:val="24"/>
          <w:szCs w:val="24"/>
        </w:rPr>
        <w:t xml:space="preserve">The measure banned video-on demand content </w:t>
      </w:r>
      <w:r w:rsidRPr="005223E3">
        <w:rPr>
          <w:sz w:val="24"/>
          <w:szCs w:val="24"/>
        </w:rPr>
        <w:lastRenderedPageBreak/>
        <w:t>unsuitable for classification</w:t>
      </w:r>
      <w:r w:rsidR="006B7981" w:rsidRPr="005223E3">
        <w:rPr>
          <w:sz w:val="24"/>
          <w:szCs w:val="24"/>
        </w:rPr>
        <w:t>.</w:t>
      </w:r>
      <w:r w:rsidRPr="005223E3">
        <w:rPr>
          <w:sz w:val="24"/>
          <w:szCs w:val="24"/>
        </w:rPr>
        <w:t xml:space="preserve"> Prior to the enactment of the policy, material deemed unsuitable for classification could not be supplied in hard-copy format under the Video Recordings Act 1984. However, the Act did not apply to video-on-demand (VOD) services. The measure banned access to unclassifiable material on VOD services, bringing regulations for VOD in line with those for hard copy material. The IA had an estimated EANDCB of £0.11 million, primarily relating to lost profits for content providers. The department understood that the policy would affect small and micro businesses who were heavily involved in the digital distribution of unclassified material. However</w:t>
      </w:r>
      <w:r w:rsidR="006B7981" w:rsidRPr="005223E3">
        <w:rPr>
          <w:sz w:val="24"/>
          <w:szCs w:val="24"/>
        </w:rPr>
        <w:t>,</w:t>
      </w:r>
      <w:r w:rsidRPr="005223E3">
        <w:rPr>
          <w:sz w:val="24"/>
          <w:szCs w:val="24"/>
        </w:rPr>
        <w:t xml:space="preserve"> the policy was unlikely to have significantly impacted large businesses - the IA stated that larger companies are more likely to focus on classifiable material to achieve economies of scale. Therefore</w:t>
      </w:r>
      <w:r w:rsidR="006B7981" w:rsidRPr="005223E3">
        <w:rPr>
          <w:sz w:val="24"/>
          <w:szCs w:val="24"/>
        </w:rPr>
        <w:t>,</w:t>
      </w:r>
      <w:r w:rsidRPr="005223E3">
        <w:rPr>
          <w:sz w:val="24"/>
          <w:szCs w:val="24"/>
        </w:rPr>
        <w:t xml:space="preserve"> this policy may have had a relatively small expected NPV, but disproportionate impacts on certain groups. </w:t>
      </w:r>
    </w:p>
    <w:p w:rsidR="00FB0C05" w:rsidRPr="005223E3" w:rsidRDefault="00FB0C05" w:rsidP="00FB0C05">
      <w:pPr>
        <w:autoSpaceDE w:val="0"/>
        <w:autoSpaceDN w:val="0"/>
        <w:adjustRightInd w:val="0"/>
        <w:spacing w:after="120" w:line="240" w:lineRule="auto"/>
        <w:rPr>
          <w:rFonts w:cstheme="minorHAnsi"/>
          <w:color w:val="000000" w:themeColor="text1"/>
          <w:sz w:val="24"/>
          <w:szCs w:val="24"/>
        </w:rPr>
      </w:pPr>
    </w:p>
    <w:p w:rsidR="006B7981" w:rsidRPr="005223E3" w:rsidRDefault="006B7981" w:rsidP="006B7981">
      <w:pPr>
        <w:autoSpaceDE w:val="0"/>
        <w:autoSpaceDN w:val="0"/>
        <w:adjustRightInd w:val="0"/>
        <w:spacing w:after="120" w:line="240" w:lineRule="auto"/>
        <w:rPr>
          <w:rFonts w:cstheme="minorHAnsi"/>
          <w:color w:val="000000" w:themeColor="text1"/>
          <w:sz w:val="24"/>
          <w:szCs w:val="24"/>
        </w:rPr>
      </w:pPr>
      <w:r w:rsidRPr="009142CD">
        <w:rPr>
          <w:rFonts w:cstheme="minorHAnsi"/>
          <w:color w:val="000000" w:themeColor="text1"/>
          <w:sz w:val="24"/>
          <w:szCs w:val="24"/>
          <w:u w:val="single"/>
        </w:rPr>
        <w:t xml:space="preserve">The example below is one where the </w:t>
      </w:r>
      <w:r w:rsidR="004812BD" w:rsidRPr="009142CD">
        <w:rPr>
          <w:rFonts w:cstheme="minorHAnsi"/>
          <w:color w:val="000000" w:themeColor="text1"/>
          <w:sz w:val="24"/>
          <w:szCs w:val="24"/>
          <w:u w:val="single"/>
        </w:rPr>
        <w:t xml:space="preserve">policy </w:t>
      </w:r>
      <w:r w:rsidRPr="009142CD">
        <w:rPr>
          <w:rFonts w:cstheme="minorHAnsi"/>
          <w:color w:val="000000" w:themeColor="text1"/>
          <w:sz w:val="24"/>
          <w:szCs w:val="24"/>
          <w:u w:val="single"/>
        </w:rPr>
        <w:t>impact was fairly uniform.</w:t>
      </w:r>
      <w:r w:rsidRPr="005223E3">
        <w:rPr>
          <w:rFonts w:cstheme="minorHAnsi"/>
          <w:color w:val="000000" w:themeColor="text1"/>
          <w:sz w:val="24"/>
          <w:szCs w:val="24"/>
        </w:rPr>
        <w:t xml:space="preserve"> However, note that the large size of the benefit meant that a high level of evidence was also required.</w:t>
      </w:r>
    </w:p>
    <w:p w:rsidR="006B7981" w:rsidRPr="005223E3" w:rsidRDefault="006B7981" w:rsidP="006B7981">
      <w:pPr>
        <w:autoSpaceDE w:val="0"/>
        <w:autoSpaceDN w:val="0"/>
        <w:adjustRightInd w:val="0"/>
        <w:spacing w:after="120" w:line="240" w:lineRule="auto"/>
        <w:rPr>
          <w:b/>
          <w:sz w:val="24"/>
          <w:szCs w:val="24"/>
        </w:rPr>
      </w:pPr>
    </w:p>
    <w:p w:rsidR="006B7981" w:rsidRPr="009142CD" w:rsidRDefault="006B7981" w:rsidP="006B7981">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contextualSpacing/>
        <w:rPr>
          <w:sz w:val="24"/>
          <w:szCs w:val="24"/>
        </w:rPr>
      </w:pPr>
      <w:r w:rsidRPr="005223E3">
        <w:rPr>
          <w:b/>
          <w:sz w:val="24"/>
          <w:szCs w:val="24"/>
        </w:rPr>
        <w:t>RPC11-BIS-0899 – Extending the primary authority scheme</w:t>
      </w:r>
      <w:r w:rsidRPr="009142CD">
        <w:t xml:space="preserve">: </w:t>
      </w:r>
      <w:r w:rsidRPr="009142CD">
        <w:rPr>
          <w:sz w:val="24"/>
          <w:szCs w:val="24"/>
        </w:rPr>
        <w:t>The Primary Authority scheme enabled businesses to have a single source of advice and point of contact for their local regulatory system. The policy made it easier for businesses operating in a single local authority area to receive tailored advice, and for smaller businesses to obtain advice through co-ordinating bodies. The scheme was voluntary, but estimated to impact 21,000 businesses by 2025. The department estimated that regulatory consistency and reliable advice would lead to an annualised net benefit of £2</w:t>
      </w:r>
      <w:r w:rsidR="004812BD" w:rsidRPr="009142CD">
        <w:rPr>
          <w:sz w:val="24"/>
          <w:szCs w:val="24"/>
        </w:rPr>
        <w:t>,</w:t>
      </w:r>
      <w:r w:rsidRPr="009142CD">
        <w:rPr>
          <w:sz w:val="24"/>
          <w:szCs w:val="24"/>
        </w:rPr>
        <w:t xml:space="preserve">400 for each business, resulting in an estimated total annual net benefit of £49.5 million by 2025. The EANDCB figure for this IA was -£23.8 million. Although the </w:t>
      </w:r>
      <w:r w:rsidR="004812BD" w:rsidRPr="009142CD">
        <w:rPr>
          <w:sz w:val="24"/>
          <w:szCs w:val="24"/>
        </w:rPr>
        <w:t>overall</w:t>
      </w:r>
      <w:r w:rsidRPr="009142CD">
        <w:rPr>
          <w:sz w:val="24"/>
          <w:szCs w:val="24"/>
        </w:rPr>
        <w:t xml:space="preserve"> benefit to business was s</w:t>
      </w:r>
      <w:r w:rsidR="004812BD" w:rsidRPr="009142CD">
        <w:rPr>
          <w:sz w:val="24"/>
          <w:szCs w:val="24"/>
        </w:rPr>
        <w:t>ubstantial</w:t>
      </w:r>
      <w:r w:rsidRPr="009142CD">
        <w:rPr>
          <w:sz w:val="24"/>
          <w:szCs w:val="24"/>
        </w:rPr>
        <w:t>, the policy</w:t>
      </w:r>
      <w:r w:rsidR="004812BD" w:rsidRPr="009142CD">
        <w:rPr>
          <w:sz w:val="24"/>
          <w:szCs w:val="24"/>
        </w:rPr>
        <w:t xml:space="preserve"> had</w:t>
      </w:r>
      <w:r w:rsidRPr="009142CD">
        <w:rPr>
          <w:sz w:val="24"/>
          <w:szCs w:val="24"/>
        </w:rPr>
        <w:t xml:space="preserve"> </w:t>
      </w:r>
      <w:r w:rsidR="0087154E" w:rsidRPr="009142CD">
        <w:rPr>
          <w:sz w:val="24"/>
          <w:szCs w:val="24"/>
        </w:rPr>
        <w:t xml:space="preserve">fairly </w:t>
      </w:r>
      <w:r w:rsidRPr="009142CD">
        <w:rPr>
          <w:sz w:val="24"/>
          <w:szCs w:val="24"/>
        </w:rPr>
        <w:t>uniform impacts on business and thus the level of analysis expected would</w:t>
      </w:r>
      <w:r w:rsidR="0087154E" w:rsidRPr="009142CD">
        <w:rPr>
          <w:sz w:val="24"/>
          <w:szCs w:val="24"/>
        </w:rPr>
        <w:t xml:space="preserve">, other things being </w:t>
      </w:r>
      <w:proofErr w:type="gramStart"/>
      <w:r w:rsidR="005223E3" w:rsidRPr="005223E3">
        <w:rPr>
          <w:sz w:val="24"/>
          <w:szCs w:val="24"/>
        </w:rPr>
        <w:t>equal</w:t>
      </w:r>
      <w:r w:rsidR="005223E3">
        <w:rPr>
          <w:sz w:val="24"/>
          <w:szCs w:val="24"/>
        </w:rPr>
        <w:t>,</w:t>
      </w:r>
      <w:proofErr w:type="gramEnd"/>
      <w:r w:rsidRPr="009142CD">
        <w:rPr>
          <w:sz w:val="24"/>
          <w:szCs w:val="24"/>
        </w:rPr>
        <w:t xml:space="preserve"> be less than a policy imposing disproportionate impacts on certain groups.  </w:t>
      </w:r>
    </w:p>
    <w:p w:rsidR="006B7981" w:rsidRPr="006A70D8" w:rsidRDefault="006B7981" w:rsidP="006B7981">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contextualSpacing/>
        <w:rPr>
          <w:sz w:val="24"/>
          <w:szCs w:val="24"/>
        </w:rPr>
      </w:pPr>
    </w:p>
    <w:p w:rsidR="006B7981" w:rsidRDefault="006B7981" w:rsidP="006B7981">
      <w:pPr>
        <w:autoSpaceDE w:val="0"/>
        <w:autoSpaceDN w:val="0"/>
        <w:adjustRightInd w:val="0"/>
        <w:spacing w:after="120" w:line="240" w:lineRule="auto"/>
        <w:rPr>
          <w:rFonts w:cstheme="minorHAnsi"/>
          <w:color w:val="000000" w:themeColor="text1"/>
          <w:sz w:val="24"/>
          <w:szCs w:val="24"/>
        </w:rPr>
      </w:pPr>
    </w:p>
    <w:p w:rsidR="006B7981" w:rsidRDefault="006B7981" w:rsidP="000C6115">
      <w:pPr>
        <w:autoSpaceDE w:val="0"/>
        <w:autoSpaceDN w:val="0"/>
        <w:adjustRightInd w:val="0"/>
        <w:spacing w:after="120" w:line="240" w:lineRule="auto"/>
        <w:rPr>
          <w:rFonts w:cstheme="minorHAnsi"/>
          <w:color w:val="000000" w:themeColor="text1"/>
          <w:sz w:val="24"/>
          <w:szCs w:val="24"/>
        </w:rPr>
      </w:pPr>
    </w:p>
    <w:p w:rsidR="000C6115" w:rsidRDefault="000C6115" w:rsidP="00A864AC">
      <w:pPr>
        <w:numPr>
          <w:ilvl w:val="2"/>
          <w:numId w:val="26"/>
        </w:numPr>
        <w:spacing w:line="264" w:lineRule="auto"/>
        <w:contextualSpacing/>
        <w:rPr>
          <w:rFonts w:cstheme="minorHAnsi"/>
          <w:b/>
          <w:color w:val="000000" w:themeColor="text1"/>
          <w:sz w:val="24"/>
          <w:szCs w:val="24"/>
        </w:rPr>
      </w:pPr>
      <w:r w:rsidRPr="000C6115">
        <w:rPr>
          <w:rFonts w:cstheme="minorHAnsi"/>
          <w:b/>
          <w:color w:val="000000" w:themeColor="text1"/>
          <w:sz w:val="24"/>
          <w:szCs w:val="24"/>
        </w:rPr>
        <w:t xml:space="preserve">How sensitivity and contentiousness affects what constitutes proportional analysis </w:t>
      </w:r>
    </w:p>
    <w:p w:rsidR="000C6115" w:rsidRPr="000C6115" w:rsidRDefault="000C6115" w:rsidP="000C6115">
      <w:pPr>
        <w:spacing w:line="264" w:lineRule="auto"/>
        <w:ind w:left="720"/>
        <w:contextualSpacing/>
        <w:rPr>
          <w:rFonts w:cstheme="minorHAnsi"/>
          <w:b/>
          <w:color w:val="000000" w:themeColor="text1"/>
          <w:sz w:val="24"/>
          <w:szCs w:val="24"/>
        </w:rPr>
      </w:pPr>
    </w:p>
    <w:p w:rsidR="00FA40AD" w:rsidRDefault="000C6115" w:rsidP="000C6115">
      <w:pPr>
        <w:spacing w:line="264" w:lineRule="auto"/>
        <w:rPr>
          <w:rFonts w:cstheme="minorHAnsi"/>
          <w:color w:val="000000" w:themeColor="text1"/>
          <w:sz w:val="24"/>
          <w:szCs w:val="24"/>
        </w:rPr>
      </w:pPr>
      <w:r w:rsidRPr="000C6115">
        <w:rPr>
          <w:sz w:val="24"/>
          <w:szCs w:val="24"/>
        </w:rPr>
        <w:t xml:space="preserve">The BRFM (2.2.3) key factors </w:t>
      </w:r>
      <w:r w:rsidR="00351ADE">
        <w:rPr>
          <w:sz w:val="24"/>
          <w:szCs w:val="24"/>
        </w:rPr>
        <w:t>also</w:t>
      </w:r>
      <w:r w:rsidRPr="000C6115">
        <w:rPr>
          <w:sz w:val="24"/>
          <w:szCs w:val="24"/>
        </w:rPr>
        <w:t xml:space="preserve"> relate to the sensitivity of the policy, includ</w:t>
      </w:r>
      <w:r w:rsidR="00351ADE">
        <w:rPr>
          <w:sz w:val="24"/>
          <w:szCs w:val="24"/>
        </w:rPr>
        <w:t>ing</w:t>
      </w:r>
      <w:r w:rsidRPr="000C6115">
        <w:rPr>
          <w:rFonts w:cstheme="minorHAnsi"/>
          <w:color w:val="000000" w:themeColor="text1"/>
          <w:sz w:val="24"/>
          <w:szCs w:val="24"/>
        </w:rPr>
        <w:t xml:space="preserve">: </w:t>
      </w:r>
    </w:p>
    <w:p w:rsidR="00FA40AD" w:rsidRPr="00B44982" w:rsidRDefault="00B44982" w:rsidP="00A864AC">
      <w:pPr>
        <w:pStyle w:val="ListParagraph"/>
        <w:numPr>
          <w:ilvl w:val="0"/>
          <w:numId w:val="29"/>
        </w:numPr>
        <w:spacing w:line="264" w:lineRule="auto"/>
        <w:ind w:left="714" w:hanging="357"/>
        <w:rPr>
          <w:rFonts w:cstheme="minorHAnsi"/>
          <w:color w:val="E36C0A" w:themeColor="accent6" w:themeShade="BF"/>
          <w:sz w:val="24"/>
          <w:szCs w:val="24"/>
        </w:rPr>
      </w:pPr>
      <w:r w:rsidRPr="00B44982">
        <w:rPr>
          <w:rFonts w:cstheme="minorHAnsi"/>
          <w:i/>
          <w:color w:val="E36C0A" w:themeColor="accent6" w:themeShade="BF"/>
          <w:sz w:val="24"/>
          <w:szCs w:val="24"/>
        </w:rPr>
        <w:t>t</w:t>
      </w:r>
      <w:r w:rsidR="000C6115" w:rsidRPr="00B44982">
        <w:rPr>
          <w:rFonts w:cstheme="minorHAnsi"/>
          <w:i/>
          <w:color w:val="E36C0A" w:themeColor="accent6" w:themeShade="BF"/>
          <w:sz w:val="24"/>
          <w:szCs w:val="24"/>
        </w:rPr>
        <w:t xml:space="preserve">he </w:t>
      </w:r>
      <w:r w:rsidR="000C6115" w:rsidRPr="00B44982">
        <w:rPr>
          <w:rFonts w:cstheme="minorHAnsi"/>
          <w:b/>
          <w:i/>
          <w:color w:val="E36C0A" w:themeColor="accent6" w:themeShade="BF"/>
          <w:sz w:val="24"/>
          <w:szCs w:val="24"/>
        </w:rPr>
        <w:t>level of interest and sensitivity</w:t>
      </w:r>
      <w:r>
        <w:rPr>
          <w:rFonts w:cstheme="minorHAnsi"/>
          <w:i/>
          <w:color w:val="E36C0A" w:themeColor="accent6" w:themeShade="BF"/>
          <w:sz w:val="24"/>
          <w:szCs w:val="24"/>
        </w:rPr>
        <w:t xml:space="preserve"> surrounding the policy; </w:t>
      </w:r>
      <w:r w:rsidR="000C6115" w:rsidRPr="00B44982">
        <w:rPr>
          <w:rFonts w:cstheme="minorHAnsi"/>
          <w:color w:val="E36C0A" w:themeColor="accent6" w:themeShade="BF"/>
          <w:sz w:val="24"/>
          <w:szCs w:val="24"/>
        </w:rPr>
        <w:t xml:space="preserve"> and </w:t>
      </w:r>
    </w:p>
    <w:p w:rsidR="000C6115" w:rsidRPr="00B44982" w:rsidRDefault="00B44982" w:rsidP="00A864AC">
      <w:pPr>
        <w:pStyle w:val="ListParagraph"/>
        <w:numPr>
          <w:ilvl w:val="0"/>
          <w:numId w:val="29"/>
        </w:numPr>
        <w:spacing w:line="264" w:lineRule="auto"/>
        <w:ind w:left="714" w:hanging="357"/>
        <w:rPr>
          <w:rFonts w:cstheme="minorHAnsi"/>
          <w:color w:val="E36C0A" w:themeColor="accent6" w:themeShade="BF"/>
          <w:sz w:val="24"/>
          <w:szCs w:val="24"/>
        </w:rPr>
      </w:pPr>
      <w:proofErr w:type="gramStart"/>
      <w:r w:rsidRPr="00B44982">
        <w:rPr>
          <w:rFonts w:cstheme="minorHAnsi"/>
          <w:i/>
          <w:color w:val="E36C0A" w:themeColor="accent6" w:themeShade="BF"/>
          <w:sz w:val="24"/>
          <w:szCs w:val="24"/>
        </w:rPr>
        <w:t>t</w:t>
      </w:r>
      <w:r w:rsidR="000C6115" w:rsidRPr="00B44982">
        <w:rPr>
          <w:rFonts w:cstheme="minorHAnsi"/>
          <w:i/>
          <w:color w:val="E36C0A" w:themeColor="accent6" w:themeShade="BF"/>
          <w:sz w:val="24"/>
          <w:szCs w:val="24"/>
        </w:rPr>
        <w:t>he</w:t>
      </w:r>
      <w:proofErr w:type="gramEnd"/>
      <w:r w:rsidR="000C6115" w:rsidRPr="00B44982">
        <w:rPr>
          <w:rFonts w:cstheme="minorHAnsi"/>
          <w:i/>
          <w:color w:val="E36C0A" w:themeColor="accent6" w:themeShade="BF"/>
          <w:sz w:val="24"/>
          <w:szCs w:val="24"/>
        </w:rPr>
        <w:t xml:space="preserve"> degree to which the policy is </w:t>
      </w:r>
      <w:r w:rsidR="000C6115" w:rsidRPr="00B44982">
        <w:rPr>
          <w:rFonts w:cstheme="minorHAnsi"/>
          <w:b/>
          <w:i/>
          <w:color w:val="E36C0A" w:themeColor="accent6" w:themeShade="BF"/>
          <w:sz w:val="24"/>
          <w:szCs w:val="24"/>
        </w:rPr>
        <w:t>novel, contentious or irreversible</w:t>
      </w:r>
      <w:r w:rsidR="00FA40AD" w:rsidRPr="00B44982">
        <w:rPr>
          <w:rFonts w:cstheme="minorHAnsi"/>
          <w:color w:val="E36C0A" w:themeColor="accent6" w:themeShade="BF"/>
          <w:sz w:val="24"/>
          <w:szCs w:val="24"/>
        </w:rPr>
        <w:t>.</w:t>
      </w:r>
    </w:p>
    <w:p w:rsidR="000C6115" w:rsidRPr="000C6115" w:rsidRDefault="000C6115" w:rsidP="000C6115">
      <w:pPr>
        <w:spacing w:line="264" w:lineRule="auto"/>
        <w:rPr>
          <w:rFonts w:cstheme="minorHAnsi"/>
          <w:color w:val="000000" w:themeColor="text1"/>
          <w:sz w:val="24"/>
          <w:szCs w:val="24"/>
        </w:rPr>
      </w:pPr>
      <w:r w:rsidRPr="000C6115">
        <w:rPr>
          <w:rFonts w:cstheme="minorHAnsi"/>
          <w:color w:val="000000" w:themeColor="text1"/>
          <w:sz w:val="24"/>
          <w:szCs w:val="24"/>
        </w:rPr>
        <w:t>Contentious policies that provoke a high level of public interest are likely to attract media attention and so require a deeper level of analysis. This is because the evidence for such policies is likely to receive a greater level of independent scrutiny. In particular</w:t>
      </w:r>
      <w:r w:rsidR="0071323A">
        <w:rPr>
          <w:rFonts w:cstheme="minorHAnsi"/>
          <w:color w:val="000000" w:themeColor="text1"/>
          <w:sz w:val="24"/>
          <w:szCs w:val="24"/>
        </w:rPr>
        <w:t>,</w:t>
      </w:r>
      <w:r w:rsidRPr="000C6115">
        <w:rPr>
          <w:rFonts w:cstheme="minorHAnsi"/>
          <w:color w:val="000000" w:themeColor="text1"/>
          <w:sz w:val="24"/>
          <w:szCs w:val="24"/>
        </w:rPr>
        <w:t xml:space="preserve"> any data, assumptions or consultation evidence used should be robust and defendable. </w:t>
      </w:r>
    </w:p>
    <w:p w:rsidR="000C6115" w:rsidRPr="000C6115" w:rsidRDefault="000C6115" w:rsidP="000C6115">
      <w:pPr>
        <w:spacing w:line="264" w:lineRule="auto"/>
        <w:rPr>
          <w:rFonts w:cstheme="minorHAnsi"/>
          <w:color w:val="000000" w:themeColor="text1"/>
          <w:sz w:val="24"/>
          <w:szCs w:val="24"/>
        </w:rPr>
      </w:pPr>
      <w:r w:rsidRPr="000C6115">
        <w:rPr>
          <w:rFonts w:cstheme="minorHAnsi"/>
          <w:color w:val="000000" w:themeColor="text1"/>
          <w:sz w:val="24"/>
          <w:szCs w:val="24"/>
        </w:rPr>
        <w:lastRenderedPageBreak/>
        <w:t xml:space="preserve">It is likely that if any part of a </w:t>
      </w:r>
      <w:r w:rsidRPr="00C37C0C">
        <w:rPr>
          <w:rFonts w:cstheme="minorHAnsi"/>
          <w:b/>
          <w:color w:val="000000" w:themeColor="text1"/>
          <w:sz w:val="24"/>
          <w:szCs w:val="24"/>
        </w:rPr>
        <w:t>policy is contentious</w:t>
      </w:r>
      <w:r w:rsidRPr="000C6115">
        <w:rPr>
          <w:rFonts w:cstheme="minorHAnsi"/>
          <w:color w:val="000000" w:themeColor="text1"/>
          <w:sz w:val="24"/>
          <w:szCs w:val="24"/>
        </w:rPr>
        <w:t xml:space="preserve"> or provokes </w:t>
      </w:r>
      <w:r w:rsidRPr="00C37C0C">
        <w:rPr>
          <w:rFonts w:cstheme="minorHAnsi"/>
          <w:b/>
          <w:color w:val="000000" w:themeColor="text1"/>
          <w:sz w:val="24"/>
          <w:szCs w:val="24"/>
        </w:rPr>
        <w:t>a high level of public interest</w:t>
      </w:r>
      <w:r w:rsidRPr="000C6115">
        <w:rPr>
          <w:rFonts w:cstheme="minorHAnsi"/>
          <w:color w:val="000000" w:themeColor="text1"/>
          <w:sz w:val="24"/>
          <w:szCs w:val="24"/>
        </w:rPr>
        <w:t xml:space="preserve"> then the entire policy will come under increased scrutiny. </w:t>
      </w:r>
      <w:r w:rsidR="00F3389E">
        <w:rPr>
          <w:rFonts w:cstheme="minorHAnsi"/>
          <w:color w:val="000000" w:themeColor="text1"/>
          <w:sz w:val="24"/>
          <w:szCs w:val="24"/>
        </w:rPr>
        <w:t>I</w:t>
      </w:r>
      <w:r w:rsidRPr="000C6115">
        <w:rPr>
          <w:rFonts w:cstheme="minorHAnsi"/>
          <w:color w:val="000000" w:themeColor="text1"/>
          <w:sz w:val="24"/>
          <w:szCs w:val="24"/>
        </w:rPr>
        <w:t>t may not be sufficient</w:t>
      </w:r>
      <w:r w:rsidR="00F3389E">
        <w:rPr>
          <w:rFonts w:cstheme="minorHAnsi"/>
          <w:color w:val="000000" w:themeColor="text1"/>
          <w:sz w:val="24"/>
          <w:szCs w:val="24"/>
        </w:rPr>
        <w:t>, therefore,</w:t>
      </w:r>
      <w:r w:rsidRPr="000C6115">
        <w:rPr>
          <w:rFonts w:cstheme="minorHAnsi"/>
          <w:color w:val="000000" w:themeColor="text1"/>
          <w:sz w:val="24"/>
          <w:szCs w:val="24"/>
        </w:rPr>
        <w:t xml:space="preserve"> to provide in</w:t>
      </w:r>
      <w:r w:rsidR="00F3389E">
        <w:rPr>
          <w:rFonts w:cstheme="minorHAnsi"/>
          <w:color w:val="000000" w:themeColor="text1"/>
          <w:sz w:val="24"/>
          <w:szCs w:val="24"/>
        </w:rPr>
        <w:t>-</w:t>
      </w:r>
      <w:r w:rsidRPr="000C6115">
        <w:rPr>
          <w:rFonts w:cstheme="minorHAnsi"/>
          <w:color w:val="000000" w:themeColor="text1"/>
          <w:sz w:val="24"/>
          <w:szCs w:val="24"/>
        </w:rPr>
        <w:t xml:space="preserve">depth analysis </w:t>
      </w:r>
      <w:r w:rsidR="00F3389E">
        <w:rPr>
          <w:rFonts w:cstheme="minorHAnsi"/>
          <w:color w:val="000000" w:themeColor="text1"/>
          <w:sz w:val="24"/>
          <w:szCs w:val="24"/>
        </w:rPr>
        <w:t xml:space="preserve">only </w:t>
      </w:r>
      <w:r w:rsidRPr="000C6115">
        <w:rPr>
          <w:rFonts w:cstheme="minorHAnsi"/>
          <w:color w:val="000000" w:themeColor="text1"/>
          <w:sz w:val="24"/>
          <w:szCs w:val="24"/>
        </w:rPr>
        <w:t>for one cost or benefit</w:t>
      </w:r>
      <w:r w:rsidR="00F3389E">
        <w:rPr>
          <w:rFonts w:cstheme="minorHAnsi"/>
          <w:color w:val="000000" w:themeColor="text1"/>
          <w:sz w:val="24"/>
          <w:szCs w:val="24"/>
        </w:rPr>
        <w:t>,</w:t>
      </w:r>
      <w:r w:rsidRPr="000C6115">
        <w:rPr>
          <w:rFonts w:cstheme="minorHAnsi"/>
          <w:color w:val="000000" w:themeColor="text1"/>
          <w:sz w:val="24"/>
          <w:szCs w:val="24"/>
        </w:rPr>
        <w:t xml:space="preserve"> even if it is the only contentious impact. Additionally</w:t>
      </w:r>
      <w:r w:rsidR="0071323A">
        <w:rPr>
          <w:rFonts w:cstheme="minorHAnsi"/>
          <w:color w:val="000000" w:themeColor="text1"/>
          <w:sz w:val="24"/>
          <w:szCs w:val="24"/>
        </w:rPr>
        <w:t>,</w:t>
      </w:r>
      <w:r w:rsidRPr="000C6115">
        <w:rPr>
          <w:rFonts w:cstheme="minorHAnsi"/>
          <w:color w:val="000000" w:themeColor="text1"/>
          <w:sz w:val="24"/>
          <w:szCs w:val="24"/>
        </w:rPr>
        <w:t xml:space="preserve"> even relatively minor impacts may be considered controversial in particular settings</w:t>
      </w:r>
      <w:r w:rsidR="00F3389E">
        <w:rPr>
          <w:rFonts w:cstheme="minorHAnsi"/>
          <w:color w:val="000000" w:themeColor="text1"/>
          <w:sz w:val="24"/>
          <w:szCs w:val="24"/>
        </w:rPr>
        <w:t>,</w:t>
      </w:r>
      <w:r w:rsidRPr="000C6115">
        <w:rPr>
          <w:rFonts w:cstheme="minorHAnsi"/>
          <w:color w:val="000000" w:themeColor="text1"/>
          <w:sz w:val="24"/>
          <w:szCs w:val="24"/>
        </w:rPr>
        <w:t xml:space="preserve"> </w:t>
      </w:r>
      <w:r w:rsidR="00F3389E">
        <w:rPr>
          <w:rFonts w:cstheme="minorHAnsi"/>
          <w:color w:val="000000" w:themeColor="text1"/>
          <w:sz w:val="24"/>
          <w:szCs w:val="24"/>
        </w:rPr>
        <w:t>f</w:t>
      </w:r>
      <w:r w:rsidRPr="000C6115">
        <w:rPr>
          <w:rFonts w:cstheme="minorHAnsi"/>
          <w:color w:val="000000" w:themeColor="text1"/>
          <w:sz w:val="24"/>
          <w:szCs w:val="24"/>
        </w:rPr>
        <w:t>or instance if they cause they represent gold-plating of EU legislation.</w:t>
      </w:r>
    </w:p>
    <w:p w:rsidR="000C6115" w:rsidRPr="000C6115" w:rsidRDefault="000C6115" w:rsidP="000C6115">
      <w:pPr>
        <w:spacing w:line="264" w:lineRule="auto"/>
        <w:rPr>
          <w:rFonts w:cstheme="minorHAnsi"/>
          <w:color w:val="000000" w:themeColor="text1"/>
          <w:sz w:val="24"/>
          <w:szCs w:val="24"/>
        </w:rPr>
      </w:pPr>
      <w:r w:rsidRPr="000C6115">
        <w:rPr>
          <w:rFonts w:cstheme="minorHAnsi"/>
          <w:color w:val="000000" w:themeColor="text1"/>
          <w:sz w:val="24"/>
          <w:szCs w:val="24"/>
        </w:rPr>
        <w:t xml:space="preserve">If </w:t>
      </w:r>
      <w:r w:rsidRPr="00C37C0C">
        <w:rPr>
          <w:rFonts w:cstheme="minorHAnsi"/>
          <w:b/>
          <w:color w:val="000000" w:themeColor="text1"/>
          <w:sz w:val="24"/>
          <w:szCs w:val="24"/>
        </w:rPr>
        <w:t xml:space="preserve">policies are novel </w:t>
      </w:r>
      <w:r w:rsidRPr="000C6115">
        <w:rPr>
          <w:rFonts w:cstheme="minorHAnsi"/>
          <w:color w:val="000000" w:themeColor="text1"/>
          <w:sz w:val="24"/>
          <w:szCs w:val="24"/>
        </w:rPr>
        <w:t xml:space="preserve">then there is likely to be less familiarity with their impacts and so more rigorous analysis </w:t>
      </w:r>
      <w:r w:rsidR="00F3389E">
        <w:rPr>
          <w:rFonts w:cstheme="minorHAnsi"/>
          <w:color w:val="000000" w:themeColor="text1"/>
          <w:sz w:val="24"/>
          <w:szCs w:val="24"/>
        </w:rPr>
        <w:t>may be</w:t>
      </w:r>
      <w:r w:rsidRPr="000C6115">
        <w:rPr>
          <w:rFonts w:cstheme="minorHAnsi"/>
          <w:color w:val="000000" w:themeColor="text1"/>
          <w:sz w:val="24"/>
          <w:szCs w:val="24"/>
        </w:rPr>
        <w:t xml:space="preserve"> needed. It may be necessary to focus on the less researched aspects of the policy and provide a discussion of how the novel aspects would fit within the existing policy framework. </w:t>
      </w:r>
    </w:p>
    <w:p w:rsidR="000C6115" w:rsidRPr="000C6115" w:rsidRDefault="000C6115" w:rsidP="000C6115">
      <w:pPr>
        <w:spacing w:line="264" w:lineRule="auto"/>
        <w:rPr>
          <w:rFonts w:cstheme="minorHAnsi"/>
          <w:color w:val="000000" w:themeColor="text1"/>
          <w:sz w:val="24"/>
          <w:szCs w:val="24"/>
        </w:rPr>
      </w:pPr>
      <w:r w:rsidRPr="00C37C0C">
        <w:rPr>
          <w:rFonts w:cstheme="minorHAnsi"/>
          <w:b/>
          <w:color w:val="000000" w:themeColor="text1"/>
          <w:sz w:val="24"/>
          <w:szCs w:val="24"/>
        </w:rPr>
        <w:t>Irreversible policies</w:t>
      </w:r>
      <w:r w:rsidRPr="000C6115">
        <w:rPr>
          <w:rFonts w:cstheme="minorHAnsi"/>
          <w:color w:val="000000" w:themeColor="text1"/>
          <w:sz w:val="24"/>
          <w:szCs w:val="24"/>
        </w:rPr>
        <w:t xml:space="preserve"> are likely to need a greater level of analysis </w:t>
      </w:r>
      <w:r w:rsidR="00F3389E">
        <w:rPr>
          <w:rFonts w:cstheme="minorHAnsi"/>
          <w:color w:val="000000" w:themeColor="text1"/>
          <w:sz w:val="24"/>
          <w:szCs w:val="24"/>
        </w:rPr>
        <w:t>because</w:t>
      </w:r>
      <w:r w:rsidRPr="000C6115">
        <w:rPr>
          <w:rFonts w:cstheme="minorHAnsi"/>
          <w:color w:val="000000" w:themeColor="text1"/>
          <w:sz w:val="24"/>
          <w:szCs w:val="24"/>
        </w:rPr>
        <w:t xml:space="preserve"> the option of future removal is not available. In particular a greater focus on the worst-case estimate and sensitivity analysis may be needed.</w:t>
      </w:r>
    </w:p>
    <w:p w:rsidR="000C6115" w:rsidRPr="000C6115" w:rsidRDefault="000C6115" w:rsidP="000C611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contextualSpacing/>
        <w:rPr>
          <w:rFonts w:cstheme="minorHAnsi"/>
          <w:sz w:val="24"/>
          <w:szCs w:val="24"/>
        </w:rPr>
      </w:pPr>
      <w:r w:rsidRPr="000C6115">
        <w:rPr>
          <w:rFonts w:cstheme="minorHAnsi"/>
          <w:b/>
          <w:sz w:val="24"/>
          <w:szCs w:val="24"/>
        </w:rPr>
        <w:t>Gender Pay Gap (RPC14-GEO-2384):</w:t>
      </w:r>
      <w:r w:rsidRPr="000C6115">
        <w:rPr>
          <w:rFonts w:cstheme="minorHAnsi"/>
          <w:sz w:val="24"/>
          <w:szCs w:val="24"/>
        </w:rPr>
        <w:t xml:space="preserve"> This policy required employers with at least 250 employees </w:t>
      </w:r>
      <w:r w:rsidR="00352B25">
        <w:rPr>
          <w:rFonts w:cstheme="minorHAnsi"/>
          <w:sz w:val="24"/>
          <w:szCs w:val="24"/>
        </w:rPr>
        <w:t xml:space="preserve">to provide </w:t>
      </w:r>
      <w:r w:rsidRPr="000C6115">
        <w:rPr>
          <w:rFonts w:cstheme="minorHAnsi"/>
          <w:sz w:val="24"/>
          <w:szCs w:val="24"/>
        </w:rPr>
        <w:t>information showing whether there is a difference, on average, in pay between male and female employees. This is a highly contentious policy area and accordingly received a significant degree of coverage in national newspapers. However</w:t>
      </w:r>
      <w:r w:rsidR="0071323A">
        <w:rPr>
          <w:rFonts w:cstheme="minorHAnsi"/>
          <w:sz w:val="24"/>
          <w:szCs w:val="24"/>
        </w:rPr>
        <w:t>,</w:t>
      </w:r>
      <w:r w:rsidRPr="000C6115">
        <w:rPr>
          <w:rFonts w:cstheme="minorHAnsi"/>
          <w:sz w:val="24"/>
          <w:szCs w:val="24"/>
        </w:rPr>
        <w:t xml:space="preserve"> the Department did not explain the underlying rationale for intervention and what current problems the intervention aimed to address. The Department also did not justify why the proposal was seen as proportionate given that it estimated it would impose </w:t>
      </w:r>
      <w:r w:rsidR="00F3389E">
        <w:rPr>
          <w:rFonts w:cstheme="minorHAnsi"/>
          <w:sz w:val="24"/>
          <w:szCs w:val="24"/>
        </w:rPr>
        <w:t>substantial</w:t>
      </w:r>
      <w:r w:rsidRPr="000C6115">
        <w:rPr>
          <w:rFonts w:cstheme="minorHAnsi"/>
          <w:sz w:val="24"/>
          <w:szCs w:val="24"/>
        </w:rPr>
        <w:t xml:space="preserve"> costs </w:t>
      </w:r>
      <w:r w:rsidR="00F3389E">
        <w:rPr>
          <w:rFonts w:cstheme="minorHAnsi"/>
          <w:sz w:val="24"/>
          <w:szCs w:val="24"/>
        </w:rPr>
        <w:t>on</w:t>
      </w:r>
      <w:r w:rsidRPr="000C6115">
        <w:rPr>
          <w:rFonts w:cstheme="minorHAnsi"/>
          <w:sz w:val="24"/>
          <w:szCs w:val="24"/>
        </w:rPr>
        <w:t xml:space="preserve"> business but provided little evidence for the existence of the potential benefits. </w:t>
      </w:r>
      <w:r w:rsidR="00253B6D">
        <w:rPr>
          <w:rFonts w:cstheme="minorHAnsi"/>
          <w:sz w:val="24"/>
          <w:szCs w:val="24"/>
        </w:rPr>
        <w:t>As a result</w:t>
      </w:r>
      <w:r w:rsidR="00C36A0E">
        <w:rPr>
          <w:rFonts w:cstheme="minorHAnsi"/>
          <w:sz w:val="24"/>
          <w:szCs w:val="24"/>
        </w:rPr>
        <w:t>,</w:t>
      </w:r>
      <w:r w:rsidR="00253B6D">
        <w:rPr>
          <w:rFonts w:cstheme="minorHAnsi"/>
          <w:sz w:val="24"/>
          <w:szCs w:val="24"/>
        </w:rPr>
        <w:t xml:space="preserve"> the IA </w:t>
      </w:r>
      <w:r w:rsidR="00F43EB4">
        <w:rPr>
          <w:rFonts w:cstheme="minorHAnsi"/>
          <w:sz w:val="24"/>
          <w:szCs w:val="24"/>
        </w:rPr>
        <w:t xml:space="preserve">initially </w:t>
      </w:r>
      <w:r w:rsidR="00253B6D">
        <w:rPr>
          <w:rFonts w:cstheme="minorHAnsi"/>
          <w:sz w:val="24"/>
          <w:szCs w:val="24"/>
        </w:rPr>
        <w:t>received a not fit for purpose rating.</w:t>
      </w:r>
    </w:p>
    <w:p w:rsidR="000C6115" w:rsidRDefault="000C6115" w:rsidP="000C6115">
      <w:pPr>
        <w:spacing w:line="264" w:lineRule="auto"/>
        <w:rPr>
          <w:rFonts w:cstheme="minorHAnsi"/>
          <w:color w:val="000000" w:themeColor="text1"/>
          <w:sz w:val="24"/>
          <w:szCs w:val="24"/>
        </w:rPr>
      </w:pPr>
    </w:p>
    <w:p w:rsidR="009C5759" w:rsidRPr="000C6115" w:rsidRDefault="009C5759" w:rsidP="009C5759">
      <w:pPr>
        <w:rPr>
          <w:b/>
          <w:sz w:val="24"/>
          <w:szCs w:val="24"/>
        </w:rPr>
      </w:pPr>
    </w:p>
    <w:p w:rsidR="009C5759" w:rsidRPr="006A70D8" w:rsidRDefault="009C5759" w:rsidP="009C5759">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contextualSpacing/>
        <w:rPr>
          <w:sz w:val="24"/>
          <w:szCs w:val="24"/>
        </w:rPr>
      </w:pPr>
      <w:r w:rsidRPr="009142CD">
        <w:rPr>
          <w:b/>
          <w:sz w:val="24"/>
          <w:szCs w:val="24"/>
        </w:rPr>
        <w:t xml:space="preserve">RPC-3002(3)-BIS-Trade Union Bill: </w:t>
      </w:r>
      <w:r w:rsidRPr="009142CD">
        <w:rPr>
          <w:sz w:val="24"/>
          <w:szCs w:val="24"/>
        </w:rPr>
        <w:t xml:space="preserve">The Trade Union Bill </w:t>
      </w:r>
      <w:r w:rsidR="0012011A" w:rsidRPr="009142CD">
        <w:rPr>
          <w:sz w:val="24"/>
          <w:szCs w:val="24"/>
        </w:rPr>
        <w:t xml:space="preserve">IA </w:t>
      </w:r>
      <w:r w:rsidRPr="009142CD">
        <w:rPr>
          <w:sz w:val="24"/>
          <w:szCs w:val="24"/>
        </w:rPr>
        <w:t>ha</w:t>
      </w:r>
      <w:r w:rsidR="0012011A" w:rsidRPr="009142CD">
        <w:rPr>
          <w:sz w:val="24"/>
          <w:szCs w:val="24"/>
        </w:rPr>
        <w:t>d</w:t>
      </w:r>
      <w:r w:rsidRPr="009142CD">
        <w:rPr>
          <w:sz w:val="24"/>
          <w:szCs w:val="24"/>
        </w:rPr>
        <w:t xml:space="preserve"> a low EANDCB figure, of -£1.41 million, but had </w:t>
      </w:r>
      <w:r w:rsidR="0012011A" w:rsidRPr="009142CD">
        <w:rPr>
          <w:sz w:val="24"/>
          <w:szCs w:val="24"/>
        </w:rPr>
        <w:t>significant</w:t>
      </w:r>
      <w:r w:rsidRPr="009142CD">
        <w:rPr>
          <w:sz w:val="24"/>
          <w:szCs w:val="24"/>
        </w:rPr>
        <w:t xml:space="preserve"> wider societal impacts </w:t>
      </w:r>
      <w:r w:rsidR="0012011A" w:rsidRPr="009142CD">
        <w:rPr>
          <w:sz w:val="24"/>
          <w:szCs w:val="24"/>
        </w:rPr>
        <w:t>and</w:t>
      </w:r>
      <w:r w:rsidRPr="009142CD">
        <w:rPr>
          <w:sz w:val="24"/>
          <w:szCs w:val="24"/>
        </w:rPr>
        <w:t xml:space="preserve"> </w:t>
      </w:r>
      <w:r w:rsidR="0012011A" w:rsidRPr="009142CD">
        <w:rPr>
          <w:sz w:val="24"/>
          <w:szCs w:val="24"/>
        </w:rPr>
        <w:t>was</w:t>
      </w:r>
      <w:r w:rsidRPr="009142CD">
        <w:rPr>
          <w:sz w:val="24"/>
          <w:szCs w:val="24"/>
        </w:rPr>
        <w:t xml:space="preserve"> a contentious policy. The Bill included a number of measures, including </w:t>
      </w:r>
      <w:r w:rsidR="0012011A" w:rsidRPr="009142CD">
        <w:rPr>
          <w:sz w:val="24"/>
          <w:szCs w:val="24"/>
        </w:rPr>
        <w:t>a 50 per cent turnout threshold for a ballot to provide a legal mandate for industrial action and</w:t>
      </w:r>
      <w:r w:rsidRPr="009142CD">
        <w:rPr>
          <w:sz w:val="24"/>
          <w:szCs w:val="24"/>
        </w:rPr>
        <w:t xml:space="preserve"> a</w:t>
      </w:r>
      <w:r w:rsidR="009537F9" w:rsidRPr="009142CD">
        <w:rPr>
          <w:sz w:val="24"/>
          <w:szCs w:val="24"/>
        </w:rPr>
        <w:t xml:space="preserve"> requirement that trade union or employer association members to ‘opt in’ to political funds by written notice</w:t>
      </w:r>
      <w:r w:rsidRPr="009142CD">
        <w:rPr>
          <w:sz w:val="24"/>
          <w:szCs w:val="24"/>
        </w:rPr>
        <w:t>.</w:t>
      </w:r>
      <w:r w:rsidR="0012011A" w:rsidRPr="009142CD">
        <w:rPr>
          <w:sz w:val="24"/>
          <w:szCs w:val="24"/>
        </w:rPr>
        <w:t xml:space="preserve">  The D</w:t>
      </w:r>
      <w:r w:rsidRPr="009142CD">
        <w:rPr>
          <w:sz w:val="24"/>
          <w:szCs w:val="24"/>
        </w:rPr>
        <w:t xml:space="preserve">epartment expected that the </w:t>
      </w:r>
      <w:r w:rsidR="0012011A" w:rsidRPr="009142CD">
        <w:rPr>
          <w:sz w:val="24"/>
          <w:szCs w:val="24"/>
        </w:rPr>
        <w:t>measure</w:t>
      </w:r>
      <w:r w:rsidRPr="009142CD">
        <w:rPr>
          <w:sz w:val="24"/>
          <w:szCs w:val="24"/>
        </w:rPr>
        <w:t xml:space="preserve"> would result in fewer days being lost to strike action</w:t>
      </w:r>
      <w:r w:rsidR="0012011A" w:rsidRPr="009142CD">
        <w:rPr>
          <w:sz w:val="24"/>
          <w:szCs w:val="24"/>
        </w:rPr>
        <w:t xml:space="preserve"> and have an</w:t>
      </w:r>
      <w:r w:rsidRPr="009142CD">
        <w:rPr>
          <w:sz w:val="24"/>
          <w:szCs w:val="24"/>
        </w:rPr>
        <w:t xml:space="preserve"> overall positive impact on society. However</w:t>
      </w:r>
      <w:r w:rsidR="0012011A" w:rsidRPr="009142CD">
        <w:rPr>
          <w:sz w:val="24"/>
          <w:szCs w:val="24"/>
        </w:rPr>
        <w:t>,</w:t>
      </w:r>
      <w:r w:rsidRPr="009142CD">
        <w:rPr>
          <w:sz w:val="24"/>
          <w:szCs w:val="24"/>
        </w:rPr>
        <w:t xml:space="preserve"> the policy </w:t>
      </w:r>
      <w:r w:rsidR="008152DA" w:rsidRPr="009142CD">
        <w:rPr>
          <w:sz w:val="24"/>
          <w:szCs w:val="24"/>
        </w:rPr>
        <w:t xml:space="preserve">clearly </w:t>
      </w:r>
      <w:r w:rsidR="009537F9" w:rsidRPr="009142CD">
        <w:rPr>
          <w:sz w:val="24"/>
          <w:szCs w:val="24"/>
        </w:rPr>
        <w:t>had a significant impact on trade unions.</w:t>
      </w:r>
      <w:r w:rsidRPr="000C6115">
        <w:rPr>
          <w:sz w:val="24"/>
          <w:szCs w:val="24"/>
        </w:rPr>
        <w:t xml:space="preserve"> </w:t>
      </w:r>
    </w:p>
    <w:p w:rsidR="009C5759" w:rsidRDefault="009C5759" w:rsidP="009C5759">
      <w:pPr>
        <w:autoSpaceDE w:val="0"/>
        <w:autoSpaceDN w:val="0"/>
        <w:adjustRightInd w:val="0"/>
        <w:spacing w:after="120" w:line="240" w:lineRule="auto"/>
        <w:rPr>
          <w:rFonts w:cstheme="minorHAnsi"/>
          <w:color w:val="000000" w:themeColor="text1"/>
          <w:sz w:val="24"/>
          <w:szCs w:val="24"/>
        </w:rPr>
      </w:pPr>
    </w:p>
    <w:p w:rsidR="009C5759" w:rsidRDefault="009C5759" w:rsidP="000C6115">
      <w:pPr>
        <w:spacing w:line="264" w:lineRule="auto"/>
        <w:rPr>
          <w:rFonts w:cstheme="minorHAnsi"/>
          <w:color w:val="000000" w:themeColor="text1"/>
          <w:sz w:val="24"/>
          <w:szCs w:val="24"/>
        </w:rPr>
      </w:pPr>
    </w:p>
    <w:p w:rsidR="000C6115" w:rsidRDefault="000C6115" w:rsidP="00A864AC">
      <w:pPr>
        <w:numPr>
          <w:ilvl w:val="2"/>
          <w:numId w:val="26"/>
        </w:numPr>
        <w:spacing w:line="264" w:lineRule="auto"/>
        <w:contextualSpacing/>
        <w:rPr>
          <w:rFonts w:cstheme="minorHAnsi"/>
          <w:b/>
          <w:color w:val="000000" w:themeColor="text1"/>
          <w:sz w:val="24"/>
          <w:szCs w:val="24"/>
        </w:rPr>
      </w:pPr>
      <w:r w:rsidRPr="000C6115">
        <w:rPr>
          <w:rFonts w:cstheme="minorHAnsi"/>
          <w:b/>
          <w:color w:val="000000" w:themeColor="text1"/>
          <w:sz w:val="24"/>
          <w:szCs w:val="24"/>
        </w:rPr>
        <w:t>How practical factors affect what constitutes proportional analysis</w:t>
      </w:r>
    </w:p>
    <w:p w:rsidR="000C6115" w:rsidRPr="000C6115" w:rsidRDefault="000C6115" w:rsidP="000C6115">
      <w:pPr>
        <w:spacing w:line="264" w:lineRule="auto"/>
        <w:ind w:left="720"/>
        <w:contextualSpacing/>
        <w:rPr>
          <w:rFonts w:cstheme="minorHAnsi"/>
          <w:b/>
          <w:color w:val="000000" w:themeColor="text1"/>
          <w:sz w:val="24"/>
          <w:szCs w:val="24"/>
        </w:rPr>
      </w:pPr>
    </w:p>
    <w:p w:rsidR="00B44982" w:rsidRDefault="000C6115" w:rsidP="000C6115">
      <w:pPr>
        <w:rPr>
          <w:sz w:val="24"/>
          <w:szCs w:val="24"/>
        </w:rPr>
      </w:pPr>
      <w:r w:rsidRPr="000C6115">
        <w:rPr>
          <w:sz w:val="24"/>
          <w:szCs w:val="24"/>
        </w:rPr>
        <w:t xml:space="preserve">The BRFM (2.2.3) key factors </w:t>
      </w:r>
      <w:r w:rsidR="00F43EB4">
        <w:rPr>
          <w:sz w:val="24"/>
          <w:szCs w:val="24"/>
        </w:rPr>
        <w:t xml:space="preserve">also </w:t>
      </w:r>
      <w:r w:rsidRPr="000C6115">
        <w:rPr>
          <w:sz w:val="24"/>
          <w:szCs w:val="24"/>
        </w:rPr>
        <w:t>relate to practical issues, includ</w:t>
      </w:r>
      <w:r w:rsidR="00F43EB4">
        <w:rPr>
          <w:sz w:val="24"/>
          <w:szCs w:val="24"/>
        </w:rPr>
        <w:t>ing</w:t>
      </w:r>
      <w:r w:rsidRPr="000C6115">
        <w:rPr>
          <w:sz w:val="24"/>
          <w:szCs w:val="24"/>
        </w:rPr>
        <w:t xml:space="preserve">: </w:t>
      </w:r>
    </w:p>
    <w:p w:rsidR="00B44982" w:rsidRPr="00B44982" w:rsidRDefault="00B44982" w:rsidP="00A864AC">
      <w:pPr>
        <w:pStyle w:val="ListParagraph"/>
        <w:numPr>
          <w:ilvl w:val="0"/>
          <w:numId w:val="30"/>
        </w:numPr>
        <w:rPr>
          <w:color w:val="E36C0A" w:themeColor="accent6" w:themeShade="BF"/>
          <w:sz w:val="24"/>
          <w:szCs w:val="24"/>
        </w:rPr>
      </w:pPr>
      <w:r w:rsidRPr="00B44982">
        <w:rPr>
          <w:i/>
          <w:color w:val="E36C0A" w:themeColor="accent6" w:themeShade="BF"/>
          <w:sz w:val="24"/>
          <w:szCs w:val="24"/>
        </w:rPr>
        <w:lastRenderedPageBreak/>
        <w:t>t</w:t>
      </w:r>
      <w:r w:rsidR="000C6115" w:rsidRPr="00B44982">
        <w:rPr>
          <w:i/>
          <w:color w:val="E36C0A" w:themeColor="accent6" w:themeShade="BF"/>
          <w:sz w:val="24"/>
          <w:szCs w:val="24"/>
        </w:rPr>
        <w:t xml:space="preserve">he </w:t>
      </w:r>
      <w:r w:rsidR="000C6115" w:rsidRPr="00B44982">
        <w:rPr>
          <w:b/>
          <w:i/>
          <w:color w:val="E36C0A" w:themeColor="accent6" w:themeShade="BF"/>
          <w:sz w:val="24"/>
          <w:szCs w:val="24"/>
        </w:rPr>
        <w:t>data available</w:t>
      </w:r>
      <w:r w:rsidR="000C6115" w:rsidRPr="00B44982">
        <w:rPr>
          <w:i/>
          <w:color w:val="E36C0A" w:themeColor="accent6" w:themeShade="BF"/>
          <w:sz w:val="24"/>
          <w:szCs w:val="24"/>
        </w:rPr>
        <w:t xml:space="preserve"> and the resources required to gather further data</w:t>
      </w:r>
      <w:r w:rsidRPr="00B44982">
        <w:rPr>
          <w:color w:val="E36C0A" w:themeColor="accent6" w:themeShade="BF"/>
          <w:sz w:val="24"/>
          <w:szCs w:val="24"/>
        </w:rPr>
        <w:t>;</w:t>
      </w:r>
      <w:r w:rsidR="000C6115" w:rsidRPr="00B44982">
        <w:rPr>
          <w:color w:val="E36C0A" w:themeColor="accent6" w:themeShade="BF"/>
          <w:sz w:val="24"/>
          <w:szCs w:val="24"/>
        </w:rPr>
        <w:t xml:space="preserve"> </w:t>
      </w:r>
    </w:p>
    <w:p w:rsidR="00B44982" w:rsidRPr="00B44982" w:rsidRDefault="009E5966" w:rsidP="00A864AC">
      <w:pPr>
        <w:pStyle w:val="ListParagraph"/>
        <w:numPr>
          <w:ilvl w:val="0"/>
          <w:numId w:val="30"/>
        </w:numPr>
        <w:rPr>
          <w:color w:val="E36C0A" w:themeColor="accent6" w:themeShade="BF"/>
          <w:sz w:val="24"/>
          <w:szCs w:val="24"/>
        </w:rPr>
      </w:pPr>
      <w:r w:rsidRPr="00B44982">
        <w:rPr>
          <w:i/>
          <w:color w:val="E36C0A" w:themeColor="accent6" w:themeShade="BF"/>
          <w:sz w:val="24"/>
          <w:szCs w:val="24"/>
        </w:rPr>
        <w:t>t</w:t>
      </w:r>
      <w:r w:rsidR="000C6115" w:rsidRPr="00B44982">
        <w:rPr>
          <w:i/>
          <w:color w:val="E36C0A" w:themeColor="accent6" w:themeShade="BF"/>
          <w:sz w:val="24"/>
          <w:szCs w:val="24"/>
        </w:rPr>
        <w:t xml:space="preserve">he </w:t>
      </w:r>
      <w:r w:rsidR="000C6115" w:rsidRPr="00B44982">
        <w:rPr>
          <w:b/>
          <w:i/>
          <w:color w:val="E36C0A" w:themeColor="accent6" w:themeShade="BF"/>
          <w:sz w:val="24"/>
          <w:szCs w:val="24"/>
        </w:rPr>
        <w:t>stage of policy</w:t>
      </w:r>
      <w:r w:rsidR="000C6115" w:rsidRPr="00B44982">
        <w:rPr>
          <w:i/>
          <w:color w:val="E36C0A" w:themeColor="accent6" w:themeShade="BF"/>
          <w:sz w:val="24"/>
          <w:szCs w:val="24"/>
        </w:rPr>
        <w:t xml:space="preserve"> development</w:t>
      </w:r>
      <w:r w:rsidR="00B44982" w:rsidRPr="00B44982">
        <w:rPr>
          <w:color w:val="E36C0A" w:themeColor="accent6" w:themeShade="BF"/>
          <w:sz w:val="24"/>
          <w:szCs w:val="24"/>
        </w:rPr>
        <w:t>; a</w:t>
      </w:r>
      <w:r w:rsidR="000C6115" w:rsidRPr="00B44982">
        <w:rPr>
          <w:color w:val="E36C0A" w:themeColor="accent6" w:themeShade="BF"/>
          <w:sz w:val="24"/>
          <w:szCs w:val="24"/>
        </w:rPr>
        <w:t xml:space="preserve">nd </w:t>
      </w:r>
    </w:p>
    <w:p w:rsidR="000C6115" w:rsidRPr="00B44982" w:rsidRDefault="009E5966" w:rsidP="00A864AC">
      <w:pPr>
        <w:pStyle w:val="ListParagraph"/>
        <w:numPr>
          <w:ilvl w:val="0"/>
          <w:numId w:val="30"/>
        </w:numPr>
        <w:rPr>
          <w:color w:val="E36C0A" w:themeColor="accent6" w:themeShade="BF"/>
          <w:sz w:val="24"/>
          <w:szCs w:val="24"/>
        </w:rPr>
      </w:pPr>
      <w:proofErr w:type="gramStart"/>
      <w:r w:rsidRPr="00B44982">
        <w:rPr>
          <w:i/>
          <w:color w:val="E36C0A" w:themeColor="accent6" w:themeShade="BF"/>
          <w:sz w:val="24"/>
          <w:szCs w:val="24"/>
        </w:rPr>
        <w:t>t</w:t>
      </w:r>
      <w:r w:rsidR="000C6115" w:rsidRPr="00B44982">
        <w:rPr>
          <w:i/>
          <w:color w:val="E36C0A" w:themeColor="accent6" w:themeShade="BF"/>
          <w:sz w:val="24"/>
          <w:szCs w:val="24"/>
        </w:rPr>
        <w:t>he</w:t>
      </w:r>
      <w:proofErr w:type="gramEnd"/>
      <w:r w:rsidR="000C6115" w:rsidRPr="00B44982">
        <w:rPr>
          <w:i/>
          <w:color w:val="E36C0A" w:themeColor="accent6" w:themeShade="BF"/>
          <w:sz w:val="24"/>
          <w:szCs w:val="24"/>
        </w:rPr>
        <w:t xml:space="preserve"> </w:t>
      </w:r>
      <w:r w:rsidR="000C6115" w:rsidRPr="00B44982">
        <w:rPr>
          <w:b/>
          <w:i/>
          <w:color w:val="E36C0A" w:themeColor="accent6" w:themeShade="BF"/>
          <w:sz w:val="24"/>
          <w:szCs w:val="24"/>
        </w:rPr>
        <w:t xml:space="preserve">time available </w:t>
      </w:r>
      <w:r w:rsidR="000C6115" w:rsidRPr="00B44982">
        <w:rPr>
          <w:i/>
          <w:color w:val="E36C0A" w:themeColor="accent6" w:themeShade="BF"/>
          <w:sz w:val="24"/>
          <w:szCs w:val="24"/>
        </w:rPr>
        <w:t>for policy development</w:t>
      </w:r>
      <w:r w:rsidR="000C6115" w:rsidRPr="00B44982">
        <w:rPr>
          <w:color w:val="E36C0A" w:themeColor="accent6" w:themeShade="BF"/>
          <w:sz w:val="24"/>
          <w:szCs w:val="24"/>
        </w:rPr>
        <w:t>.</w:t>
      </w:r>
    </w:p>
    <w:p w:rsidR="000C6115" w:rsidRPr="000C6115" w:rsidRDefault="000C6115" w:rsidP="000C6115">
      <w:pPr>
        <w:rPr>
          <w:sz w:val="24"/>
          <w:szCs w:val="24"/>
        </w:rPr>
      </w:pPr>
      <w:r w:rsidRPr="000C6115">
        <w:rPr>
          <w:sz w:val="24"/>
          <w:szCs w:val="24"/>
        </w:rPr>
        <w:t xml:space="preserve">If the </w:t>
      </w:r>
      <w:r w:rsidRPr="00C37C0C">
        <w:rPr>
          <w:b/>
          <w:sz w:val="24"/>
          <w:szCs w:val="24"/>
        </w:rPr>
        <w:t>data required</w:t>
      </w:r>
      <w:r w:rsidRPr="000C6115">
        <w:rPr>
          <w:sz w:val="24"/>
          <w:szCs w:val="24"/>
        </w:rPr>
        <w:t xml:space="preserve"> to accurately </w:t>
      </w:r>
      <w:proofErr w:type="gramStart"/>
      <w:r w:rsidRPr="000C6115">
        <w:rPr>
          <w:sz w:val="24"/>
          <w:szCs w:val="24"/>
        </w:rPr>
        <w:t>quantify</w:t>
      </w:r>
      <w:proofErr w:type="gramEnd"/>
      <w:r w:rsidRPr="000C6115">
        <w:rPr>
          <w:sz w:val="24"/>
          <w:szCs w:val="24"/>
        </w:rPr>
        <w:t xml:space="preserve"> or monetise the impacts of the proposal is readily available then it should be used in </w:t>
      </w:r>
      <w:r w:rsidR="00F43EB4">
        <w:rPr>
          <w:sz w:val="24"/>
          <w:szCs w:val="24"/>
        </w:rPr>
        <w:t xml:space="preserve">the </w:t>
      </w:r>
      <w:r w:rsidRPr="000C6115">
        <w:rPr>
          <w:sz w:val="24"/>
          <w:szCs w:val="24"/>
        </w:rPr>
        <w:t>analysis. This would be the case if it w</w:t>
      </w:r>
      <w:r w:rsidR="00F43EB4">
        <w:rPr>
          <w:sz w:val="24"/>
          <w:szCs w:val="24"/>
        </w:rPr>
        <w:t>ere</w:t>
      </w:r>
      <w:r w:rsidRPr="000C6115">
        <w:rPr>
          <w:sz w:val="24"/>
          <w:szCs w:val="24"/>
        </w:rPr>
        <w:t xml:space="preserve"> either publically available or could be easily provided by businesses or other groups. </w:t>
      </w:r>
    </w:p>
    <w:p w:rsidR="000C6115" w:rsidRPr="000C6115" w:rsidRDefault="000C6115" w:rsidP="000C6115">
      <w:pPr>
        <w:rPr>
          <w:sz w:val="24"/>
          <w:szCs w:val="24"/>
        </w:rPr>
      </w:pPr>
      <w:r w:rsidRPr="000C6115">
        <w:rPr>
          <w:sz w:val="24"/>
          <w:szCs w:val="24"/>
        </w:rPr>
        <w:t xml:space="preserve">Where new data collection or extensive research is required this should only be conducted if it is cost effective. In cases where the impacts concerned are </w:t>
      </w:r>
      <w:r w:rsidR="00150C44">
        <w:rPr>
          <w:sz w:val="24"/>
          <w:szCs w:val="24"/>
        </w:rPr>
        <w:t xml:space="preserve">likely to be </w:t>
      </w:r>
      <w:r w:rsidRPr="000C6115">
        <w:rPr>
          <w:sz w:val="24"/>
          <w:szCs w:val="24"/>
        </w:rPr>
        <w:t xml:space="preserve">of a very small and uncontroversial nature it would be disproportionate to use excessive resources trying to quantify or monetise them. </w:t>
      </w:r>
      <w:r w:rsidR="00F43EB4">
        <w:rPr>
          <w:sz w:val="24"/>
          <w:szCs w:val="24"/>
        </w:rPr>
        <w:t>T</w:t>
      </w:r>
      <w:r w:rsidRPr="000C6115">
        <w:rPr>
          <w:sz w:val="24"/>
          <w:szCs w:val="24"/>
        </w:rPr>
        <w:t xml:space="preserve">his applies </w:t>
      </w:r>
      <w:r w:rsidR="00F43EB4">
        <w:rPr>
          <w:sz w:val="24"/>
          <w:szCs w:val="24"/>
        </w:rPr>
        <w:t xml:space="preserve">equally </w:t>
      </w:r>
      <w:r w:rsidRPr="000C6115">
        <w:rPr>
          <w:sz w:val="24"/>
          <w:szCs w:val="24"/>
        </w:rPr>
        <w:t>to minor impacts of policies whose wider effects may be significant.</w:t>
      </w:r>
      <w:r w:rsidR="00253B6D">
        <w:rPr>
          <w:sz w:val="24"/>
          <w:szCs w:val="24"/>
        </w:rPr>
        <w:t xml:space="preserve"> The RPC does recognise the inherent difficulty in judging whether additional analysis is cost-effective before the impacts of the policy are known. However, broad indicators of the policy’s scale are usually available and so could be used to inform a decision on proportionality.</w:t>
      </w:r>
      <w:r w:rsidR="00C657AA">
        <w:rPr>
          <w:sz w:val="24"/>
          <w:szCs w:val="24"/>
        </w:rPr>
        <w:t xml:space="preserve">  Where the IA is at consultation stage and the Department plans to use the consultation to collect key data, the IA should explain how the consultation will be used.</w:t>
      </w:r>
    </w:p>
    <w:p w:rsidR="000C6115" w:rsidRPr="000C6115" w:rsidRDefault="000C6115" w:rsidP="000C6115">
      <w:pPr>
        <w:rPr>
          <w:sz w:val="24"/>
          <w:szCs w:val="24"/>
        </w:rPr>
      </w:pPr>
      <w:r w:rsidRPr="000C6115">
        <w:rPr>
          <w:sz w:val="24"/>
          <w:szCs w:val="24"/>
        </w:rPr>
        <w:t xml:space="preserve">For policies in which </w:t>
      </w:r>
      <w:r w:rsidRPr="00C37C0C">
        <w:rPr>
          <w:b/>
          <w:sz w:val="24"/>
          <w:szCs w:val="24"/>
        </w:rPr>
        <w:t>the time available for policy development</w:t>
      </w:r>
      <w:r w:rsidRPr="000C6115">
        <w:rPr>
          <w:sz w:val="24"/>
          <w:szCs w:val="24"/>
        </w:rPr>
        <w:t xml:space="preserve"> is constrained by external forces, such as the response to emergencies, only analysis that can be conducted within a few days would be expected. However</w:t>
      </w:r>
      <w:r w:rsidR="0071323A">
        <w:rPr>
          <w:sz w:val="24"/>
          <w:szCs w:val="24"/>
        </w:rPr>
        <w:t>,</w:t>
      </w:r>
      <w:r w:rsidRPr="000C6115">
        <w:rPr>
          <w:sz w:val="24"/>
          <w:szCs w:val="24"/>
        </w:rPr>
        <w:t xml:space="preserve"> a lack of forward planning or political time constraints are not justifications for limited analysis.</w:t>
      </w:r>
    </w:p>
    <w:p w:rsidR="000C6115" w:rsidRPr="000C6115" w:rsidRDefault="000C6115" w:rsidP="000C611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contextualSpacing/>
        <w:rPr>
          <w:sz w:val="24"/>
          <w:szCs w:val="24"/>
          <w:lang w:eastAsia="en-GB"/>
        </w:rPr>
      </w:pPr>
      <w:r w:rsidRPr="000C6115">
        <w:rPr>
          <w:rFonts w:cstheme="minorHAnsi"/>
          <w:b/>
          <w:sz w:val="24"/>
          <w:szCs w:val="24"/>
        </w:rPr>
        <w:t xml:space="preserve">European </w:t>
      </w:r>
      <w:r w:rsidRPr="000C6115">
        <w:rPr>
          <w:b/>
          <w:bCs/>
          <w:sz w:val="24"/>
          <w:szCs w:val="24"/>
          <w:lang w:eastAsia="en-GB"/>
        </w:rPr>
        <w:t>Commission’s Regulation on bus and coach passenger rights (RPC13-DfT</w:t>
      </w:r>
      <w:r w:rsidRPr="000C6115">
        <w:rPr>
          <w:b/>
          <w:bCs/>
          <w:sz w:val="24"/>
          <w:szCs w:val="24"/>
          <w:lang w:eastAsia="en-GB"/>
        </w:rPr>
        <w:noBreakHyphen/>
      </w:r>
      <w:proofErr w:type="gramStart"/>
      <w:r w:rsidRPr="000C6115">
        <w:rPr>
          <w:b/>
          <w:bCs/>
          <w:sz w:val="24"/>
          <w:szCs w:val="24"/>
          <w:lang w:eastAsia="en-GB"/>
        </w:rPr>
        <w:t>1163(</w:t>
      </w:r>
      <w:proofErr w:type="gramEnd"/>
      <w:r w:rsidRPr="000C6115">
        <w:rPr>
          <w:b/>
          <w:bCs/>
          <w:sz w:val="24"/>
          <w:szCs w:val="24"/>
          <w:lang w:eastAsia="en-GB"/>
        </w:rPr>
        <w:t xml:space="preserve">3)): </w:t>
      </w:r>
      <w:r w:rsidRPr="000C6115">
        <w:rPr>
          <w:rFonts w:cstheme="minorHAnsi"/>
          <w:sz w:val="24"/>
          <w:szCs w:val="24"/>
        </w:rPr>
        <w:t xml:space="preserve">This was an </w:t>
      </w:r>
      <w:r w:rsidRPr="000C6115">
        <w:rPr>
          <w:sz w:val="24"/>
          <w:szCs w:val="24"/>
          <w:lang w:eastAsia="en-GB"/>
        </w:rPr>
        <w:t xml:space="preserve">EU-driven proposal that included provisions on non-discriminatory pricing, rights in the case of cancellation and the rights of disabled passengers. </w:t>
      </w:r>
      <w:r w:rsidR="00DE12F7">
        <w:rPr>
          <w:sz w:val="24"/>
          <w:szCs w:val="24"/>
          <w:lang w:eastAsia="en-GB"/>
        </w:rPr>
        <w:t>T</w:t>
      </w:r>
      <w:r w:rsidRPr="000C6115">
        <w:rPr>
          <w:sz w:val="24"/>
          <w:szCs w:val="24"/>
          <w:lang w:eastAsia="en-GB"/>
        </w:rPr>
        <w:t xml:space="preserve">he Department did not fully explore how many businesses and passengers would be affected by the proposal </w:t>
      </w:r>
      <w:r w:rsidR="0034748C">
        <w:rPr>
          <w:sz w:val="24"/>
          <w:szCs w:val="24"/>
          <w:lang w:eastAsia="en-GB"/>
        </w:rPr>
        <w:t>and</w:t>
      </w:r>
      <w:r w:rsidR="0034748C" w:rsidRPr="000C6115">
        <w:rPr>
          <w:sz w:val="24"/>
          <w:szCs w:val="24"/>
          <w:lang w:eastAsia="en-GB"/>
        </w:rPr>
        <w:t xml:space="preserve"> </w:t>
      </w:r>
      <w:r w:rsidRPr="000C6115">
        <w:rPr>
          <w:sz w:val="24"/>
          <w:szCs w:val="24"/>
          <w:lang w:eastAsia="en-GB"/>
        </w:rPr>
        <w:t>did not make use of</w:t>
      </w:r>
      <w:r w:rsidRPr="000C6115">
        <w:rPr>
          <w:bCs/>
          <w:sz w:val="24"/>
          <w:szCs w:val="24"/>
          <w:lang w:eastAsia="en-GB"/>
        </w:rPr>
        <w:t xml:space="preserve"> responses to the consultation to inform the final IA.</w:t>
      </w:r>
      <w:r w:rsidRPr="000C6115">
        <w:rPr>
          <w:sz w:val="24"/>
          <w:szCs w:val="24"/>
          <w:lang w:eastAsia="en-GB"/>
        </w:rPr>
        <w:t xml:space="preserve"> For example, the exemption for drivers from the mandatory disability awareness training was objected to by 196 responses out of the 208 received. </w:t>
      </w:r>
      <w:r w:rsidR="007F7477">
        <w:rPr>
          <w:sz w:val="24"/>
          <w:szCs w:val="24"/>
          <w:lang w:eastAsia="en-GB"/>
        </w:rPr>
        <w:t xml:space="preserve">This illustrates that </w:t>
      </w:r>
      <w:r w:rsidR="00253B6D" w:rsidRPr="000029FB">
        <w:rPr>
          <w:sz w:val="24"/>
          <w:szCs w:val="24"/>
          <w:lang w:eastAsia="en-GB"/>
        </w:rPr>
        <w:t xml:space="preserve">the </w:t>
      </w:r>
      <w:r w:rsidR="00253B6D" w:rsidRPr="007F7477">
        <w:rPr>
          <w:b/>
          <w:sz w:val="24"/>
          <w:szCs w:val="24"/>
          <w:lang w:eastAsia="en-GB"/>
        </w:rPr>
        <w:t>lack of use of</w:t>
      </w:r>
      <w:r w:rsidR="00253B6D" w:rsidRPr="000029FB">
        <w:rPr>
          <w:sz w:val="24"/>
          <w:szCs w:val="24"/>
          <w:lang w:eastAsia="en-GB"/>
        </w:rPr>
        <w:t xml:space="preserve"> </w:t>
      </w:r>
      <w:r w:rsidR="007F7477" w:rsidRPr="007F7477">
        <w:rPr>
          <w:b/>
          <w:sz w:val="24"/>
          <w:szCs w:val="24"/>
          <w:lang w:eastAsia="en-GB"/>
        </w:rPr>
        <w:t xml:space="preserve">existing and </w:t>
      </w:r>
      <w:r w:rsidR="00253B6D" w:rsidRPr="007F7477">
        <w:rPr>
          <w:b/>
          <w:sz w:val="24"/>
          <w:szCs w:val="24"/>
          <w:lang w:eastAsia="en-GB"/>
        </w:rPr>
        <w:t>available evidence</w:t>
      </w:r>
      <w:r w:rsidR="007F7477">
        <w:rPr>
          <w:b/>
          <w:sz w:val="24"/>
          <w:szCs w:val="24"/>
          <w:lang w:eastAsia="en-GB"/>
        </w:rPr>
        <w:t>, including from the consultation,</w:t>
      </w:r>
      <w:r w:rsidR="00253B6D" w:rsidRPr="000029FB">
        <w:rPr>
          <w:sz w:val="24"/>
          <w:szCs w:val="24"/>
          <w:lang w:eastAsia="en-GB"/>
        </w:rPr>
        <w:t xml:space="preserve"> c</w:t>
      </w:r>
      <w:r w:rsidR="007F7477">
        <w:rPr>
          <w:sz w:val="24"/>
          <w:szCs w:val="24"/>
          <w:lang w:eastAsia="en-GB"/>
        </w:rPr>
        <w:t>an</w:t>
      </w:r>
      <w:r w:rsidR="00253B6D" w:rsidRPr="000029FB">
        <w:rPr>
          <w:sz w:val="24"/>
          <w:szCs w:val="24"/>
          <w:lang w:eastAsia="en-GB"/>
        </w:rPr>
        <w:t xml:space="preserve"> be a sufficient reason for the RPC to give a red opinion.</w:t>
      </w:r>
    </w:p>
    <w:p w:rsidR="000C6115" w:rsidRPr="000C6115" w:rsidRDefault="000C6115" w:rsidP="000C6115">
      <w:pPr>
        <w:rPr>
          <w:b/>
          <w:sz w:val="24"/>
          <w:szCs w:val="24"/>
        </w:rPr>
      </w:pPr>
    </w:p>
    <w:p w:rsidR="000C6115" w:rsidRPr="000C6115" w:rsidRDefault="000C6115" w:rsidP="000C611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contextualSpacing/>
        <w:rPr>
          <w:sz w:val="24"/>
          <w:szCs w:val="24"/>
          <w:lang w:eastAsia="en-GB"/>
        </w:rPr>
      </w:pPr>
      <w:r w:rsidRPr="000C6115">
        <w:rPr>
          <w:rFonts w:cstheme="minorHAnsi"/>
          <w:b/>
          <w:sz w:val="24"/>
          <w:szCs w:val="24"/>
        </w:rPr>
        <w:t>Helping Home businesses – Amendment to the Landlord and Tenant Act 1954 (RPC-</w:t>
      </w:r>
      <w:r w:rsidR="006B0EFE">
        <w:rPr>
          <w:rFonts w:cstheme="minorHAnsi"/>
          <w:b/>
          <w:sz w:val="24"/>
          <w:szCs w:val="24"/>
        </w:rPr>
        <w:t>CLG-</w:t>
      </w:r>
      <w:r w:rsidRPr="000C6115">
        <w:rPr>
          <w:rFonts w:cstheme="minorHAnsi"/>
          <w:b/>
          <w:sz w:val="24"/>
          <w:szCs w:val="24"/>
        </w:rPr>
        <w:t>2202(3)</w:t>
      </w:r>
      <w:r w:rsidR="006B0EFE">
        <w:rPr>
          <w:rFonts w:cstheme="minorHAnsi"/>
          <w:b/>
          <w:sz w:val="24"/>
          <w:szCs w:val="24"/>
        </w:rPr>
        <w:t>)</w:t>
      </w:r>
      <w:r w:rsidRPr="000C6115">
        <w:rPr>
          <w:b/>
          <w:bCs/>
          <w:sz w:val="24"/>
          <w:szCs w:val="24"/>
          <w:lang w:eastAsia="en-GB"/>
        </w:rPr>
        <w:t xml:space="preserve">: </w:t>
      </w:r>
      <w:r w:rsidRPr="0034748C">
        <w:rPr>
          <w:bCs/>
          <w:sz w:val="24"/>
          <w:szCs w:val="24"/>
          <w:lang w:eastAsia="en-GB"/>
        </w:rPr>
        <w:t xml:space="preserve">The </w:t>
      </w:r>
      <w:r w:rsidRPr="000C6115">
        <w:rPr>
          <w:sz w:val="24"/>
          <w:szCs w:val="24"/>
        </w:rPr>
        <w:t xml:space="preserve">policy amended the Landlord and Tenant Act 1954 to clarify that if a home business is established or run in a rented dwelling the tenancy will remain as a residential tenancy, rather than switch to a business tenancy with greater tenant rights. Consultation evidence suggested that a very small number of landlords were likely to be affected by this change as there was already widespread knowledge of the case law rule that the tenancy is residential as long as the property remains primarily a home. </w:t>
      </w:r>
      <w:r w:rsidR="00DE12F7">
        <w:rPr>
          <w:sz w:val="24"/>
          <w:szCs w:val="24"/>
        </w:rPr>
        <w:t>T</w:t>
      </w:r>
      <w:r w:rsidRPr="000C6115">
        <w:rPr>
          <w:sz w:val="24"/>
          <w:szCs w:val="24"/>
        </w:rPr>
        <w:t xml:space="preserve">he scale of the policy </w:t>
      </w:r>
      <w:r w:rsidR="00150C44">
        <w:rPr>
          <w:sz w:val="24"/>
          <w:szCs w:val="24"/>
        </w:rPr>
        <w:t xml:space="preserve">impact </w:t>
      </w:r>
      <w:r w:rsidRPr="000C6115">
        <w:rPr>
          <w:sz w:val="24"/>
          <w:szCs w:val="24"/>
        </w:rPr>
        <w:t>was</w:t>
      </w:r>
      <w:r w:rsidR="00DE12F7">
        <w:rPr>
          <w:sz w:val="24"/>
          <w:szCs w:val="24"/>
        </w:rPr>
        <w:t>, therefore,</w:t>
      </w:r>
      <w:r w:rsidRPr="000C6115">
        <w:rPr>
          <w:sz w:val="24"/>
          <w:szCs w:val="24"/>
        </w:rPr>
        <w:t xml:space="preserve"> likely to be very small. The Department was able to estimate the </w:t>
      </w:r>
      <w:r w:rsidRPr="000C6115">
        <w:rPr>
          <w:sz w:val="24"/>
          <w:szCs w:val="24"/>
        </w:rPr>
        <w:lastRenderedPageBreak/>
        <w:t>familiarisation costs of the policy as £0.49 million, based on a subset of landlords taking time to read the new proposals. However</w:t>
      </w:r>
      <w:r w:rsidR="0034748C">
        <w:rPr>
          <w:sz w:val="24"/>
          <w:szCs w:val="24"/>
        </w:rPr>
        <w:t>,</w:t>
      </w:r>
      <w:r w:rsidRPr="000C6115">
        <w:rPr>
          <w:sz w:val="24"/>
          <w:szCs w:val="24"/>
        </w:rPr>
        <w:t xml:space="preserve"> the Department explained that it would be very difficult to quantify how many individuals running home businesses would no longer have to rent private office space</w:t>
      </w:r>
      <w:r w:rsidR="00DE12F7">
        <w:rPr>
          <w:sz w:val="24"/>
          <w:szCs w:val="24"/>
        </w:rPr>
        <w:t>,</w:t>
      </w:r>
      <w:r w:rsidRPr="000C6115">
        <w:rPr>
          <w:sz w:val="24"/>
          <w:szCs w:val="24"/>
        </w:rPr>
        <w:t xml:space="preserve"> or the extent to which private landlords would find it easier to rent properties. The RPC accepted the department’s claim that quantifying and monetising these impacts would require a disproportionate quantity of resources for such a minor measure.</w:t>
      </w:r>
    </w:p>
    <w:p w:rsidR="000C6115" w:rsidRPr="000C6115" w:rsidRDefault="000C6115" w:rsidP="000C6115">
      <w:pPr>
        <w:autoSpaceDE w:val="0"/>
        <w:autoSpaceDN w:val="0"/>
        <w:adjustRightInd w:val="0"/>
        <w:spacing w:after="0" w:line="240" w:lineRule="auto"/>
        <w:rPr>
          <w:rFonts w:ascii="Arial" w:hAnsi="Arial" w:cs="Arial"/>
          <w:color w:val="000000"/>
          <w:sz w:val="24"/>
          <w:szCs w:val="24"/>
        </w:rPr>
      </w:pPr>
    </w:p>
    <w:p w:rsidR="00256288" w:rsidRDefault="00256288" w:rsidP="00256288">
      <w:pPr>
        <w:autoSpaceDE w:val="0"/>
        <w:autoSpaceDN w:val="0"/>
        <w:adjustRightInd w:val="0"/>
        <w:spacing w:after="0" w:line="240" w:lineRule="auto"/>
        <w:rPr>
          <w:rFonts w:ascii="Arial" w:hAnsi="Arial" w:cs="Arial"/>
          <w:b/>
          <w:color w:val="000000"/>
        </w:rPr>
      </w:pPr>
    </w:p>
    <w:p w:rsidR="00256288" w:rsidRDefault="00256288" w:rsidP="00256288">
      <w:pPr>
        <w:autoSpaceDE w:val="0"/>
        <w:autoSpaceDN w:val="0"/>
        <w:adjustRightInd w:val="0"/>
        <w:spacing w:after="0" w:line="240" w:lineRule="auto"/>
        <w:rPr>
          <w:rFonts w:ascii="Arial" w:hAnsi="Arial" w:cs="Arial"/>
          <w:b/>
          <w:color w:val="000000"/>
        </w:rPr>
      </w:pPr>
    </w:p>
    <w:p w:rsidR="0030722E" w:rsidRPr="00256288" w:rsidRDefault="0030722E" w:rsidP="0030722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color w:val="000000"/>
          <w:sz w:val="24"/>
          <w:szCs w:val="24"/>
        </w:rPr>
      </w:pPr>
      <w:r w:rsidRPr="00256288">
        <w:rPr>
          <w:rFonts w:cstheme="minorHAnsi"/>
          <w:b/>
          <w:color w:val="000000"/>
          <w:sz w:val="24"/>
          <w:szCs w:val="24"/>
        </w:rPr>
        <w:t xml:space="preserve">Introduction of permissive legislative framework for Defined Ambition pension schemes (Consultation, Green) (RPC13-DWP-1992): </w:t>
      </w:r>
      <w:r w:rsidRPr="00256288">
        <w:rPr>
          <w:rFonts w:cstheme="minorHAnsi"/>
          <w:color w:val="000000"/>
          <w:sz w:val="24"/>
          <w:szCs w:val="24"/>
        </w:rPr>
        <w:t xml:space="preserve">The proposal explained how Government’s legislative intervention was required in order for it to create the framework which would enable the pensions market to develop new and innovative types of pension provision within the Defined Ambition (DA) schemes. </w:t>
      </w:r>
      <w:r w:rsidRPr="00256288">
        <w:rPr>
          <w:rFonts w:cstheme="minorHAnsi"/>
          <w:sz w:val="24"/>
          <w:szCs w:val="24"/>
        </w:rPr>
        <w:t>By creating this space within the legis</w:t>
      </w:r>
      <w:r>
        <w:rPr>
          <w:rFonts w:cstheme="minorHAnsi"/>
          <w:sz w:val="24"/>
          <w:szCs w:val="24"/>
        </w:rPr>
        <w:t>lative framework, employers would</w:t>
      </w:r>
      <w:r w:rsidRPr="00256288">
        <w:rPr>
          <w:rFonts w:cstheme="minorHAnsi"/>
          <w:sz w:val="24"/>
          <w:szCs w:val="24"/>
        </w:rPr>
        <w:t xml:space="preserve"> be able to offer DA pension schemes to their employees and, then, collectively decide on the choice (and design) of a pension model. </w:t>
      </w:r>
    </w:p>
    <w:p w:rsidR="0030722E" w:rsidRDefault="0030722E" w:rsidP="0030722E">
      <w:pPr>
        <w:pStyle w:val="Default"/>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line="276" w:lineRule="auto"/>
        <w:rPr>
          <w:rFonts w:asciiTheme="minorHAnsi" w:hAnsiTheme="minorHAnsi" w:cstheme="minorHAnsi"/>
        </w:rPr>
      </w:pPr>
    </w:p>
    <w:p w:rsidR="0030722E" w:rsidRPr="00256288" w:rsidRDefault="0030722E" w:rsidP="0030722E">
      <w:pPr>
        <w:pStyle w:val="Default"/>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line="276" w:lineRule="auto"/>
        <w:rPr>
          <w:rFonts w:asciiTheme="minorHAnsi" w:hAnsiTheme="minorHAnsi" w:cstheme="minorHAnsi"/>
        </w:rPr>
      </w:pPr>
      <w:r w:rsidRPr="00256288">
        <w:rPr>
          <w:rFonts w:asciiTheme="minorHAnsi" w:hAnsiTheme="minorHAnsi" w:cstheme="minorHAnsi"/>
        </w:rPr>
        <w:t>The intro</w:t>
      </w:r>
      <w:r>
        <w:rPr>
          <w:rFonts w:asciiTheme="minorHAnsi" w:hAnsiTheme="minorHAnsi" w:cstheme="minorHAnsi"/>
        </w:rPr>
        <w:t>duction of the DA framework would</w:t>
      </w:r>
      <w:r w:rsidRPr="00256288">
        <w:rPr>
          <w:rFonts w:asciiTheme="minorHAnsi" w:hAnsiTheme="minorHAnsi" w:cstheme="minorHAnsi"/>
        </w:rPr>
        <w:t xml:space="preserve"> produce some costs for employers arising “</w:t>
      </w:r>
      <w:r w:rsidRPr="00256288">
        <w:rPr>
          <w:rFonts w:asciiTheme="minorHAnsi" w:hAnsiTheme="minorHAnsi" w:cstheme="minorHAnsi"/>
          <w:i/>
          <w:iCs/>
        </w:rPr>
        <w:t>from the need for all current schemes to assess how the new definitions apply to them and identify themselves under the new framework</w:t>
      </w:r>
      <w:r w:rsidRPr="00256288">
        <w:rPr>
          <w:rFonts w:asciiTheme="minorHAnsi" w:hAnsiTheme="minorHAnsi" w:cstheme="minorHAnsi"/>
        </w:rPr>
        <w:t>”.</w:t>
      </w:r>
      <w:r>
        <w:rPr>
          <w:rFonts w:asciiTheme="minorHAnsi" w:hAnsiTheme="minorHAnsi" w:cstheme="minorHAnsi"/>
        </w:rPr>
        <w:t xml:space="preserve"> However, the Department expected that the proposals would</w:t>
      </w:r>
      <w:r w:rsidRPr="00256288">
        <w:rPr>
          <w:rFonts w:asciiTheme="minorHAnsi" w:hAnsiTheme="minorHAnsi" w:cstheme="minorHAnsi"/>
        </w:rPr>
        <w:t xml:space="preserve"> </w:t>
      </w:r>
      <w:r>
        <w:rPr>
          <w:rFonts w:asciiTheme="minorHAnsi" w:hAnsiTheme="minorHAnsi" w:cstheme="minorHAnsi"/>
        </w:rPr>
        <w:t>be beneficial overall and stated</w:t>
      </w:r>
      <w:r w:rsidRPr="00256288">
        <w:rPr>
          <w:rFonts w:asciiTheme="minorHAnsi" w:hAnsiTheme="minorHAnsi" w:cstheme="minorHAnsi"/>
        </w:rPr>
        <w:t xml:space="preserve"> that these </w:t>
      </w:r>
      <w:r>
        <w:rPr>
          <w:rFonts w:asciiTheme="minorHAnsi" w:hAnsiTheme="minorHAnsi" w:cstheme="minorHAnsi"/>
        </w:rPr>
        <w:t xml:space="preserve">would </w:t>
      </w:r>
      <w:r w:rsidRPr="00256288">
        <w:rPr>
          <w:rFonts w:asciiTheme="minorHAnsi" w:hAnsiTheme="minorHAnsi" w:cstheme="minorHAnsi"/>
        </w:rPr>
        <w:t>“</w:t>
      </w:r>
      <w:r w:rsidRPr="00256288">
        <w:rPr>
          <w:rFonts w:asciiTheme="minorHAnsi" w:hAnsiTheme="minorHAnsi" w:cstheme="minorHAnsi"/>
          <w:i/>
          <w:iCs/>
        </w:rPr>
        <w:t>give employers and employees more choice and flexibility over their pension arrangements</w:t>
      </w:r>
      <w:r w:rsidRPr="00256288">
        <w:rPr>
          <w:rFonts w:asciiTheme="minorHAnsi" w:hAnsiTheme="minorHAnsi" w:cstheme="minorHAnsi"/>
        </w:rPr>
        <w:t xml:space="preserve">” </w:t>
      </w:r>
    </w:p>
    <w:p w:rsidR="0030722E" w:rsidRDefault="0030722E" w:rsidP="0030722E">
      <w:pPr>
        <w:pStyle w:val="Default"/>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line="276" w:lineRule="auto"/>
        <w:rPr>
          <w:rFonts w:asciiTheme="minorHAnsi" w:hAnsiTheme="minorHAnsi" w:cstheme="minorHAnsi"/>
        </w:rPr>
      </w:pPr>
    </w:p>
    <w:p w:rsidR="0030722E" w:rsidRPr="00256288" w:rsidRDefault="0030722E" w:rsidP="0030722E">
      <w:pPr>
        <w:pStyle w:val="Default"/>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line="276" w:lineRule="auto"/>
        <w:rPr>
          <w:rFonts w:asciiTheme="minorHAnsi" w:hAnsiTheme="minorHAnsi" w:cstheme="minorHAnsi"/>
        </w:rPr>
      </w:pPr>
      <w:r w:rsidRPr="00256288">
        <w:rPr>
          <w:rFonts w:asciiTheme="minorHAnsi" w:hAnsiTheme="minorHAnsi" w:cstheme="minorHAnsi"/>
        </w:rPr>
        <w:t xml:space="preserve">The Department </w:t>
      </w:r>
      <w:r>
        <w:rPr>
          <w:rFonts w:asciiTheme="minorHAnsi" w:hAnsiTheme="minorHAnsi" w:cstheme="minorHAnsi"/>
        </w:rPr>
        <w:t xml:space="preserve">was, </w:t>
      </w:r>
      <w:r w:rsidRPr="00504FCC">
        <w:rPr>
          <w:rFonts w:asciiTheme="minorHAnsi" w:hAnsiTheme="minorHAnsi" w:cstheme="minorHAnsi"/>
          <w:u w:val="single"/>
        </w:rPr>
        <w:t>at that stage of the scheme’s development</w:t>
      </w:r>
      <w:r w:rsidRPr="00256288">
        <w:rPr>
          <w:rFonts w:asciiTheme="minorHAnsi" w:hAnsiTheme="minorHAnsi" w:cstheme="minorHAnsi"/>
        </w:rPr>
        <w:t xml:space="preserve">, unable to </w:t>
      </w:r>
      <w:r w:rsidRPr="00256288">
        <w:rPr>
          <w:rFonts w:asciiTheme="minorHAnsi" w:hAnsiTheme="minorHAnsi" w:cstheme="minorHAnsi"/>
          <w:i/>
          <w:iCs/>
        </w:rPr>
        <w:t>“provide reliable information to quantify the costs or benefits of the primary proposals</w:t>
      </w:r>
      <w:r>
        <w:rPr>
          <w:rFonts w:asciiTheme="minorHAnsi" w:hAnsiTheme="minorHAnsi" w:cstheme="minorHAnsi"/>
        </w:rPr>
        <w:t>”</w:t>
      </w:r>
      <w:r w:rsidRPr="00256288">
        <w:rPr>
          <w:rFonts w:asciiTheme="minorHAnsi" w:hAnsiTheme="minorHAnsi" w:cstheme="minorHAnsi"/>
        </w:rPr>
        <w:t>.</w:t>
      </w:r>
      <w:r>
        <w:rPr>
          <w:rFonts w:asciiTheme="minorHAnsi" w:hAnsiTheme="minorHAnsi" w:cstheme="minorHAnsi"/>
        </w:rPr>
        <w:t xml:space="preserve"> </w:t>
      </w:r>
      <w:r w:rsidR="00B94DFE">
        <w:rPr>
          <w:rFonts w:asciiTheme="minorHAnsi" w:hAnsiTheme="minorHAnsi" w:cstheme="minorHAnsi"/>
        </w:rPr>
        <w:t xml:space="preserve">The </w:t>
      </w:r>
      <w:r>
        <w:rPr>
          <w:rFonts w:asciiTheme="minorHAnsi" w:hAnsiTheme="minorHAnsi" w:cstheme="minorHAnsi"/>
        </w:rPr>
        <w:t>RPC concluded this seemed to be a reasonable assessment at that</w:t>
      </w:r>
      <w:r w:rsidRPr="00256288">
        <w:rPr>
          <w:rFonts w:asciiTheme="minorHAnsi" w:hAnsiTheme="minorHAnsi" w:cstheme="minorHAnsi"/>
        </w:rPr>
        <w:t xml:space="preserve"> stage</w:t>
      </w:r>
      <w:r>
        <w:rPr>
          <w:rFonts w:asciiTheme="minorHAnsi" w:hAnsiTheme="minorHAnsi" w:cstheme="minorHAnsi"/>
        </w:rPr>
        <w:t xml:space="preserve"> of policy development</w:t>
      </w:r>
      <w:r w:rsidRPr="00256288">
        <w:rPr>
          <w:rFonts w:asciiTheme="minorHAnsi" w:hAnsiTheme="minorHAnsi" w:cstheme="minorHAnsi"/>
        </w:rPr>
        <w:t xml:space="preserve">. </w:t>
      </w:r>
      <w:r w:rsidR="00B94DFE">
        <w:rPr>
          <w:rFonts w:asciiTheme="minorHAnsi" w:hAnsiTheme="minorHAnsi" w:cstheme="minorHAnsi"/>
        </w:rPr>
        <w:t xml:space="preserve">The </w:t>
      </w:r>
      <w:r>
        <w:rPr>
          <w:rFonts w:asciiTheme="minorHAnsi" w:hAnsiTheme="minorHAnsi" w:cstheme="minorHAnsi"/>
        </w:rPr>
        <w:t xml:space="preserve">RPC advised that the </w:t>
      </w:r>
      <w:r w:rsidRPr="00256288">
        <w:rPr>
          <w:rFonts w:asciiTheme="minorHAnsi" w:hAnsiTheme="minorHAnsi" w:cstheme="minorHAnsi"/>
        </w:rPr>
        <w:t xml:space="preserve">Department should use the consultation to strengthen this qualitative information, where possible. </w:t>
      </w:r>
    </w:p>
    <w:p w:rsidR="00256288" w:rsidRDefault="00256288" w:rsidP="00256288">
      <w:pPr>
        <w:autoSpaceDE w:val="0"/>
        <w:autoSpaceDN w:val="0"/>
        <w:adjustRightInd w:val="0"/>
        <w:spacing w:after="0" w:line="240" w:lineRule="auto"/>
        <w:rPr>
          <w:rFonts w:ascii="Arial" w:hAnsi="Arial" w:cs="Arial"/>
          <w:b/>
          <w:color w:val="000000"/>
        </w:rPr>
      </w:pPr>
    </w:p>
    <w:p w:rsidR="009142CD" w:rsidRDefault="009142CD">
      <w:pPr>
        <w:rPr>
          <w:rFonts w:ascii="Arial" w:hAnsi="Arial" w:cs="Arial"/>
          <w:b/>
          <w:color w:val="000000"/>
        </w:rPr>
      </w:pPr>
      <w:r>
        <w:rPr>
          <w:rFonts w:ascii="Arial" w:hAnsi="Arial" w:cs="Arial"/>
          <w:b/>
          <w:color w:val="000000"/>
        </w:rPr>
        <w:br w:type="page"/>
      </w:r>
    </w:p>
    <w:p w:rsidR="00150C44" w:rsidRDefault="00150C44" w:rsidP="00256288">
      <w:pPr>
        <w:autoSpaceDE w:val="0"/>
        <w:autoSpaceDN w:val="0"/>
        <w:adjustRightInd w:val="0"/>
        <w:spacing w:after="0" w:line="240" w:lineRule="auto"/>
        <w:rPr>
          <w:rFonts w:ascii="Arial" w:hAnsi="Arial" w:cs="Arial"/>
          <w:b/>
          <w:color w:val="000000"/>
        </w:rPr>
      </w:pPr>
    </w:p>
    <w:p w:rsidR="00150C44" w:rsidRDefault="00150C44" w:rsidP="00256288">
      <w:pPr>
        <w:autoSpaceDE w:val="0"/>
        <w:autoSpaceDN w:val="0"/>
        <w:adjustRightInd w:val="0"/>
        <w:spacing w:after="0" w:line="240" w:lineRule="auto"/>
        <w:rPr>
          <w:rFonts w:ascii="Arial" w:hAnsi="Arial" w:cs="Arial"/>
          <w:b/>
          <w:color w:val="000000"/>
        </w:rPr>
      </w:pPr>
    </w:p>
    <w:p w:rsidR="00B44982" w:rsidRPr="000C6115" w:rsidRDefault="00B44982" w:rsidP="0030722E">
      <w:pPr>
        <w:autoSpaceDE w:val="0"/>
        <w:autoSpaceDN w:val="0"/>
        <w:adjustRightInd w:val="0"/>
        <w:spacing w:after="0" w:line="240" w:lineRule="auto"/>
        <w:rPr>
          <w:rFonts w:ascii="Arial" w:hAnsi="Arial" w:cs="Arial"/>
          <w:b/>
          <w:color w:val="000000"/>
        </w:rPr>
      </w:pPr>
    </w:p>
    <w:p w:rsidR="000C6115" w:rsidRPr="002547BD" w:rsidRDefault="007B612B" w:rsidP="00A864AC">
      <w:pPr>
        <w:numPr>
          <w:ilvl w:val="2"/>
          <w:numId w:val="26"/>
        </w:numPr>
        <w:autoSpaceDE w:val="0"/>
        <w:autoSpaceDN w:val="0"/>
        <w:adjustRightInd w:val="0"/>
        <w:spacing w:after="0"/>
        <w:rPr>
          <w:rFonts w:cstheme="minorHAnsi"/>
          <w:b/>
          <w:color w:val="000000"/>
          <w:sz w:val="24"/>
          <w:szCs w:val="24"/>
        </w:rPr>
      </w:pPr>
      <w:r>
        <w:rPr>
          <w:rFonts w:cstheme="minorHAnsi"/>
          <w:b/>
          <w:color w:val="000000"/>
          <w:sz w:val="24"/>
          <w:szCs w:val="24"/>
        </w:rPr>
        <w:t>Examples of</w:t>
      </w:r>
      <w:r w:rsidR="002547BD" w:rsidRPr="002547BD">
        <w:rPr>
          <w:rFonts w:cstheme="minorHAnsi"/>
          <w:b/>
          <w:color w:val="000000"/>
          <w:sz w:val="24"/>
          <w:szCs w:val="24"/>
        </w:rPr>
        <w:t xml:space="preserve"> proportionate level of analysis and resourcing in impact assessments</w:t>
      </w:r>
    </w:p>
    <w:p w:rsidR="000C6115" w:rsidRPr="002547BD" w:rsidRDefault="000C6115" w:rsidP="002547BD">
      <w:pPr>
        <w:autoSpaceDE w:val="0"/>
        <w:autoSpaceDN w:val="0"/>
        <w:adjustRightInd w:val="0"/>
        <w:spacing w:after="0"/>
        <w:ind w:left="480"/>
        <w:rPr>
          <w:rFonts w:cstheme="minorHAnsi"/>
          <w:color w:val="000000"/>
          <w:sz w:val="24"/>
          <w:szCs w:val="24"/>
        </w:rPr>
      </w:pPr>
    </w:p>
    <w:p w:rsidR="002547BD" w:rsidRPr="000C6115" w:rsidRDefault="002547BD" w:rsidP="000C6115">
      <w:pPr>
        <w:autoSpaceDE w:val="0"/>
        <w:autoSpaceDN w:val="0"/>
        <w:adjustRightInd w:val="0"/>
        <w:spacing w:after="0" w:line="240" w:lineRule="auto"/>
        <w:ind w:left="480"/>
        <w:rPr>
          <w:rFonts w:ascii="Arial" w:hAnsi="Arial" w:cs="Arial"/>
          <w:color w:val="000000"/>
        </w:rPr>
      </w:pPr>
    </w:p>
    <w:p w:rsidR="00763C28" w:rsidRPr="00227341" w:rsidRDefault="00227341" w:rsidP="002D739E">
      <w:pPr>
        <w:keepNext/>
        <w:keepLines/>
        <w:spacing w:before="200" w:after="0"/>
        <w:outlineLvl w:val="1"/>
        <w:rPr>
          <w:rFonts w:eastAsiaTheme="majorEastAsia" w:cstheme="minorHAnsi"/>
          <w:b/>
          <w:bCs/>
          <w:color w:val="984806" w:themeColor="accent6" w:themeShade="80"/>
          <w:sz w:val="24"/>
          <w:szCs w:val="24"/>
        </w:rPr>
      </w:pPr>
      <w:r w:rsidRPr="00227341">
        <w:rPr>
          <w:rFonts w:eastAsiaTheme="majorEastAsia" w:cstheme="minorHAnsi"/>
          <w:b/>
          <w:bCs/>
          <w:color w:val="984806" w:themeColor="accent6" w:themeShade="80"/>
          <w:sz w:val="24"/>
          <w:szCs w:val="24"/>
        </w:rPr>
        <w:t>Consultation stage</w:t>
      </w:r>
    </w:p>
    <w:p w:rsidR="00EC6B7B" w:rsidRDefault="00AD75D9" w:rsidP="002D739E">
      <w:pPr>
        <w:keepNext/>
        <w:keepLines/>
        <w:spacing w:before="200" w:after="0"/>
        <w:outlineLvl w:val="1"/>
        <w:rPr>
          <w:rFonts w:ascii="Calibri" w:hAnsi="Calibri" w:cs="Arial"/>
          <w:sz w:val="24"/>
          <w:szCs w:val="24"/>
        </w:rPr>
      </w:pPr>
      <w:r w:rsidRPr="009142CD">
        <w:rPr>
          <w:rFonts w:ascii="Calibri" w:hAnsi="Calibri" w:cs="Arial"/>
          <w:sz w:val="24"/>
          <w:szCs w:val="24"/>
        </w:rPr>
        <w:t>For consultation stage impact assessments</w:t>
      </w:r>
      <w:r w:rsidR="002343D1" w:rsidRPr="009142CD">
        <w:rPr>
          <w:rFonts w:ascii="Calibri" w:hAnsi="Calibri" w:cs="Arial"/>
          <w:sz w:val="24"/>
          <w:szCs w:val="24"/>
        </w:rPr>
        <w:t>,</w:t>
      </w:r>
      <w:r w:rsidRPr="009142CD">
        <w:rPr>
          <w:rFonts w:ascii="Calibri" w:hAnsi="Calibri" w:cs="Arial"/>
          <w:sz w:val="24"/>
          <w:szCs w:val="24"/>
        </w:rPr>
        <w:t xml:space="preserve"> the RPC recognises that it may be difficult and not a proportionate use of resources to seek evidence </w:t>
      </w:r>
      <w:r w:rsidR="002343D1" w:rsidRPr="009142CD">
        <w:rPr>
          <w:rFonts w:ascii="Calibri" w:hAnsi="Calibri" w:cs="Arial"/>
          <w:sz w:val="24"/>
          <w:szCs w:val="24"/>
        </w:rPr>
        <w:t>on all potential policy options in line with the</w:t>
      </w:r>
      <w:r w:rsidRPr="009142CD">
        <w:rPr>
          <w:rFonts w:ascii="Calibri" w:hAnsi="Calibri" w:cs="Arial"/>
          <w:sz w:val="24"/>
          <w:szCs w:val="24"/>
        </w:rPr>
        <w:t xml:space="preserve"> guidelines set out in the table above.</w:t>
      </w:r>
      <w:r w:rsidR="002343D1" w:rsidRPr="009142CD">
        <w:rPr>
          <w:rFonts w:ascii="Calibri" w:hAnsi="Calibri" w:cs="Arial"/>
          <w:sz w:val="24"/>
          <w:szCs w:val="24"/>
        </w:rPr>
        <w:t xml:space="preserve"> Collection of qualitative evidence may be more reasonable</w:t>
      </w:r>
      <w:r w:rsidR="00410AC8" w:rsidRPr="009142CD">
        <w:rPr>
          <w:rFonts w:ascii="Calibri" w:hAnsi="Calibri" w:cs="Arial"/>
          <w:sz w:val="24"/>
          <w:szCs w:val="24"/>
        </w:rPr>
        <w:t xml:space="preserve">, and the RPC considers proposals on a case by case basis. </w:t>
      </w:r>
      <w:r w:rsidR="0085360D" w:rsidRPr="009142CD">
        <w:rPr>
          <w:rFonts w:ascii="Calibri" w:hAnsi="Calibri" w:cs="Arial"/>
          <w:sz w:val="24"/>
          <w:szCs w:val="24"/>
        </w:rPr>
        <w:t xml:space="preserve"> See also the case histories ‘introduction’ section, which gives a guide to red-rated points at consultation stage.</w:t>
      </w:r>
    </w:p>
    <w:p w:rsidR="004E149E" w:rsidRPr="004E149E" w:rsidRDefault="004E149E" w:rsidP="002D739E">
      <w:pPr>
        <w:keepNext/>
        <w:keepLines/>
        <w:spacing w:before="200" w:after="0"/>
        <w:outlineLvl w:val="1"/>
        <w:rPr>
          <w:rFonts w:ascii="Calibri" w:hAnsi="Calibri" w:cs="Arial"/>
          <w:sz w:val="24"/>
          <w:szCs w:val="24"/>
        </w:rPr>
      </w:pPr>
    </w:p>
    <w:p w:rsidR="002D739E" w:rsidRPr="00BB0884" w:rsidRDefault="00D5534F" w:rsidP="006B0EFE">
      <w:pPr>
        <w:spacing w:after="0"/>
        <w:rPr>
          <w:rFonts w:cstheme="minorHAnsi"/>
          <w:sz w:val="24"/>
          <w:szCs w:val="24"/>
        </w:rPr>
      </w:pPr>
      <w:r w:rsidRPr="00D5534F">
        <w:rPr>
          <w:noProof/>
          <w:lang w:eastAsia="en-GB"/>
        </w:rPr>
        <mc:AlternateContent>
          <mc:Choice Requires="wps">
            <w:drawing>
              <wp:anchor distT="0" distB="0" distL="114300" distR="114300" simplePos="0" relativeHeight="251694080" behindDoc="0" locked="0" layoutInCell="1" allowOverlap="1" wp14:anchorId="011B1286" wp14:editId="06A25049">
                <wp:simplePos x="0" y="0"/>
                <wp:positionH relativeFrom="column">
                  <wp:posOffset>5851525</wp:posOffset>
                </wp:positionH>
                <wp:positionV relativeFrom="paragraph">
                  <wp:posOffset>492125</wp:posOffset>
                </wp:positionV>
                <wp:extent cx="683895" cy="44831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3895" cy="448310"/>
                        </a:xfrm>
                        <a:prstGeom prst="rect">
                          <a:avLst/>
                        </a:prstGeom>
                        <a:noFill/>
                        <a:ln w="6350">
                          <a:noFill/>
                        </a:ln>
                        <a:effectLst/>
                      </wps:spPr>
                      <wps:txbx>
                        <w:txbxContent>
                          <w:p w:rsidR="00D11808" w:rsidRPr="00F3504F" w:rsidRDefault="00D11808" w:rsidP="00D5534F">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460.75pt;margin-top:38.75pt;width:53.85pt;height:3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E1NQIAAGcEAAAOAAAAZHJzL2Uyb0RvYy54bWysVE1v2zAMvQ/YfxB0X5zPLg3iFFmLDAOK&#10;tkBS9KzIcmzAFjVJiZ39+j3JSRp0Ow27yBRJ8eM90vO7tq7YQVlXkk75oNfnTGlJWal3KX/drL5M&#10;OXNe6ExUpFXKj8rxu8XnT/PGzNSQCqoyZRmCaDdrTMoL780sSZwsVC1cj4zSMOZka+Fxtbsks6JB&#10;9LpKhv3+TdKQzYwlqZyD9qEz8kWMn+dK+uc8d8qzKuWozcfTxnMbzmQxF7OdFaYo5akM8Q9V1KLU&#10;SHoJ9SC8YHtb/hGqLqUlR7nvSaoTyvNSqtgDuhn0P3SzLoRRsReA48wFJvf/wsqnw4tlZQbuhpxp&#10;UYOjjWo9+0Ytgwr4NMbN4LY2cPQt9PA96x2Uoe02t3X4oiEGO5A+XtAN0SSUN9PR9HbCmYRpPJ6O&#10;BhH95P2xsc5/V1SzIKTcgryIqTg8Oo9C4Hp2Cbk0rcqqigRWmjVIMJr044OLBS8qHXxVHIVTmNBQ&#10;V3iQfLttOwDOTW0pO6JXS920OCNXJSp6FM6/CIvxQHsYef+MI68ImekkcVaQ/fU3ffAHa7By1mDc&#10;Uu5+7oVVnFU/NPi8HYzHYT7jZTz5OsTFXlu21xa9r+8JEz3AchkZxeDvq7OYW6rfsBnLkBUmoSVy&#10;p9yfxXvfLQE2S6rlMjphIo3wj3ptZAgdcAt4b9o3Yc2JFA82n+g8mGL2gZvOt2NnufeUl5G4gHOH&#10;KlgMF0xz5PO0eWFdru/R6/3/sPgNAAD//wMAUEsDBBQABgAIAAAAIQB27Eoy4gAAAAsBAAAPAAAA&#10;ZHJzL2Rvd25yZXYueG1sTI/BTsMwDIbvSLxDZCRuLG3EWFeaTlOlCQnBYWMXbm6TtRWJU5psKzw9&#10;2WmcbMuffn8uVpM17KRH3zuSkM4SYJoap3pqJew/Ng8ZMB+QFBpHWsKP9rAqb28KzJU701afdqFl&#10;MYR8jhK6EIacc9902qKfuUFT3B3caDHEcWy5GvEcw63hIkmeuMWe4oUOB111uvnaHa2E12rzjtta&#10;2OzXVC9vh/Xwvf+cS3l/N62fgQU9hSsMF/2oDmV0qt2RlGdGwlKk84hKWCxivQCJWApgdewesxR4&#10;WfD/P5R/AAAA//8DAFBLAQItABQABgAIAAAAIQC2gziS/gAAAOEBAAATAAAAAAAAAAAAAAAAAAAA&#10;AABbQ29udGVudF9UeXBlc10ueG1sUEsBAi0AFAAGAAgAAAAhADj9If/WAAAAlAEAAAsAAAAAAAAA&#10;AAAAAAAALwEAAF9yZWxzLy5yZWxzUEsBAi0AFAAGAAgAAAAhAMO+kTU1AgAAZwQAAA4AAAAAAAAA&#10;AAAAAAAALgIAAGRycy9lMm9Eb2MueG1sUEsBAi0AFAAGAAgAAAAhAHbsSjLiAAAACwEAAA8AAAAA&#10;AAAAAAAAAAAAjwQAAGRycy9kb3ducmV2LnhtbFBLBQYAAAAABAAEAPMAAACeBQAAAAA=&#10;" filled="f" stroked="f" strokeweight=".5pt">
                <v:textbox>
                  <w:txbxContent>
                    <w:p w:rsidR="00D11808" w:rsidRPr="00F3504F" w:rsidRDefault="00D11808" w:rsidP="00D5534F">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v:textbox>
                <w10:wrap type="square"/>
              </v:shape>
            </w:pict>
          </mc:Fallback>
        </mc:AlternateContent>
      </w:r>
      <w:r w:rsidR="002D739E" w:rsidRPr="00BB0884">
        <w:rPr>
          <w:rFonts w:cstheme="minorHAnsi"/>
          <w:sz w:val="24"/>
          <w:szCs w:val="24"/>
        </w:rPr>
        <w:t xml:space="preserve">At consultation stage, it is accepted that only limited information will </w:t>
      </w:r>
      <w:r w:rsidR="009D0377">
        <w:rPr>
          <w:rFonts w:cstheme="minorHAnsi"/>
          <w:sz w:val="24"/>
          <w:szCs w:val="24"/>
        </w:rPr>
        <w:t xml:space="preserve">normally </w:t>
      </w:r>
      <w:r w:rsidR="002D739E" w:rsidRPr="00BB0884">
        <w:rPr>
          <w:rFonts w:cstheme="minorHAnsi"/>
          <w:sz w:val="24"/>
          <w:szCs w:val="24"/>
        </w:rPr>
        <w:t>be available and the IA should focus on the key variables and how evidence will be collected. Lack of evidence will not normally result in a Red opinion at consultation stage</w:t>
      </w:r>
      <w:r w:rsidR="00B6159A">
        <w:rPr>
          <w:rFonts w:cstheme="minorHAnsi"/>
          <w:sz w:val="24"/>
          <w:szCs w:val="24"/>
        </w:rPr>
        <w:t xml:space="preserve"> provided that it is clear how the Department propose</w:t>
      </w:r>
      <w:r w:rsidR="00E85C15">
        <w:rPr>
          <w:rFonts w:cstheme="minorHAnsi"/>
          <w:sz w:val="24"/>
          <w:szCs w:val="24"/>
        </w:rPr>
        <w:t>s</w:t>
      </w:r>
      <w:r w:rsidR="00B6159A">
        <w:rPr>
          <w:rFonts w:cstheme="minorHAnsi"/>
          <w:sz w:val="24"/>
          <w:szCs w:val="24"/>
        </w:rPr>
        <w:t xml:space="preserve"> to gather evidence</w:t>
      </w:r>
      <w:r w:rsidR="00E85C15">
        <w:rPr>
          <w:rFonts w:cstheme="minorHAnsi"/>
          <w:sz w:val="24"/>
          <w:szCs w:val="24"/>
        </w:rPr>
        <w:t xml:space="preserve"> before final stage</w:t>
      </w:r>
      <w:r w:rsidR="002D739E" w:rsidRPr="00BB0884">
        <w:rPr>
          <w:rFonts w:cstheme="minorHAnsi"/>
          <w:sz w:val="24"/>
          <w:szCs w:val="24"/>
        </w:rPr>
        <w:t>.</w:t>
      </w:r>
      <w:r w:rsidR="00B6159A">
        <w:rPr>
          <w:rFonts w:cstheme="minorHAnsi"/>
          <w:sz w:val="24"/>
          <w:szCs w:val="24"/>
        </w:rPr>
        <w:t xml:space="preserve">  </w:t>
      </w:r>
      <w:r w:rsidR="002D739E" w:rsidRPr="00BB0884">
        <w:rPr>
          <w:rFonts w:cstheme="minorHAnsi"/>
          <w:sz w:val="24"/>
          <w:szCs w:val="24"/>
        </w:rPr>
        <w:t xml:space="preserve"> At final stage</w:t>
      </w:r>
      <w:r w:rsidR="009D0377">
        <w:rPr>
          <w:rFonts w:cstheme="minorHAnsi"/>
          <w:sz w:val="24"/>
          <w:szCs w:val="24"/>
        </w:rPr>
        <w:t>,</w:t>
      </w:r>
      <w:r w:rsidR="002D739E" w:rsidRPr="00BB0884">
        <w:rPr>
          <w:rFonts w:cstheme="minorHAnsi"/>
          <w:sz w:val="24"/>
          <w:szCs w:val="24"/>
        </w:rPr>
        <w:t xml:space="preserve"> lack of evidence without sufficient justification is likely to result in a Red opinion if it relates to direct costs to business.</w:t>
      </w:r>
    </w:p>
    <w:p w:rsidR="002D739E" w:rsidRDefault="002D739E" w:rsidP="006B0EFE">
      <w:pPr>
        <w:spacing w:after="0"/>
        <w:rPr>
          <w:rFonts w:cstheme="minorHAnsi"/>
          <w:sz w:val="24"/>
          <w:szCs w:val="24"/>
        </w:rPr>
      </w:pPr>
    </w:p>
    <w:p w:rsidR="006B0EFE" w:rsidRPr="005F464C" w:rsidRDefault="006B0EFE" w:rsidP="006B0EF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cstheme="minorHAnsi"/>
          <w:b/>
          <w:sz w:val="24"/>
          <w:szCs w:val="24"/>
        </w:rPr>
      </w:pPr>
      <w:r w:rsidRPr="00B004F0">
        <w:rPr>
          <w:rFonts w:cstheme="minorHAnsi"/>
          <w:b/>
          <w:sz w:val="24"/>
          <w:szCs w:val="24"/>
        </w:rPr>
        <w:t>Community right to buy into renewable electricity developments (Consultation stage, Green)</w:t>
      </w:r>
      <w:r w:rsidRPr="00C9148E">
        <w:rPr>
          <w:rFonts w:cstheme="minorHAnsi"/>
          <w:b/>
          <w:sz w:val="24"/>
          <w:szCs w:val="24"/>
        </w:rPr>
        <w:t xml:space="preserve"> </w:t>
      </w:r>
      <w:r>
        <w:rPr>
          <w:rFonts w:cstheme="minorHAnsi"/>
          <w:b/>
          <w:sz w:val="24"/>
          <w:szCs w:val="24"/>
        </w:rPr>
        <w:t>(</w:t>
      </w:r>
      <w:r w:rsidRPr="00B004F0">
        <w:rPr>
          <w:rFonts w:cstheme="minorHAnsi"/>
          <w:b/>
          <w:sz w:val="24"/>
          <w:szCs w:val="24"/>
        </w:rPr>
        <w:t>RPC14-DECC-2027</w:t>
      </w:r>
      <w:r>
        <w:rPr>
          <w:rFonts w:cstheme="minorHAnsi"/>
          <w:b/>
          <w:sz w:val="24"/>
          <w:szCs w:val="24"/>
        </w:rPr>
        <w:t xml:space="preserve">): </w:t>
      </w:r>
      <w:r w:rsidRPr="00BB0884">
        <w:rPr>
          <w:rFonts w:cstheme="minorHAnsi"/>
          <w:sz w:val="24"/>
          <w:szCs w:val="24"/>
        </w:rPr>
        <w:t xml:space="preserve">This policy aimed to help encourage more support for renewable electricity developments by giving local community groups a right to buy into projects. The intention was that this would be done with industry on a voluntary basis with primary powers being taken as a backstop if agreement was not reached. The IA was very well evidenced, with a combination of academic papers, survey data and information provided by stakeholders. As this was a consultation stage IA, the focus was less on detailed evidence underpinning costs and benefits, and more around supporting the rationale for the proposed intervention and demonstrating how it would deliver the expected benefits. The IA received a Green opinion including positive comments on the evidence base. </w:t>
      </w:r>
    </w:p>
    <w:p w:rsidR="006B0EFE" w:rsidRDefault="006B0EFE" w:rsidP="002D739E"/>
    <w:p w:rsidR="007B612B" w:rsidRPr="009142CD" w:rsidRDefault="007B612B" w:rsidP="00CA649E">
      <w:pPr>
        <w:rPr>
          <w:rFonts w:eastAsiaTheme="majorEastAsia" w:cstheme="minorHAnsi"/>
          <w:b/>
          <w:bCs/>
          <w:color w:val="984806" w:themeColor="accent6" w:themeShade="80"/>
          <w:sz w:val="24"/>
          <w:szCs w:val="24"/>
        </w:rPr>
      </w:pPr>
      <w:r w:rsidRPr="009142CD">
        <w:rPr>
          <w:rFonts w:eastAsiaTheme="majorEastAsia" w:cstheme="minorHAnsi"/>
          <w:b/>
          <w:bCs/>
          <w:color w:val="984806" w:themeColor="accent6" w:themeShade="80"/>
          <w:sz w:val="24"/>
          <w:szCs w:val="24"/>
        </w:rPr>
        <w:t>Final stage</w:t>
      </w:r>
    </w:p>
    <w:p w:rsidR="00A72E75" w:rsidRPr="009142CD" w:rsidRDefault="00CA649E" w:rsidP="00CA649E">
      <w:pPr>
        <w:rPr>
          <w:rFonts w:cstheme="minorHAnsi"/>
          <w:sz w:val="24"/>
          <w:szCs w:val="24"/>
        </w:rPr>
      </w:pPr>
      <w:r w:rsidRPr="009142CD">
        <w:rPr>
          <w:sz w:val="24"/>
          <w:szCs w:val="24"/>
        </w:rPr>
        <w:t>The example below is one where the final stage IA made particular good use of the consultation period to strengthen the evidence base.</w:t>
      </w:r>
    </w:p>
    <w:p w:rsidR="00CA649E" w:rsidRPr="009142CD" w:rsidRDefault="00CA649E" w:rsidP="00CA649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cstheme="minorHAnsi"/>
          <w:b/>
          <w:bCs/>
          <w:sz w:val="24"/>
          <w:szCs w:val="24"/>
        </w:rPr>
      </w:pPr>
      <w:r w:rsidRPr="009142CD">
        <w:rPr>
          <w:rFonts w:cstheme="minorHAnsi"/>
          <w:b/>
          <w:bCs/>
          <w:sz w:val="24"/>
          <w:szCs w:val="24"/>
        </w:rPr>
        <w:t>Paediatric first aid in early years’ provision (RPC15-DfE-3001(3)):</w:t>
      </w:r>
    </w:p>
    <w:p w:rsidR="00CA649E" w:rsidRPr="00CA649E" w:rsidRDefault="00CA649E" w:rsidP="00CA649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cstheme="minorHAnsi"/>
          <w:sz w:val="24"/>
          <w:szCs w:val="24"/>
        </w:rPr>
      </w:pPr>
      <w:r w:rsidRPr="009142CD">
        <w:rPr>
          <w:rFonts w:cstheme="minorHAnsi"/>
          <w:sz w:val="24"/>
          <w:szCs w:val="24"/>
        </w:rPr>
        <w:t xml:space="preserve">This proposal introduced paediatric first aid training into the qualification requirements for new employees to the ‘early years’ workforce, with the aim of increasing the number of staff trained in paediatric first aid (PFA). The department received a fit-for-purpose opinion </w:t>
      </w:r>
      <w:r w:rsidRPr="009142CD">
        <w:rPr>
          <w:rFonts w:cstheme="minorHAnsi"/>
          <w:sz w:val="24"/>
          <w:szCs w:val="24"/>
        </w:rPr>
        <w:lastRenderedPageBreak/>
        <w:t>from the RPC at consultation stage, but this included a number of queries for the department to consider during consultation, and answer at final stage. The Department addressed the RPC’s queries comprehensively in the final stage IA, and sought evidence at consultation to support specific assumptions. For example, in the consultation stage fit for purpose opinion, the RPC queried the assumption that none of the initial costs of introducing PFA training would not be passed on</w:t>
      </w:r>
      <w:r w:rsidR="00680877" w:rsidRPr="009142CD">
        <w:rPr>
          <w:rFonts w:cstheme="minorHAnsi"/>
          <w:sz w:val="24"/>
          <w:szCs w:val="24"/>
        </w:rPr>
        <w:t xml:space="preserve"> </w:t>
      </w:r>
      <w:r w:rsidRPr="009142CD">
        <w:rPr>
          <w:rFonts w:cstheme="minorHAnsi"/>
          <w:sz w:val="24"/>
          <w:szCs w:val="24"/>
        </w:rPr>
        <w:t>to businesses. Stakeholder consultation and an additional survey of further education training providers offering relevant courses and apprenticeships found that 50% of training providers already offered PFA training, and that many other providers stated that it would be easy to add PFA training to their programme. Providers that covered 29% of trainees claimed they would need funds to offer the training. Thus the department made the assumption that 29% of the initial costs of PFA training would fall on business.</w:t>
      </w:r>
      <w:r w:rsidRPr="00CA649E">
        <w:rPr>
          <w:rFonts w:cstheme="minorHAnsi"/>
          <w:sz w:val="24"/>
          <w:szCs w:val="24"/>
        </w:rPr>
        <w:t xml:space="preserve"> </w:t>
      </w:r>
    </w:p>
    <w:p w:rsidR="00A72E75" w:rsidRPr="005F464C" w:rsidRDefault="00A72E75" w:rsidP="00A72E7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cstheme="minorHAnsi"/>
          <w:b/>
          <w:sz w:val="24"/>
          <w:szCs w:val="24"/>
        </w:rPr>
      </w:pPr>
    </w:p>
    <w:p w:rsidR="00A72E75" w:rsidRDefault="00A72E75" w:rsidP="00A72E75"/>
    <w:p w:rsidR="006F3960" w:rsidRDefault="006F3960" w:rsidP="00881F51">
      <w:pPr>
        <w:spacing w:after="0"/>
        <w:rPr>
          <w:rFonts w:cstheme="minorHAnsi"/>
          <w:sz w:val="24"/>
          <w:szCs w:val="24"/>
        </w:rPr>
      </w:pPr>
    </w:p>
    <w:p w:rsidR="006F3960" w:rsidRDefault="006F3960" w:rsidP="00881F51">
      <w:pPr>
        <w:spacing w:after="0"/>
        <w:rPr>
          <w:rFonts w:cstheme="minorHAnsi"/>
          <w:sz w:val="24"/>
          <w:szCs w:val="24"/>
        </w:rPr>
      </w:pPr>
    </w:p>
    <w:p w:rsidR="00881F51" w:rsidRDefault="00881F51" w:rsidP="00881F51">
      <w:pPr>
        <w:spacing w:after="0"/>
        <w:rPr>
          <w:rFonts w:cstheme="minorHAnsi"/>
          <w:sz w:val="24"/>
          <w:szCs w:val="24"/>
        </w:rPr>
      </w:pPr>
    </w:p>
    <w:p w:rsidR="00630D9C" w:rsidRPr="00812C5B" w:rsidRDefault="00630D9C" w:rsidP="004F4B09">
      <w:pPr>
        <w:rPr>
          <w:b/>
          <w:color w:val="E36C0A" w:themeColor="accent6" w:themeShade="BF"/>
          <w:sz w:val="44"/>
          <w:szCs w:val="44"/>
        </w:rPr>
      </w:pPr>
    </w:p>
    <w:sectPr w:rsidR="00630D9C" w:rsidRPr="00812C5B" w:rsidSect="00085949">
      <w:headerReference w:type="even" r:id="rId9"/>
      <w:headerReference w:type="default" r:id="rId10"/>
      <w:footerReference w:type="default" r:id="rId11"/>
      <w:headerReference w:type="first" r:id="rId12"/>
      <w:pgSz w:w="11906" w:h="16838" w:code="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2EE" w:rsidRDefault="008752EE" w:rsidP="00584A82">
      <w:pPr>
        <w:spacing w:after="0" w:line="240" w:lineRule="auto"/>
      </w:pPr>
      <w:r>
        <w:separator/>
      </w:r>
    </w:p>
  </w:endnote>
  <w:endnote w:type="continuationSeparator" w:id="0">
    <w:p w:rsidR="008752EE" w:rsidRDefault="008752EE" w:rsidP="0058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902783"/>
      <w:docPartObj>
        <w:docPartGallery w:val="Page Numbers (Bottom of Page)"/>
        <w:docPartUnique/>
      </w:docPartObj>
    </w:sdtPr>
    <w:sdtEndPr>
      <w:rPr>
        <w:noProof/>
      </w:rPr>
    </w:sdtEndPr>
    <w:sdtContent>
      <w:p w:rsidR="00D11808" w:rsidRDefault="00D11808">
        <w:pPr>
          <w:pStyle w:val="Footer"/>
          <w:jc w:val="center"/>
        </w:pPr>
        <w:r>
          <w:fldChar w:fldCharType="begin"/>
        </w:r>
        <w:r>
          <w:instrText xml:space="preserve"> PAGE   \* MERGEFORMAT </w:instrText>
        </w:r>
        <w:r>
          <w:fldChar w:fldCharType="separate"/>
        </w:r>
        <w:r w:rsidR="00186597">
          <w:rPr>
            <w:noProof/>
          </w:rPr>
          <w:t>2</w:t>
        </w:r>
        <w:r>
          <w:rPr>
            <w:noProof/>
          </w:rPr>
          <w:fldChar w:fldCharType="end"/>
        </w:r>
      </w:p>
    </w:sdtContent>
  </w:sdt>
  <w:p w:rsidR="00D11808" w:rsidRDefault="00D11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2EE" w:rsidRDefault="008752EE" w:rsidP="00584A82">
      <w:pPr>
        <w:spacing w:after="0" w:line="240" w:lineRule="auto"/>
      </w:pPr>
      <w:r>
        <w:separator/>
      </w:r>
    </w:p>
  </w:footnote>
  <w:footnote w:type="continuationSeparator" w:id="0">
    <w:p w:rsidR="008752EE" w:rsidRDefault="008752EE" w:rsidP="00584A82">
      <w:pPr>
        <w:spacing w:after="0" w:line="240" w:lineRule="auto"/>
      </w:pPr>
      <w:r>
        <w:continuationSeparator/>
      </w:r>
    </w:p>
  </w:footnote>
  <w:footnote w:id="1">
    <w:p w:rsidR="00D11808" w:rsidRDefault="00D11808" w:rsidP="000C6115">
      <w:pPr>
        <w:pStyle w:val="FootnoteText"/>
      </w:pPr>
      <w:r>
        <w:rPr>
          <w:rStyle w:val="FootnoteReference"/>
        </w:rPr>
        <w:footnoteRef/>
      </w:r>
      <w:r>
        <w:t xml:space="preserve"> Excluding the 183 measures classified as ‘zero net cost’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08" w:rsidRDefault="00D11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08" w:rsidRPr="003764A9" w:rsidRDefault="00D11808">
    <w:pPr>
      <w:pStyle w:val="Header"/>
      <w:rPr>
        <w:i/>
      </w:rPr>
    </w:pPr>
    <w:r>
      <w:rPr>
        <w:i/>
      </w:rPr>
      <w:t xml:space="preserve">RPC Case Histories                                                                                                                        </w:t>
    </w:r>
    <w:r w:rsidR="00351ADE">
      <w:rPr>
        <w:i/>
      </w:rPr>
      <w:t>August</w:t>
    </w:r>
    <w:r>
      <w:rPr>
        <w:i/>
      </w:rPr>
      <w:t xml:space="preserv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08" w:rsidRDefault="00D11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ED7"/>
    <w:multiLevelType w:val="multilevel"/>
    <w:tmpl w:val="127A1346"/>
    <w:lvl w:ilvl="0">
      <w:start w:val="1"/>
      <w:numFmt w:val="lowerRoman"/>
      <w:lvlText w:val="%1."/>
      <w:lvlJc w:val="righ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871A0D"/>
    <w:multiLevelType w:val="multilevel"/>
    <w:tmpl w:val="240641F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6F5743"/>
    <w:multiLevelType w:val="hybridMultilevel"/>
    <w:tmpl w:val="B0649344"/>
    <w:lvl w:ilvl="0" w:tplc="3F6202D0">
      <w:start w:val="1"/>
      <w:numFmt w:val="lowerLetter"/>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86299E"/>
    <w:multiLevelType w:val="hybridMultilevel"/>
    <w:tmpl w:val="FC84E608"/>
    <w:lvl w:ilvl="0" w:tplc="628028F6">
      <w:start w:val="1"/>
      <w:numFmt w:val="lowerRoman"/>
      <w:lvlText w:val="%1."/>
      <w:lvlJc w:val="right"/>
      <w:pPr>
        <w:ind w:left="720" w:hanging="360"/>
      </w:pPr>
      <w:rPr>
        <w:rFonts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035C9"/>
    <w:multiLevelType w:val="multilevel"/>
    <w:tmpl w:val="37B45AC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676C99"/>
    <w:multiLevelType w:val="multilevel"/>
    <w:tmpl w:val="E3ACDDE2"/>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DE37FB1"/>
    <w:multiLevelType w:val="multilevel"/>
    <w:tmpl w:val="DCE040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C12483"/>
    <w:multiLevelType w:val="hybridMultilevel"/>
    <w:tmpl w:val="D5DA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63F7A"/>
    <w:multiLevelType w:val="multilevel"/>
    <w:tmpl w:val="8D520592"/>
    <w:lvl w:ilvl="0">
      <w:start w:val="1"/>
      <w:numFmt w:val="lowerRoman"/>
      <w:lvlText w:val="%1."/>
      <w:lvlJc w:val="righ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0FA0786"/>
    <w:multiLevelType w:val="multilevel"/>
    <w:tmpl w:val="BC349D70"/>
    <w:lvl w:ilvl="0">
      <w:start w:val="1"/>
      <w:numFmt w:val="lowerRoman"/>
      <w:lvlText w:val="%1."/>
      <w:lvlJc w:val="righ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9125E2"/>
    <w:multiLevelType w:val="multilevel"/>
    <w:tmpl w:val="FB32429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AF789D"/>
    <w:multiLevelType w:val="multilevel"/>
    <w:tmpl w:val="DA9C17EE"/>
    <w:lvl w:ilvl="0">
      <w:start w:val="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F327AAE"/>
    <w:multiLevelType w:val="hybridMultilevel"/>
    <w:tmpl w:val="7A4AF2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4A1717"/>
    <w:multiLevelType w:val="hybridMultilevel"/>
    <w:tmpl w:val="79308B0C"/>
    <w:lvl w:ilvl="0" w:tplc="EC18F372">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58589A"/>
    <w:multiLevelType w:val="multilevel"/>
    <w:tmpl w:val="F69A37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ECA43AA"/>
    <w:multiLevelType w:val="hybridMultilevel"/>
    <w:tmpl w:val="18F25F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DD1826"/>
    <w:multiLevelType w:val="hybridMultilevel"/>
    <w:tmpl w:val="58A2C31E"/>
    <w:lvl w:ilvl="0" w:tplc="F77E5818">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DC035A"/>
    <w:multiLevelType w:val="hybridMultilevel"/>
    <w:tmpl w:val="DE8880B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6022F"/>
    <w:multiLevelType w:val="hybridMultilevel"/>
    <w:tmpl w:val="3390A0C8"/>
    <w:lvl w:ilvl="0" w:tplc="830603E2">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A0393E"/>
    <w:multiLevelType w:val="hybridMultilevel"/>
    <w:tmpl w:val="8FFA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8B342D"/>
    <w:multiLevelType w:val="hybridMultilevel"/>
    <w:tmpl w:val="317CCA5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3641B8B"/>
    <w:multiLevelType w:val="hybridMultilevel"/>
    <w:tmpl w:val="B52C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1E0492"/>
    <w:multiLevelType w:val="hybridMultilevel"/>
    <w:tmpl w:val="B958E0C2"/>
    <w:lvl w:ilvl="0" w:tplc="37C01E46">
      <w:start w:val="1"/>
      <w:numFmt w:val="decimal"/>
      <w:lvlText w:val="%1."/>
      <w:lvlJc w:val="left"/>
      <w:pPr>
        <w:tabs>
          <w:tab w:val="num" w:pos="360"/>
        </w:tabs>
        <w:ind w:left="360" w:hanging="360"/>
      </w:pPr>
      <w:rPr>
        <w:rFonts w:asciiTheme="minorHAnsi" w:hAnsiTheme="minorHAnsi" w:cstheme="minorHAnsi" w:hint="default"/>
      </w:rPr>
    </w:lvl>
    <w:lvl w:ilvl="1" w:tplc="CBBA3ED0" w:tentative="1">
      <w:start w:val="1"/>
      <w:numFmt w:val="decimal"/>
      <w:lvlText w:val="%2."/>
      <w:lvlJc w:val="left"/>
      <w:pPr>
        <w:tabs>
          <w:tab w:val="num" w:pos="1440"/>
        </w:tabs>
        <w:ind w:left="1440" w:hanging="360"/>
      </w:pPr>
    </w:lvl>
    <w:lvl w:ilvl="2" w:tplc="31E8197E" w:tentative="1">
      <w:start w:val="1"/>
      <w:numFmt w:val="decimal"/>
      <w:lvlText w:val="%3."/>
      <w:lvlJc w:val="left"/>
      <w:pPr>
        <w:tabs>
          <w:tab w:val="num" w:pos="2160"/>
        </w:tabs>
        <w:ind w:left="2160" w:hanging="360"/>
      </w:pPr>
    </w:lvl>
    <w:lvl w:ilvl="3" w:tplc="66F688AC" w:tentative="1">
      <w:start w:val="1"/>
      <w:numFmt w:val="decimal"/>
      <w:lvlText w:val="%4."/>
      <w:lvlJc w:val="left"/>
      <w:pPr>
        <w:tabs>
          <w:tab w:val="num" w:pos="2880"/>
        </w:tabs>
        <w:ind w:left="2880" w:hanging="360"/>
      </w:pPr>
    </w:lvl>
    <w:lvl w:ilvl="4" w:tplc="CF4C0B2C" w:tentative="1">
      <w:start w:val="1"/>
      <w:numFmt w:val="decimal"/>
      <w:lvlText w:val="%5."/>
      <w:lvlJc w:val="left"/>
      <w:pPr>
        <w:tabs>
          <w:tab w:val="num" w:pos="3600"/>
        </w:tabs>
        <w:ind w:left="3600" w:hanging="360"/>
      </w:pPr>
    </w:lvl>
    <w:lvl w:ilvl="5" w:tplc="F094F25C" w:tentative="1">
      <w:start w:val="1"/>
      <w:numFmt w:val="decimal"/>
      <w:lvlText w:val="%6."/>
      <w:lvlJc w:val="left"/>
      <w:pPr>
        <w:tabs>
          <w:tab w:val="num" w:pos="4320"/>
        </w:tabs>
        <w:ind w:left="4320" w:hanging="360"/>
      </w:pPr>
    </w:lvl>
    <w:lvl w:ilvl="6" w:tplc="69488AF6" w:tentative="1">
      <w:start w:val="1"/>
      <w:numFmt w:val="decimal"/>
      <w:lvlText w:val="%7."/>
      <w:lvlJc w:val="left"/>
      <w:pPr>
        <w:tabs>
          <w:tab w:val="num" w:pos="5040"/>
        </w:tabs>
        <w:ind w:left="5040" w:hanging="360"/>
      </w:pPr>
    </w:lvl>
    <w:lvl w:ilvl="7" w:tplc="8BAE21CC" w:tentative="1">
      <w:start w:val="1"/>
      <w:numFmt w:val="decimal"/>
      <w:lvlText w:val="%8."/>
      <w:lvlJc w:val="left"/>
      <w:pPr>
        <w:tabs>
          <w:tab w:val="num" w:pos="5760"/>
        </w:tabs>
        <w:ind w:left="5760" w:hanging="360"/>
      </w:pPr>
    </w:lvl>
    <w:lvl w:ilvl="8" w:tplc="E152BDC6" w:tentative="1">
      <w:start w:val="1"/>
      <w:numFmt w:val="decimal"/>
      <w:lvlText w:val="%9."/>
      <w:lvlJc w:val="left"/>
      <w:pPr>
        <w:tabs>
          <w:tab w:val="num" w:pos="6480"/>
        </w:tabs>
        <w:ind w:left="6480" w:hanging="360"/>
      </w:pPr>
    </w:lvl>
  </w:abstractNum>
  <w:abstractNum w:abstractNumId="23">
    <w:nsid w:val="49BA2553"/>
    <w:multiLevelType w:val="hybridMultilevel"/>
    <w:tmpl w:val="58A2C31E"/>
    <w:lvl w:ilvl="0" w:tplc="F77E5818">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7A6696"/>
    <w:multiLevelType w:val="multilevel"/>
    <w:tmpl w:val="83EC603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CFD5C1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AF6809"/>
    <w:multiLevelType w:val="hybridMultilevel"/>
    <w:tmpl w:val="8AEE523C"/>
    <w:lvl w:ilvl="0" w:tplc="C0DA2362">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5A29BE"/>
    <w:multiLevelType w:val="hybridMultilevel"/>
    <w:tmpl w:val="10165A42"/>
    <w:lvl w:ilvl="0" w:tplc="C39A7892">
      <w:start w:val="3"/>
      <w:numFmt w:val="bullet"/>
      <w:lvlText w:val="-"/>
      <w:lvlJc w:val="left"/>
      <w:pPr>
        <w:ind w:left="2203" w:hanging="360"/>
      </w:pPr>
      <w:rPr>
        <w:rFonts w:ascii="Calibri" w:eastAsiaTheme="minorHAnsi" w:hAnsi="Calibri" w:cs="Calibr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8">
    <w:nsid w:val="4E5D1D78"/>
    <w:multiLevelType w:val="multilevel"/>
    <w:tmpl w:val="F69A37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4E7D53CD"/>
    <w:multiLevelType w:val="multilevel"/>
    <w:tmpl w:val="3182B5B8"/>
    <w:lvl w:ilvl="0">
      <w:start w:val="1"/>
      <w:numFmt w:val="decimal"/>
      <w:lvlText w:val="%1."/>
      <w:lvlJc w:val="left"/>
      <w:pPr>
        <w:ind w:left="780" w:hanging="360"/>
      </w:pPr>
      <w:rPr>
        <w:rFonts w:hint="default"/>
      </w:rPr>
    </w:lvl>
    <w:lvl w:ilvl="1">
      <w:start w:val="3"/>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0">
    <w:nsid w:val="52751060"/>
    <w:multiLevelType w:val="multilevel"/>
    <w:tmpl w:val="F69A37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2996F58"/>
    <w:multiLevelType w:val="hybridMultilevel"/>
    <w:tmpl w:val="A8F8D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576A51"/>
    <w:multiLevelType w:val="hybridMultilevel"/>
    <w:tmpl w:val="C400DE64"/>
    <w:lvl w:ilvl="0" w:tplc="5984A818">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016DA9"/>
    <w:multiLevelType w:val="multilevel"/>
    <w:tmpl w:val="83EC603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0653ABD"/>
    <w:multiLevelType w:val="multilevel"/>
    <w:tmpl w:val="4F3C20C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2173FC"/>
    <w:multiLevelType w:val="multilevel"/>
    <w:tmpl w:val="9918B05C"/>
    <w:lvl w:ilvl="0">
      <w:start w:val="3"/>
      <w:numFmt w:val="decimal"/>
      <w:lvlText w:val="%1"/>
      <w:lvlJc w:val="left"/>
      <w:pPr>
        <w:ind w:left="480" w:hanging="480"/>
      </w:pPr>
      <w:rPr>
        <w:rFonts w:cstheme="minorHAnsi" w:hint="default"/>
      </w:rPr>
    </w:lvl>
    <w:lvl w:ilvl="1">
      <w:start w:val="1"/>
      <w:numFmt w:val="decimal"/>
      <w:lvlText w:val="%1.%2"/>
      <w:lvlJc w:val="left"/>
      <w:pPr>
        <w:ind w:left="1401" w:hanging="480"/>
      </w:pPr>
      <w:rPr>
        <w:rFonts w:cstheme="minorHAnsi" w:hint="default"/>
      </w:rPr>
    </w:lvl>
    <w:lvl w:ilvl="2">
      <w:start w:val="4"/>
      <w:numFmt w:val="decimal"/>
      <w:lvlText w:val="%1.%2.%3"/>
      <w:lvlJc w:val="left"/>
      <w:pPr>
        <w:ind w:left="2562" w:hanging="720"/>
      </w:pPr>
      <w:rPr>
        <w:rFonts w:cstheme="minorHAnsi" w:hint="default"/>
      </w:rPr>
    </w:lvl>
    <w:lvl w:ilvl="3">
      <w:start w:val="1"/>
      <w:numFmt w:val="decimal"/>
      <w:lvlText w:val="%1.%2.%3.%4"/>
      <w:lvlJc w:val="left"/>
      <w:pPr>
        <w:ind w:left="3483" w:hanging="720"/>
      </w:pPr>
      <w:rPr>
        <w:rFonts w:cstheme="minorHAnsi" w:hint="default"/>
      </w:rPr>
    </w:lvl>
    <w:lvl w:ilvl="4">
      <w:start w:val="1"/>
      <w:numFmt w:val="decimal"/>
      <w:lvlText w:val="%1.%2.%3.%4.%5"/>
      <w:lvlJc w:val="left"/>
      <w:pPr>
        <w:ind w:left="4764" w:hanging="1080"/>
      </w:pPr>
      <w:rPr>
        <w:rFonts w:cstheme="minorHAnsi" w:hint="default"/>
      </w:rPr>
    </w:lvl>
    <w:lvl w:ilvl="5">
      <w:start w:val="1"/>
      <w:numFmt w:val="decimal"/>
      <w:lvlText w:val="%1.%2.%3.%4.%5.%6"/>
      <w:lvlJc w:val="left"/>
      <w:pPr>
        <w:ind w:left="5685" w:hanging="1080"/>
      </w:pPr>
      <w:rPr>
        <w:rFonts w:cstheme="minorHAnsi" w:hint="default"/>
      </w:rPr>
    </w:lvl>
    <w:lvl w:ilvl="6">
      <w:start w:val="1"/>
      <w:numFmt w:val="decimal"/>
      <w:lvlText w:val="%1.%2.%3.%4.%5.%6.%7"/>
      <w:lvlJc w:val="left"/>
      <w:pPr>
        <w:ind w:left="6966" w:hanging="1440"/>
      </w:pPr>
      <w:rPr>
        <w:rFonts w:cstheme="minorHAnsi" w:hint="default"/>
      </w:rPr>
    </w:lvl>
    <w:lvl w:ilvl="7">
      <w:start w:val="1"/>
      <w:numFmt w:val="decimal"/>
      <w:lvlText w:val="%1.%2.%3.%4.%5.%6.%7.%8"/>
      <w:lvlJc w:val="left"/>
      <w:pPr>
        <w:ind w:left="7887" w:hanging="1440"/>
      </w:pPr>
      <w:rPr>
        <w:rFonts w:cstheme="minorHAnsi" w:hint="default"/>
      </w:rPr>
    </w:lvl>
    <w:lvl w:ilvl="8">
      <w:start w:val="1"/>
      <w:numFmt w:val="decimal"/>
      <w:lvlText w:val="%1.%2.%3.%4.%5.%6.%7.%8.%9"/>
      <w:lvlJc w:val="left"/>
      <w:pPr>
        <w:ind w:left="9168" w:hanging="1800"/>
      </w:pPr>
      <w:rPr>
        <w:rFonts w:cstheme="minorHAnsi" w:hint="default"/>
      </w:rPr>
    </w:lvl>
  </w:abstractNum>
  <w:abstractNum w:abstractNumId="36">
    <w:nsid w:val="695C3142"/>
    <w:multiLevelType w:val="hybridMultilevel"/>
    <w:tmpl w:val="C53628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ADE01CC"/>
    <w:multiLevelType w:val="hybridMultilevel"/>
    <w:tmpl w:val="0B9810EE"/>
    <w:lvl w:ilvl="0" w:tplc="C0DA2362">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BA5526"/>
    <w:multiLevelType w:val="multilevel"/>
    <w:tmpl w:val="BFD4B046"/>
    <w:lvl w:ilvl="0">
      <w:start w:val="1"/>
      <w:numFmt w:val="bullet"/>
      <w:lvlText w:val=""/>
      <w:lvlJc w:val="left"/>
      <w:pPr>
        <w:ind w:left="720" w:hanging="360"/>
      </w:pPr>
      <w:rPr>
        <w:rFonts w:ascii="Wingdings" w:hAnsi="Wingding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1DB21CF"/>
    <w:multiLevelType w:val="hybridMultilevel"/>
    <w:tmpl w:val="7928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D6477D"/>
    <w:multiLevelType w:val="hybridMultilevel"/>
    <w:tmpl w:val="C73A736E"/>
    <w:lvl w:ilvl="0" w:tplc="B4E0A0BA">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3E0385"/>
    <w:multiLevelType w:val="hybridMultilevel"/>
    <w:tmpl w:val="B5FE461A"/>
    <w:lvl w:ilvl="0" w:tplc="C0CCF4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F71A6C"/>
    <w:multiLevelType w:val="hybridMultilevel"/>
    <w:tmpl w:val="5804F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1"/>
  </w:num>
  <w:num w:numId="3">
    <w:abstractNumId w:val="15"/>
  </w:num>
  <w:num w:numId="4">
    <w:abstractNumId w:val="16"/>
  </w:num>
  <w:num w:numId="5">
    <w:abstractNumId w:val="37"/>
  </w:num>
  <w:num w:numId="6">
    <w:abstractNumId w:val="19"/>
  </w:num>
  <w:num w:numId="7">
    <w:abstractNumId w:val="21"/>
  </w:num>
  <w:num w:numId="8">
    <w:abstractNumId w:val="29"/>
  </w:num>
  <w:num w:numId="9">
    <w:abstractNumId w:val="5"/>
  </w:num>
  <w:num w:numId="10">
    <w:abstractNumId w:val="20"/>
  </w:num>
  <w:num w:numId="11">
    <w:abstractNumId w:val="12"/>
  </w:num>
  <w:num w:numId="12">
    <w:abstractNumId w:val="41"/>
  </w:num>
  <w:num w:numId="13">
    <w:abstractNumId w:val="6"/>
  </w:num>
  <w:num w:numId="14">
    <w:abstractNumId w:val="4"/>
  </w:num>
  <w:num w:numId="15">
    <w:abstractNumId w:val="1"/>
  </w:num>
  <w:num w:numId="16">
    <w:abstractNumId w:val="33"/>
  </w:num>
  <w:num w:numId="17">
    <w:abstractNumId w:val="24"/>
  </w:num>
  <w:num w:numId="18">
    <w:abstractNumId w:val="27"/>
  </w:num>
  <w:num w:numId="19">
    <w:abstractNumId w:val="11"/>
  </w:num>
  <w:num w:numId="20">
    <w:abstractNumId w:val="35"/>
  </w:num>
  <w:num w:numId="21">
    <w:abstractNumId w:val="14"/>
  </w:num>
  <w:num w:numId="22">
    <w:abstractNumId w:val="39"/>
  </w:num>
  <w:num w:numId="23">
    <w:abstractNumId w:val="22"/>
  </w:num>
  <w:num w:numId="24">
    <w:abstractNumId w:val="18"/>
  </w:num>
  <w:num w:numId="25">
    <w:abstractNumId w:val="7"/>
  </w:num>
  <w:num w:numId="26">
    <w:abstractNumId w:val="34"/>
  </w:num>
  <w:num w:numId="27">
    <w:abstractNumId w:val="3"/>
  </w:num>
  <w:num w:numId="28">
    <w:abstractNumId w:val="32"/>
  </w:num>
  <w:num w:numId="29">
    <w:abstractNumId w:val="40"/>
  </w:num>
  <w:num w:numId="30">
    <w:abstractNumId w:val="13"/>
  </w:num>
  <w:num w:numId="31">
    <w:abstractNumId w:val="36"/>
  </w:num>
  <w:num w:numId="32">
    <w:abstractNumId w:val="10"/>
  </w:num>
  <w:num w:numId="33">
    <w:abstractNumId w:val="23"/>
  </w:num>
  <w:num w:numId="34">
    <w:abstractNumId w:val="26"/>
  </w:num>
  <w:num w:numId="35">
    <w:abstractNumId w:val="30"/>
  </w:num>
  <w:num w:numId="36">
    <w:abstractNumId w:val="28"/>
  </w:num>
  <w:num w:numId="37">
    <w:abstractNumId w:val="17"/>
  </w:num>
  <w:num w:numId="38">
    <w:abstractNumId w:val="2"/>
  </w:num>
  <w:num w:numId="39">
    <w:abstractNumId w:val="9"/>
  </w:num>
  <w:num w:numId="40">
    <w:abstractNumId w:val="38"/>
  </w:num>
  <w:num w:numId="41">
    <w:abstractNumId w:val="8"/>
  </w:num>
  <w:num w:numId="42">
    <w:abstractNumId w:val="0"/>
  </w:num>
  <w:num w:numId="43">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CA"/>
    <w:rsid w:val="000029FB"/>
    <w:rsid w:val="00004281"/>
    <w:rsid w:val="0000487B"/>
    <w:rsid w:val="000143F4"/>
    <w:rsid w:val="00017D7E"/>
    <w:rsid w:val="000206CF"/>
    <w:rsid w:val="00021AE8"/>
    <w:rsid w:val="00021E8C"/>
    <w:rsid w:val="00021F77"/>
    <w:rsid w:val="00024D69"/>
    <w:rsid w:val="00031089"/>
    <w:rsid w:val="00032862"/>
    <w:rsid w:val="000329B2"/>
    <w:rsid w:val="00040D6A"/>
    <w:rsid w:val="00041C20"/>
    <w:rsid w:val="000421D2"/>
    <w:rsid w:val="00043A82"/>
    <w:rsid w:val="00045FF8"/>
    <w:rsid w:val="00051784"/>
    <w:rsid w:val="0005276F"/>
    <w:rsid w:val="0005278D"/>
    <w:rsid w:val="00055F42"/>
    <w:rsid w:val="00057322"/>
    <w:rsid w:val="00066AB1"/>
    <w:rsid w:val="00070D0F"/>
    <w:rsid w:val="0007171C"/>
    <w:rsid w:val="00073C67"/>
    <w:rsid w:val="000755D5"/>
    <w:rsid w:val="00076491"/>
    <w:rsid w:val="00077822"/>
    <w:rsid w:val="000815CB"/>
    <w:rsid w:val="00083DFA"/>
    <w:rsid w:val="00084EC7"/>
    <w:rsid w:val="00085949"/>
    <w:rsid w:val="000868C1"/>
    <w:rsid w:val="0008713A"/>
    <w:rsid w:val="000879AB"/>
    <w:rsid w:val="00093082"/>
    <w:rsid w:val="000972B9"/>
    <w:rsid w:val="00097D90"/>
    <w:rsid w:val="000A0F3D"/>
    <w:rsid w:val="000A1F46"/>
    <w:rsid w:val="000A3296"/>
    <w:rsid w:val="000B12AE"/>
    <w:rsid w:val="000B1904"/>
    <w:rsid w:val="000B2A27"/>
    <w:rsid w:val="000B408A"/>
    <w:rsid w:val="000B6068"/>
    <w:rsid w:val="000B7054"/>
    <w:rsid w:val="000C6115"/>
    <w:rsid w:val="000C7970"/>
    <w:rsid w:val="000D1295"/>
    <w:rsid w:val="000D4983"/>
    <w:rsid w:val="000E5A76"/>
    <w:rsid w:val="000E6907"/>
    <w:rsid w:val="000E7D1C"/>
    <w:rsid w:val="000F09C3"/>
    <w:rsid w:val="000F682C"/>
    <w:rsid w:val="00104852"/>
    <w:rsid w:val="00105320"/>
    <w:rsid w:val="0010568D"/>
    <w:rsid w:val="00110CE5"/>
    <w:rsid w:val="00112B33"/>
    <w:rsid w:val="00112B5F"/>
    <w:rsid w:val="00114D66"/>
    <w:rsid w:val="001161D4"/>
    <w:rsid w:val="00116CA5"/>
    <w:rsid w:val="00117FCC"/>
    <w:rsid w:val="0012011A"/>
    <w:rsid w:val="00125B98"/>
    <w:rsid w:val="0013337A"/>
    <w:rsid w:val="00133B33"/>
    <w:rsid w:val="00133FD1"/>
    <w:rsid w:val="00134662"/>
    <w:rsid w:val="001424E9"/>
    <w:rsid w:val="001437AA"/>
    <w:rsid w:val="0014583B"/>
    <w:rsid w:val="0015079D"/>
    <w:rsid w:val="00150C44"/>
    <w:rsid w:val="00150EA1"/>
    <w:rsid w:val="001570F0"/>
    <w:rsid w:val="00157532"/>
    <w:rsid w:val="001614B8"/>
    <w:rsid w:val="00165996"/>
    <w:rsid w:val="00165D14"/>
    <w:rsid w:val="00167A1A"/>
    <w:rsid w:val="00171279"/>
    <w:rsid w:val="001748E8"/>
    <w:rsid w:val="001815DA"/>
    <w:rsid w:val="00183953"/>
    <w:rsid w:val="00186597"/>
    <w:rsid w:val="00192054"/>
    <w:rsid w:val="00192CE5"/>
    <w:rsid w:val="00194656"/>
    <w:rsid w:val="0019540D"/>
    <w:rsid w:val="00195E6C"/>
    <w:rsid w:val="00196196"/>
    <w:rsid w:val="00197334"/>
    <w:rsid w:val="001A0C9D"/>
    <w:rsid w:val="001B074F"/>
    <w:rsid w:val="001B0A23"/>
    <w:rsid w:val="001B2D32"/>
    <w:rsid w:val="001B316F"/>
    <w:rsid w:val="001B3BF1"/>
    <w:rsid w:val="001C1B5B"/>
    <w:rsid w:val="001C1D92"/>
    <w:rsid w:val="001C2F14"/>
    <w:rsid w:val="001D0769"/>
    <w:rsid w:val="001D2DA2"/>
    <w:rsid w:val="001D64D3"/>
    <w:rsid w:val="001D6F63"/>
    <w:rsid w:val="001E1839"/>
    <w:rsid w:val="001E4A83"/>
    <w:rsid w:val="001F0DB2"/>
    <w:rsid w:val="001F4ED5"/>
    <w:rsid w:val="0020010C"/>
    <w:rsid w:val="0020149D"/>
    <w:rsid w:val="002020A3"/>
    <w:rsid w:val="00202A98"/>
    <w:rsid w:val="0021660D"/>
    <w:rsid w:val="00220CDD"/>
    <w:rsid w:val="00222362"/>
    <w:rsid w:val="0022243F"/>
    <w:rsid w:val="002229EC"/>
    <w:rsid w:val="00222A78"/>
    <w:rsid w:val="00227341"/>
    <w:rsid w:val="0022787B"/>
    <w:rsid w:val="00230BED"/>
    <w:rsid w:val="002329DB"/>
    <w:rsid w:val="00233494"/>
    <w:rsid w:val="002343D1"/>
    <w:rsid w:val="00240004"/>
    <w:rsid w:val="00242A7A"/>
    <w:rsid w:val="00242A80"/>
    <w:rsid w:val="0024440E"/>
    <w:rsid w:val="00244711"/>
    <w:rsid w:val="00245F64"/>
    <w:rsid w:val="00246145"/>
    <w:rsid w:val="002468F2"/>
    <w:rsid w:val="00251121"/>
    <w:rsid w:val="00253B6D"/>
    <w:rsid w:val="002547BD"/>
    <w:rsid w:val="00256288"/>
    <w:rsid w:val="002574C8"/>
    <w:rsid w:val="00262613"/>
    <w:rsid w:val="00263A9A"/>
    <w:rsid w:val="00271E8B"/>
    <w:rsid w:val="00277F7E"/>
    <w:rsid w:val="00280563"/>
    <w:rsid w:val="00287E72"/>
    <w:rsid w:val="002908CE"/>
    <w:rsid w:val="00293A7D"/>
    <w:rsid w:val="002960B7"/>
    <w:rsid w:val="002963D1"/>
    <w:rsid w:val="002A3D84"/>
    <w:rsid w:val="002A76BD"/>
    <w:rsid w:val="002B5E9E"/>
    <w:rsid w:val="002B6D21"/>
    <w:rsid w:val="002B70FD"/>
    <w:rsid w:val="002B7EBA"/>
    <w:rsid w:val="002C07A7"/>
    <w:rsid w:val="002D123A"/>
    <w:rsid w:val="002D2E21"/>
    <w:rsid w:val="002D333A"/>
    <w:rsid w:val="002D53B6"/>
    <w:rsid w:val="002D67F2"/>
    <w:rsid w:val="002D739E"/>
    <w:rsid w:val="002E1BAA"/>
    <w:rsid w:val="002E2863"/>
    <w:rsid w:val="002E56C2"/>
    <w:rsid w:val="002F3308"/>
    <w:rsid w:val="003032B3"/>
    <w:rsid w:val="00306CFB"/>
    <w:rsid w:val="0030722E"/>
    <w:rsid w:val="003134B9"/>
    <w:rsid w:val="00314DA6"/>
    <w:rsid w:val="00315594"/>
    <w:rsid w:val="003173C3"/>
    <w:rsid w:val="00320682"/>
    <w:rsid w:val="003213FB"/>
    <w:rsid w:val="00326221"/>
    <w:rsid w:val="00330EF0"/>
    <w:rsid w:val="003352AF"/>
    <w:rsid w:val="00341739"/>
    <w:rsid w:val="003448C3"/>
    <w:rsid w:val="00345D7A"/>
    <w:rsid w:val="0034748C"/>
    <w:rsid w:val="00351ADE"/>
    <w:rsid w:val="00352B25"/>
    <w:rsid w:val="00352FE6"/>
    <w:rsid w:val="00353358"/>
    <w:rsid w:val="003537BE"/>
    <w:rsid w:val="00357EA5"/>
    <w:rsid w:val="00360506"/>
    <w:rsid w:val="00365785"/>
    <w:rsid w:val="003662CD"/>
    <w:rsid w:val="00370734"/>
    <w:rsid w:val="00370D8E"/>
    <w:rsid w:val="00371A0C"/>
    <w:rsid w:val="003764A9"/>
    <w:rsid w:val="00376659"/>
    <w:rsid w:val="00376C0E"/>
    <w:rsid w:val="003823D3"/>
    <w:rsid w:val="00383DBD"/>
    <w:rsid w:val="003842FD"/>
    <w:rsid w:val="003C2606"/>
    <w:rsid w:val="003C27D7"/>
    <w:rsid w:val="003C28F8"/>
    <w:rsid w:val="003C2C2B"/>
    <w:rsid w:val="003C3574"/>
    <w:rsid w:val="003C3A32"/>
    <w:rsid w:val="003C4195"/>
    <w:rsid w:val="003C4B65"/>
    <w:rsid w:val="003C4C3C"/>
    <w:rsid w:val="003C6364"/>
    <w:rsid w:val="003D3B6A"/>
    <w:rsid w:val="003D633A"/>
    <w:rsid w:val="003D68D5"/>
    <w:rsid w:val="003D6900"/>
    <w:rsid w:val="003E0985"/>
    <w:rsid w:val="003E0C79"/>
    <w:rsid w:val="003E3582"/>
    <w:rsid w:val="003E4800"/>
    <w:rsid w:val="003E4940"/>
    <w:rsid w:val="003F0C45"/>
    <w:rsid w:val="003F292D"/>
    <w:rsid w:val="003F79BB"/>
    <w:rsid w:val="0040157A"/>
    <w:rsid w:val="00403287"/>
    <w:rsid w:val="00406297"/>
    <w:rsid w:val="004071E7"/>
    <w:rsid w:val="00410AC8"/>
    <w:rsid w:val="00412F7F"/>
    <w:rsid w:val="004169E2"/>
    <w:rsid w:val="00432649"/>
    <w:rsid w:val="00433243"/>
    <w:rsid w:val="004378C1"/>
    <w:rsid w:val="00443716"/>
    <w:rsid w:val="00444591"/>
    <w:rsid w:val="00446FF3"/>
    <w:rsid w:val="004534C8"/>
    <w:rsid w:val="0045365B"/>
    <w:rsid w:val="00455391"/>
    <w:rsid w:val="004554E3"/>
    <w:rsid w:val="00455751"/>
    <w:rsid w:val="00461D5F"/>
    <w:rsid w:val="0046296B"/>
    <w:rsid w:val="00462DEF"/>
    <w:rsid w:val="00462F6B"/>
    <w:rsid w:val="00466472"/>
    <w:rsid w:val="00466E79"/>
    <w:rsid w:val="00471E2D"/>
    <w:rsid w:val="004727C4"/>
    <w:rsid w:val="00477FD1"/>
    <w:rsid w:val="004812BD"/>
    <w:rsid w:val="004814B5"/>
    <w:rsid w:val="004838AF"/>
    <w:rsid w:val="00485807"/>
    <w:rsid w:val="00487CAD"/>
    <w:rsid w:val="00490F32"/>
    <w:rsid w:val="0049287B"/>
    <w:rsid w:val="004A2D88"/>
    <w:rsid w:val="004A5019"/>
    <w:rsid w:val="004B6C24"/>
    <w:rsid w:val="004B7DAC"/>
    <w:rsid w:val="004C1B12"/>
    <w:rsid w:val="004C4E90"/>
    <w:rsid w:val="004C540C"/>
    <w:rsid w:val="004D0525"/>
    <w:rsid w:val="004D1F49"/>
    <w:rsid w:val="004D4B74"/>
    <w:rsid w:val="004E050F"/>
    <w:rsid w:val="004E149E"/>
    <w:rsid w:val="004E36F5"/>
    <w:rsid w:val="004E5BBC"/>
    <w:rsid w:val="004F4B09"/>
    <w:rsid w:val="004F6667"/>
    <w:rsid w:val="004F6921"/>
    <w:rsid w:val="004F69FE"/>
    <w:rsid w:val="005007BF"/>
    <w:rsid w:val="0050105A"/>
    <w:rsid w:val="005017DD"/>
    <w:rsid w:val="00504C1D"/>
    <w:rsid w:val="00504F62"/>
    <w:rsid w:val="00504FCC"/>
    <w:rsid w:val="00507177"/>
    <w:rsid w:val="00507D7A"/>
    <w:rsid w:val="0051126F"/>
    <w:rsid w:val="005155EC"/>
    <w:rsid w:val="00515BAC"/>
    <w:rsid w:val="0052151F"/>
    <w:rsid w:val="005223E3"/>
    <w:rsid w:val="00522CD0"/>
    <w:rsid w:val="00523D47"/>
    <w:rsid w:val="00524045"/>
    <w:rsid w:val="00525254"/>
    <w:rsid w:val="00525420"/>
    <w:rsid w:val="00527684"/>
    <w:rsid w:val="005335BB"/>
    <w:rsid w:val="00534307"/>
    <w:rsid w:val="00537CE5"/>
    <w:rsid w:val="00540462"/>
    <w:rsid w:val="00541F6D"/>
    <w:rsid w:val="00544924"/>
    <w:rsid w:val="00545432"/>
    <w:rsid w:val="00546D32"/>
    <w:rsid w:val="00560C88"/>
    <w:rsid w:val="00561401"/>
    <w:rsid w:val="00565C52"/>
    <w:rsid w:val="00565D13"/>
    <w:rsid w:val="00565F63"/>
    <w:rsid w:val="005709C4"/>
    <w:rsid w:val="00571835"/>
    <w:rsid w:val="005761CA"/>
    <w:rsid w:val="005821BF"/>
    <w:rsid w:val="00582229"/>
    <w:rsid w:val="00583EF0"/>
    <w:rsid w:val="00584672"/>
    <w:rsid w:val="00584A82"/>
    <w:rsid w:val="00590E12"/>
    <w:rsid w:val="00591542"/>
    <w:rsid w:val="00594067"/>
    <w:rsid w:val="00595D80"/>
    <w:rsid w:val="0059790A"/>
    <w:rsid w:val="005A0FA7"/>
    <w:rsid w:val="005A3B59"/>
    <w:rsid w:val="005A41F1"/>
    <w:rsid w:val="005A78F4"/>
    <w:rsid w:val="005B0922"/>
    <w:rsid w:val="005B0B78"/>
    <w:rsid w:val="005B18B9"/>
    <w:rsid w:val="005B1F19"/>
    <w:rsid w:val="005B3051"/>
    <w:rsid w:val="005C313A"/>
    <w:rsid w:val="005C4FE3"/>
    <w:rsid w:val="005C5730"/>
    <w:rsid w:val="005D24CC"/>
    <w:rsid w:val="005D2726"/>
    <w:rsid w:val="005E0909"/>
    <w:rsid w:val="005E1706"/>
    <w:rsid w:val="005F1041"/>
    <w:rsid w:val="005F14CD"/>
    <w:rsid w:val="005F1C94"/>
    <w:rsid w:val="005F1FCA"/>
    <w:rsid w:val="005F464C"/>
    <w:rsid w:val="005F6558"/>
    <w:rsid w:val="00602270"/>
    <w:rsid w:val="006040C6"/>
    <w:rsid w:val="00606A0F"/>
    <w:rsid w:val="006078A2"/>
    <w:rsid w:val="00611713"/>
    <w:rsid w:val="00613BA3"/>
    <w:rsid w:val="006145DA"/>
    <w:rsid w:val="006208FB"/>
    <w:rsid w:val="00622EF5"/>
    <w:rsid w:val="00625430"/>
    <w:rsid w:val="00625BC7"/>
    <w:rsid w:val="00627EB7"/>
    <w:rsid w:val="00630D9C"/>
    <w:rsid w:val="00633F9B"/>
    <w:rsid w:val="00634DE0"/>
    <w:rsid w:val="00636207"/>
    <w:rsid w:val="00640FB1"/>
    <w:rsid w:val="00645118"/>
    <w:rsid w:val="00645493"/>
    <w:rsid w:val="006458ED"/>
    <w:rsid w:val="006459D1"/>
    <w:rsid w:val="00650582"/>
    <w:rsid w:val="00652086"/>
    <w:rsid w:val="00654339"/>
    <w:rsid w:val="00654DE9"/>
    <w:rsid w:val="00655058"/>
    <w:rsid w:val="006567A4"/>
    <w:rsid w:val="006571E5"/>
    <w:rsid w:val="00662B61"/>
    <w:rsid w:val="0066373D"/>
    <w:rsid w:val="00663D24"/>
    <w:rsid w:val="0066731D"/>
    <w:rsid w:val="00667633"/>
    <w:rsid w:val="00670AD1"/>
    <w:rsid w:val="00677600"/>
    <w:rsid w:val="00680877"/>
    <w:rsid w:val="00683CDA"/>
    <w:rsid w:val="006922F0"/>
    <w:rsid w:val="00695C67"/>
    <w:rsid w:val="006960B2"/>
    <w:rsid w:val="006A3087"/>
    <w:rsid w:val="006A3983"/>
    <w:rsid w:val="006A3E0E"/>
    <w:rsid w:val="006A4F96"/>
    <w:rsid w:val="006A52DE"/>
    <w:rsid w:val="006A5432"/>
    <w:rsid w:val="006A70D8"/>
    <w:rsid w:val="006A760F"/>
    <w:rsid w:val="006B0767"/>
    <w:rsid w:val="006B0EFE"/>
    <w:rsid w:val="006B3DB3"/>
    <w:rsid w:val="006B3EFF"/>
    <w:rsid w:val="006B4EFE"/>
    <w:rsid w:val="006B6946"/>
    <w:rsid w:val="006B7981"/>
    <w:rsid w:val="006C0DF5"/>
    <w:rsid w:val="006C111F"/>
    <w:rsid w:val="006C6F3C"/>
    <w:rsid w:val="006D0BDA"/>
    <w:rsid w:val="006D2EA7"/>
    <w:rsid w:val="006D4696"/>
    <w:rsid w:val="006D677C"/>
    <w:rsid w:val="006D7EC7"/>
    <w:rsid w:val="006E04F0"/>
    <w:rsid w:val="006E1402"/>
    <w:rsid w:val="006E4B78"/>
    <w:rsid w:val="006F3631"/>
    <w:rsid w:val="006F3960"/>
    <w:rsid w:val="006F408A"/>
    <w:rsid w:val="006F5D17"/>
    <w:rsid w:val="00700BBC"/>
    <w:rsid w:val="0070268E"/>
    <w:rsid w:val="00702C8A"/>
    <w:rsid w:val="007078EA"/>
    <w:rsid w:val="00710663"/>
    <w:rsid w:val="00711B78"/>
    <w:rsid w:val="0071323A"/>
    <w:rsid w:val="00722219"/>
    <w:rsid w:val="007235B7"/>
    <w:rsid w:val="007278E0"/>
    <w:rsid w:val="007335EC"/>
    <w:rsid w:val="00733DF8"/>
    <w:rsid w:val="007348F2"/>
    <w:rsid w:val="00741B06"/>
    <w:rsid w:val="00741F38"/>
    <w:rsid w:val="00745A85"/>
    <w:rsid w:val="00746A8F"/>
    <w:rsid w:val="00746CC1"/>
    <w:rsid w:val="00750E17"/>
    <w:rsid w:val="00753694"/>
    <w:rsid w:val="00763C28"/>
    <w:rsid w:val="00767551"/>
    <w:rsid w:val="00767898"/>
    <w:rsid w:val="0077290C"/>
    <w:rsid w:val="00775532"/>
    <w:rsid w:val="00781998"/>
    <w:rsid w:val="00784615"/>
    <w:rsid w:val="00784F61"/>
    <w:rsid w:val="00794AE5"/>
    <w:rsid w:val="00795B47"/>
    <w:rsid w:val="007A60F3"/>
    <w:rsid w:val="007B0A63"/>
    <w:rsid w:val="007B3891"/>
    <w:rsid w:val="007B54AC"/>
    <w:rsid w:val="007B5EBA"/>
    <w:rsid w:val="007B612B"/>
    <w:rsid w:val="007B65BC"/>
    <w:rsid w:val="007C4EAB"/>
    <w:rsid w:val="007C76DE"/>
    <w:rsid w:val="007C7D13"/>
    <w:rsid w:val="007D24DF"/>
    <w:rsid w:val="007D3591"/>
    <w:rsid w:val="007D3DA2"/>
    <w:rsid w:val="007D5373"/>
    <w:rsid w:val="007D54B5"/>
    <w:rsid w:val="007E0053"/>
    <w:rsid w:val="007E1114"/>
    <w:rsid w:val="007E18CE"/>
    <w:rsid w:val="007E2009"/>
    <w:rsid w:val="007E5510"/>
    <w:rsid w:val="007E638A"/>
    <w:rsid w:val="007E6A36"/>
    <w:rsid w:val="007F145A"/>
    <w:rsid w:val="007F14F2"/>
    <w:rsid w:val="007F7477"/>
    <w:rsid w:val="0080445B"/>
    <w:rsid w:val="00812C5B"/>
    <w:rsid w:val="00813339"/>
    <w:rsid w:val="008152DA"/>
    <w:rsid w:val="008157E8"/>
    <w:rsid w:val="008158A4"/>
    <w:rsid w:val="00825FB3"/>
    <w:rsid w:val="008271F5"/>
    <w:rsid w:val="00832A3E"/>
    <w:rsid w:val="00834328"/>
    <w:rsid w:val="00834F2E"/>
    <w:rsid w:val="00836B8B"/>
    <w:rsid w:val="00846423"/>
    <w:rsid w:val="0085039B"/>
    <w:rsid w:val="0085126B"/>
    <w:rsid w:val="008512BB"/>
    <w:rsid w:val="00852C9B"/>
    <w:rsid w:val="0085360D"/>
    <w:rsid w:val="00854F6C"/>
    <w:rsid w:val="00857DC6"/>
    <w:rsid w:val="0086076D"/>
    <w:rsid w:val="008669B5"/>
    <w:rsid w:val="0087154E"/>
    <w:rsid w:val="008752EE"/>
    <w:rsid w:val="008766AC"/>
    <w:rsid w:val="00877635"/>
    <w:rsid w:val="00881F51"/>
    <w:rsid w:val="0088388A"/>
    <w:rsid w:val="00885094"/>
    <w:rsid w:val="00887138"/>
    <w:rsid w:val="008908DC"/>
    <w:rsid w:val="00892724"/>
    <w:rsid w:val="00896DB5"/>
    <w:rsid w:val="008A0184"/>
    <w:rsid w:val="008A16D0"/>
    <w:rsid w:val="008A498B"/>
    <w:rsid w:val="008A667A"/>
    <w:rsid w:val="008B21DC"/>
    <w:rsid w:val="008B4F40"/>
    <w:rsid w:val="008B5344"/>
    <w:rsid w:val="008B774C"/>
    <w:rsid w:val="008C0095"/>
    <w:rsid w:val="008C4489"/>
    <w:rsid w:val="008C4B9D"/>
    <w:rsid w:val="008C7558"/>
    <w:rsid w:val="008E026B"/>
    <w:rsid w:val="008E065C"/>
    <w:rsid w:val="008F325C"/>
    <w:rsid w:val="008F6E01"/>
    <w:rsid w:val="008F72A0"/>
    <w:rsid w:val="00903A04"/>
    <w:rsid w:val="009041FC"/>
    <w:rsid w:val="009056B0"/>
    <w:rsid w:val="00905873"/>
    <w:rsid w:val="009133AD"/>
    <w:rsid w:val="00914187"/>
    <w:rsid w:val="009142CD"/>
    <w:rsid w:val="00922E32"/>
    <w:rsid w:val="009251C5"/>
    <w:rsid w:val="00926493"/>
    <w:rsid w:val="00935FED"/>
    <w:rsid w:val="009362C0"/>
    <w:rsid w:val="009423BE"/>
    <w:rsid w:val="0094587B"/>
    <w:rsid w:val="009537F9"/>
    <w:rsid w:val="00954E9A"/>
    <w:rsid w:val="00960951"/>
    <w:rsid w:val="00960A3E"/>
    <w:rsid w:val="00962C22"/>
    <w:rsid w:val="00967791"/>
    <w:rsid w:val="00967BB4"/>
    <w:rsid w:val="0097130C"/>
    <w:rsid w:val="00972DE9"/>
    <w:rsid w:val="009778FE"/>
    <w:rsid w:val="00981C5A"/>
    <w:rsid w:val="00982F66"/>
    <w:rsid w:val="00985A68"/>
    <w:rsid w:val="00985B08"/>
    <w:rsid w:val="009A2245"/>
    <w:rsid w:val="009A3C55"/>
    <w:rsid w:val="009A4387"/>
    <w:rsid w:val="009A4680"/>
    <w:rsid w:val="009A5D7E"/>
    <w:rsid w:val="009B10C3"/>
    <w:rsid w:val="009B242A"/>
    <w:rsid w:val="009B68D0"/>
    <w:rsid w:val="009C4A4B"/>
    <w:rsid w:val="009C4CED"/>
    <w:rsid w:val="009C5759"/>
    <w:rsid w:val="009D0377"/>
    <w:rsid w:val="009D5CDB"/>
    <w:rsid w:val="009D5EC3"/>
    <w:rsid w:val="009E1B67"/>
    <w:rsid w:val="009E5966"/>
    <w:rsid w:val="009E6A0C"/>
    <w:rsid w:val="009E7B14"/>
    <w:rsid w:val="009E7FF6"/>
    <w:rsid w:val="009F112D"/>
    <w:rsid w:val="009F6F03"/>
    <w:rsid w:val="00A0546E"/>
    <w:rsid w:val="00A056E1"/>
    <w:rsid w:val="00A05B1E"/>
    <w:rsid w:val="00A06E43"/>
    <w:rsid w:val="00A076D2"/>
    <w:rsid w:val="00A14C6C"/>
    <w:rsid w:val="00A1501F"/>
    <w:rsid w:val="00A2062E"/>
    <w:rsid w:val="00A209D5"/>
    <w:rsid w:val="00A3015E"/>
    <w:rsid w:val="00A30DE9"/>
    <w:rsid w:val="00A35AA2"/>
    <w:rsid w:val="00A54844"/>
    <w:rsid w:val="00A54D86"/>
    <w:rsid w:val="00A60808"/>
    <w:rsid w:val="00A60A97"/>
    <w:rsid w:val="00A63652"/>
    <w:rsid w:val="00A66BB4"/>
    <w:rsid w:val="00A72E75"/>
    <w:rsid w:val="00A7734A"/>
    <w:rsid w:val="00A83B04"/>
    <w:rsid w:val="00A85191"/>
    <w:rsid w:val="00A864AC"/>
    <w:rsid w:val="00A8782A"/>
    <w:rsid w:val="00A9184C"/>
    <w:rsid w:val="00A97A9C"/>
    <w:rsid w:val="00A97AFE"/>
    <w:rsid w:val="00A97F96"/>
    <w:rsid w:val="00AA06D2"/>
    <w:rsid w:val="00AA30A1"/>
    <w:rsid w:val="00AA4C62"/>
    <w:rsid w:val="00AB1017"/>
    <w:rsid w:val="00AB273E"/>
    <w:rsid w:val="00AB31CF"/>
    <w:rsid w:val="00AC10F6"/>
    <w:rsid w:val="00AC21C4"/>
    <w:rsid w:val="00AC7B3E"/>
    <w:rsid w:val="00AD056C"/>
    <w:rsid w:val="00AD0B7B"/>
    <w:rsid w:val="00AD22B3"/>
    <w:rsid w:val="00AD4477"/>
    <w:rsid w:val="00AD5065"/>
    <w:rsid w:val="00AD5792"/>
    <w:rsid w:val="00AD61B6"/>
    <w:rsid w:val="00AD75D9"/>
    <w:rsid w:val="00AE07DA"/>
    <w:rsid w:val="00AE07FD"/>
    <w:rsid w:val="00AE110F"/>
    <w:rsid w:val="00AE1304"/>
    <w:rsid w:val="00AE31C6"/>
    <w:rsid w:val="00AF50DB"/>
    <w:rsid w:val="00AF53D8"/>
    <w:rsid w:val="00AF5CC6"/>
    <w:rsid w:val="00AF6629"/>
    <w:rsid w:val="00B004F0"/>
    <w:rsid w:val="00B042A7"/>
    <w:rsid w:val="00B04CBD"/>
    <w:rsid w:val="00B04E4D"/>
    <w:rsid w:val="00B13B3E"/>
    <w:rsid w:val="00B20040"/>
    <w:rsid w:val="00B2278C"/>
    <w:rsid w:val="00B23FEA"/>
    <w:rsid w:val="00B2460D"/>
    <w:rsid w:val="00B25ACA"/>
    <w:rsid w:val="00B25E18"/>
    <w:rsid w:val="00B26F29"/>
    <w:rsid w:val="00B30582"/>
    <w:rsid w:val="00B3646A"/>
    <w:rsid w:val="00B41783"/>
    <w:rsid w:val="00B41FF2"/>
    <w:rsid w:val="00B427D6"/>
    <w:rsid w:val="00B44982"/>
    <w:rsid w:val="00B473C5"/>
    <w:rsid w:val="00B53F52"/>
    <w:rsid w:val="00B54D06"/>
    <w:rsid w:val="00B558BE"/>
    <w:rsid w:val="00B55D81"/>
    <w:rsid w:val="00B6159A"/>
    <w:rsid w:val="00B64062"/>
    <w:rsid w:val="00B652E4"/>
    <w:rsid w:val="00B65AB3"/>
    <w:rsid w:val="00B70F30"/>
    <w:rsid w:val="00B71305"/>
    <w:rsid w:val="00B74459"/>
    <w:rsid w:val="00B77CF3"/>
    <w:rsid w:val="00B81C84"/>
    <w:rsid w:val="00B87291"/>
    <w:rsid w:val="00B87B19"/>
    <w:rsid w:val="00B906CA"/>
    <w:rsid w:val="00B908C0"/>
    <w:rsid w:val="00B915C0"/>
    <w:rsid w:val="00B91C15"/>
    <w:rsid w:val="00B928E5"/>
    <w:rsid w:val="00B94DFE"/>
    <w:rsid w:val="00B9653E"/>
    <w:rsid w:val="00B978C5"/>
    <w:rsid w:val="00BB0884"/>
    <w:rsid w:val="00BB2E91"/>
    <w:rsid w:val="00BB61F5"/>
    <w:rsid w:val="00BC0049"/>
    <w:rsid w:val="00BC4BDC"/>
    <w:rsid w:val="00BD1E48"/>
    <w:rsid w:val="00BD54B9"/>
    <w:rsid w:val="00BE0D24"/>
    <w:rsid w:val="00BE2266"/>
    <w:rsid w:val="00BE3268"/>
    <w:rsid w:val="00BE73D2"/>
    <w:rsid w:val="00C03883"/>
    <w:rsid w:val="00C03E31"/>
    <w:rsid w:val="00C054A3"/>
    <w:rsid w:val="00C05AE0"/>
    <w:rsid w:val="00C1003A"/>
    <w:rsid w:val="00C11970"/>
    <w:rsid w:val="00C15BD7"/>
    <w:rsid w:val="00C15C60"/>
    <w:rsid w:val="00C16811"/>
    <w:rsid w:val="00C1711B"/>
    <w:rsid w:val="00C17633"/>
    <w:rsid w:val="00C24375"/>
    <w:rsid w:val="00C258F2"/>
    <w:rsid w:val="00C2787C"/>
    <w:rsid w:val="00C306DE"/>
    <w:rsid w:val="00C30BC6"/>
    <w:rsid w:val="00C339DA"/>
    <w:rsid w:val="00C340D1"/>
    <w:rsid w:val="00C36A0E"/>
    <w:rsid w:val="00C37C0C"/>
    <w:rsid w:val="00C439A6"/>
    <w:rsid w:val="00C5002B"/>
    <w:rsid w:val="00C51E10"/>
    <w:rsid w:val="00C53004"/>
    <w:rsid w:val="00C557BE"/>
    <w:rsid w:val="00C55D5E"/>
    <w:rsid w:val="00C630A5"/>
    <w:rsid w:val="00C657AA"/>
    <w:rsid w:val="00C671F3"/>
    <w:rsid w:val="00C6736C"/>
    <w:rsid w:val="00C720F0"/>
    <w:rsid w:val="00C74CD8"/>
    <w:rsid w:val="00C75D28"/>
    <w:rsid w:val="00C80237"/>
    <w:rsid w:val="00C81D99"/>
    <w:rsid w:val="00C85417"/>
    <w:rsid w:val="00C86925"/>
    <w:rsid w:val="00C8692C"/>
    <w:rsid w:val="00C9148E"/>
    <w:rsid w:val="00C91E51"/>
    <w:rsid w:val="00C93DFE"/>
    <w:rsid w:val="00C95AF9"/>
    <w:rsid w:val="00C96724"/>
    <w:rsid w:val="00C97F8D"/>
    <w:rsid w:val="00CA25E0"/>
    <w:rsid w:val="00CA649E"/>
    <w:rsid w:val="00CB18B5"/>
    <w:rsid w:val="00CB4058"/>
    <w:rsid w:val="00CC3536"/>
    <w:rsid w:val="00CD0042"/>
    <w:rsid w:val="00CD10DA"/>
    <w:rsid w:val="00CE0E4E"/>
    <w:rsid w:val="00CE0E93"/>
    <w:rsid w:val="00CE2A6B"/>
    <w:rsid w:val="00CE4CD6"/>
    <w:rsid w:val="00CF2F36"/>
    <w:rsid w:val="00CF32B2"/>
    <w:rsid w:val="00D11808"/>
    <w:rsid w:val="00D127F0"/>
    <w:rsid w:val="00D15D6D"/>
    <w:rsid w:val="00D268D8"/>
    <w:rsid w:val="00D303B0"/>
    <w:rsid w:val="00D30C1C"/>
    <w:rsid w:val="00D32B05"/>
    <w:rsid w:val="00D32EF8"/>
    <w:rsid w:val="00D33138"/>
    <w:rsid w:val="00D33A22"/>
    <w:rsid w:val="00D36123"/>
    <w:rsid w:val="00D43446"/>
    <w:rsid w:val="00D435AD"/>
    <w:rsid w:val="00D5534F"/>
    <w:rsid w:val="00D60499"/>
    <w:rsid w:val="00D61FF3"/>
    <w:rsid w:val="00D63846"/>
    <w:rsid w:val="00D64FE3"/>
    <w:rsid w:val="00D660AB"/>
    <w:rsid w:val="00D66D5E"/>
    <w:rsid w:val="00D71479"/>
    <w:rsid w:val="00D74BBD"/>
    <w:rsid w:val="00D75604"/>
    <w:rsid w:val="00D75CB5"/>
    <w:rsid w:val="00D76058"/>
    <w:rsid w:val="00D76FBD"/>
    <w:rsid w:val="00D7709F"/>
    <w:rsid w:val="00D8174D"/>
    <w:rsid w:val="00D8523C"/>
    <w:rsid w:val="00D870A6"/>
    <w:rsid w:val="00D91407"/>
    <w:rsid w:val="00D92A4C"/>
    <w:rsid w:val="00D94503"/>
    <w:rsid w:val="00D95982"/>
    <w:rsid w:val="00D963E8"/>
    <w:rsid w:val="00D97C7A"/>
    <w:rsid w:val="00DA3490"/>
    <w:rsid w:val="00DA5674"/>
    <w:rsid w:val="00DA7103"/>
    <w:rsid w:val="00DB09A4"/>
    <w:rsid w:val="00DB0DD3"/>
    <w:rsid w:val="00DC544A"/>
    <w:rsid w:val="00DD1455"/>
    <w:rsid w:val="00DD7A64"/>
    <w:rsid w:val="00DE12F7"/>
    <w:rsid w:val="00DE3684"/>
    <w:rsid w:val="00DF1E28"/>
    <w:rsid w:val="00DF520D"/>
    <w:rsid w:val="00DF5501"/>
    <w:rsid w:val="00DF6441"/>
    <w:rsid w:val="00E17DE3"/>
    <w:rsid w:val="00E17FFA"/>
    <w:rsid w:val="00E21EBA"/>
    <w:rsid w:val="00E221C4"/>
    <w:rsid w:val="00E236A5"/>
    <w:rsid w:val="00E24FBE"/>
    <w:rsid w:val="00E2739D"/>
    <w:rsid w:val="00E323DC"/>
    <w:rsid w:val="00E326F6"/>
    <w:rsid w:val="00E32A47"/>
    <w:rsid w:val="00E3469B"/>
    <w:rsid w:val="00E3549A"/>
    <w:rsid w:val="00E372E3"/>
    <w:rsid w:val="00E374CA"/>
    <w:rsid w:val="00E44C38"/>
    <w:rsid w:val="00E54304"/>
    <w:rsid w:val="00E64D49"/>
    <w:rsid w:val="00E65A91"/>
    <w:rsid w:val="00E71394"/>
    <w:rsid w:val="00E726EE"/>
    <w:rsid w:val="00E729E8"/>
    <w:rsid w:val="00E72D3D"/>
    <w:rsid w:val="00E74957"/>
    <w:rsid w:val="00E80B0C"/>
    <w:rsid w:val="00E831EE"/>
    <w:rsid w:val="00E8452B"/>
    <w:rsid w:val="00E851AD"/>
    <w:rsid w:val="00E85C15"/>
    <w:rsid w:val="00E86AC4"/>
    <w:rsid w:val="00E9191B"/>
    <w:rsid w:val="00E91BD7"/>
    <w:rsid w:val="00E92A75"/>
    <w:rsid w:val="00E94363"/>
    <w:rsid w:val="00E95F83"/>
    <w:rsid w:val="00E96C4C"/>
    <w:rsid w:val="00EA0E63"/>
    <w:rsid w:val="00EA0F0E"/>
    <w:rsid w:val="00EA3AF7"/>
    <w:rsid w:val="00EA3BF0"/>
    <w:rsid w:val="00EA561F"/>
    <w:rsid w:val="00EB2402"/>
    <w:rsid w:val="00EB2F10"/>
    <w:rsid w:val="00EB68AE"/>
    <w:rsid w:val="00EB736D"/>
    <w:rsid w:val="00EB767D"/>
    <w:rsid w:val="00EB7B0D"/>
    <w:rsid w:val="00EC1B78"/>
    <w:rsid w:val="00EC2C50"/>
    <w:rsid w:val="00EC63DB"/>
    <w:rsid w:val="00EC6B7B"/>
    <w:rsid w:val="00EC7F3E"/>
    <w:rsid w:val="00ED3256"/>
    <w:rsid w:val="00ED4443"/>
    <w:rsid w:val="00ED44A5"/>
    <w:rsid w:val="00ED5823"/>
    <w:rsid w:val="00ED65B4"/>
    <w:rsid w:val="00EE09A9"/>
    <w:rsid w:val="00EE0C9F"/>
    <w:rsid w:val="00EE1897"/>
    <w:rsid w:val="00EE1F0E"/>
    <w:rsid w:val="00EE20DC"/>
    <w:rsid w:val="00EE368F"/>
    <w:rsid w:val="00EE54FF"/>
    <w:rsid w:val="00EE5F58"/>
    <w:rsid w:val="00EE61E0"/>
    <w:rsid w:val="00EF1287"/>
    <w:rsid w:val="00EF42CB"/>
    <w:rsid w:val="00EF6E21"/>
    <w:rsid w:val="00F0149E"/>
    <w:rsid w:val="00F021E8"/>
    <w:rsid w:val="00F024FC"/>
    <w:rsid w:val="00F050E6"/>
    <w:rsid w:val="00F05C8D"/>
    <w:rsid w:val="00F1675A"/>
    <w:rsid w:val="00F17F78"/>
    <w:rsid w:val="00F217CA"/>
    <w:rsid w:val="00F23F6B"/>
    <w:rsid w:val="00F2606D"/>
    <w:rsid w:val="00F306D6"/>
    <w:rsid w:val="00F33799"/>
    <w:rsid w:val="00F3389E"/>
    <w:rsid w:val="00F34E6B"/>
    <w:rsid w:val="00F3504F"/>
    <w:rsid w:val="00F36BA7"/>
    <w:rsid w:val="00F37AB8"/>
    <w:rsid w:val="00F40FAC"/>
    <w:rsid w:val="00F40FE3"/>
    <w:rsid w:val="00F43EB4"/>
    <w:rsid w:val="00F467F0"/>
    <w:rsid w:val="00F46C32"/>
    <w:rsid w:val="00F46DB7"/>
    <w:rsid w:val="00F503A0"/>
    <w:rsid w:val="00F504BE"/>
    <w:rsid w:val="00F523F4"/>
    <w:rsid w:val="00F526E0"/>
    <w:rsid w:val="00F55ED5"/>
    <w:rsid w:val="00F62370"/>
    <w:rsid w:val="00F6465A"/>
    <w:rsid w:val="00F657F1"/>
    <w:rsid w:val="00F72D88"/>
    <w:rsid w:val="00F73A84"/>
    <w:rsid w:val="00F74C21"/>
    <w:rsid w:val="00F75699"/>
    <w:rsid w:val="00F7609B"/>
    <w:rsid w:val="00F8574B"/>
    <w:rsid w:val="00F9261A"/>
    <w:rsid w:val="00F92AAD"/>
    <w:rsid w:val="00F95D77"/>
    <w:rsid w:val="00F96F94"/>
    <w:rsid w:val="00FA40AD"/>
    <w:rsid w:val="00FA4DBB"/>
    <w:rsid w:val="00FA7154"/>
    <w:rsid w:val="00FA7217"/>
    <w:rsid w:val="00FA7E8E"/>
    <w:rsid w:val="00FB0C05"/>
    <w:rsid w:val="00FB135A"/>
    <w:rsid w:val="00FB2550"/>
    <w:rsid w:val="00FB280E"/>
    <w:rsid w:val="00FB608D"/>
    <w:rsid w:val="00FB7496"/>
    <w:rsid w:val="00FC09EC"/>
    <w:rsid w:val="00FC1E4F"/>
    <w:rsid w:val="00FC400E"/>
    <w:rsid w:val="00FC5D60"/>
    <w:rsid w:val="00FC5FA4"/>
    <w:rsid w:val="00FD1F83"/>
    <w:rsid w:val="00FD3DAD"/>
    <w:rsid w:val="00FE0F4C"/>
    <w:rsid w:val="00FE2160"/>
    <w:rsid w:val="00FE2745"/>
    <w:rsid w:val="00FE58B1"/>
    <w:rsid w:val="00FE704D"/>
    <w:rsid w:val="00FE7497"/>
    <w:rsid w:val="00FF5935"/>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05"/>
  </w:style>
  <w:style w:type="paragraph" w:styleId="Heading1">
    <w:name w:val="heading 1"/>
    <w:basedOn w:val="Normal"/>
    <w:next w:val="Normal"/>
    <w:link w:val="Heading1Char"/>
    <w:uiPriority w:val="9"/>
    <w:qFormat/>
    <w:rsid w:val="00116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D7E"/>
    <w:pPr>
      <w:ind w:left="720"/>
      <w:contextualSpacing/>
    </w:pPr>
  </w:style>
  <w:style w:type="character" w:customStyle="1" w:styleId="Heading1Char">
    <w:name w:val="Heading 1 Char"/>
    <w:basedOn w:val="DefaultParagraphFont"/>
    <w:link w:val="Heading1"/>
    <w:uiPriority w:val="9"/>
    <w:rsid w:val="00116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C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16CA5"/>
    <w:rPr>
      <w:color w:val="0000FF" w:themeColor="hyperlink"/>
      <w:u w:val="single"/>
    </w:rPr>
  </w:style>
  <w:style w:type="character" w:styleId="FollowedHyperlink">
    <w:name w:val="FollowedHyperlink"/>
    <w:basedOn w:val="DefaultParagraphFont"/>
    <w:uiPriority w:val="99"/>
    <w:semiHidden/>
    <w:unhideWhenUsed/>
    <w:rsid w:val="00116CA5"/>
    <w:rPr>
      <w:color w:val="800080" w:themeColor="followedHyperlink"/>
      <w:u w:val="single"/>
    </w:rPr>
  </w:style>
  <w:style w:type="paragraph" w:styleId="Header">
    <w:name w:val="header"/>
    <w:basedOn w:val="Normal"/>
    <w:link w:val="HeaderChar"/>
    <w:uiPriority w:val="99"/>
    <w:unhideWhenUsed/>
    <w:rsid w:val="0058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A82"/>
  </w:style>
  <w:style w:type="paragraph" w:styleId="Footer">
    <w:name w:val="footer"/>
    <w:basedOn w:val="Normal"/>
    <w:link w:val="FooterChar"/>
    <w:uiPriority w:val="99"/>
    <w:unhideWhenUsed/>
    <w:rsid w:val="0058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A82"/>
  </w:style>
  <w:style w:type="character" w:customStyle="1" w:styleId="Heading3Char">
    <w:name w:val="Heading 3 Char"/>
    <w:basedOn w:val="DefaultParagraphFont"/>
    <w:link w:val="Heading3"/>
    <w:uiPriority w:val="9"/>
    <w:rsid w:val="00584A8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D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42"/>
    <w:rPr>
      <w:rFonts w:ascii="Tahoma" w:hAnsi="Tahoma" w:cs="Tahoma"/>
      <w:sz w:val="16"/>
      <w:szCs w:val="16"/>
    </w:rPr>
  </w:style>
  <w:style w:type="paragraph" w:customStyle="1" w:styleId="IATableLabel">
    <w:name w:val="IATableLabel"/>
    <w:basedOn w:val="Normal"/>
    <w:link w:val="IATableLabelCharChar"/>
    <w:rsid w:val="0007171C"/>
    <w:pPr>
      <w:spacing w:before="50" w:after="50" w:line="240" w:lineRule="auto"/>
      <w:ind w:left="113" w:right="113"/>
    </w:pPr>
    <w:rPr>
      <w:rFonts w:ascii="Arial" w:eastAsia="SimSun" w:hAnsi="Arial" w:cs="Times New Roman"/>
      <w:b/>
      <w:color w:val="000000"/>
      <w:spacing w:val="-5"/>
      <w:sz w:val="20"/>
      <w:szCs w:val="20"/>
      <w:lang w:eastAsia="zh-CN"/>
    </w:rPr>
  </w:style>
  <w:style w:type="character" w:customStyle="1" w:styleId="IATableLabelCharChar">
    <w:name w:val="IATableLabel Char Char"/>
    <w:basedOn w:val="DefaultParagraphFont"/>
    <w:link w:val="IATableLabel"/>
    <w:rsid w:val="0007171C"/>
    <w:rPr>
      <w:rFonts w:ascii="Arial" w:eastAsia="SimSun" w:hAnsi="Arial" w:cs="Times New Roman"/>
      <w:b/>
      <w:color w:val="000000"/>
      <w:spacing w:val="-5"/>
      <w:sz w:val="20"/>
      <w:szCs w:val="20"/>
      <w:lang w:eastAsia="zh-CN"/>
    </w:rPr>
  </w:style>
  <w:style w:type="paragraph" w:customStyle="1" w:styleId="IAHeadLabel">
    <w:name w:val="IAHeadLabel"/>
    <w:basedOn w:val="IATableLabel"/>
    <w:link w:val="IAHeadLabelChar"/>
    <w:rsid w:val="0007171C"/>
    <w:pPr>
      <w:spacing w:before="110"/>
      <w:ind w:left="0" w:right="0"/>
    </w:pPr>
  </w:style>
  <w:style w:type="character" w:customStyle="1" w:styleId="IAHeadLabelChar">
    <w:name w:val="IAHeadLabel Char"/>
    <w:basedOn w:val="IATableLabelCharChar"/>
    <w:link w:val="IAHeadLabel"/>
    <w:rsid w:val="0007171C"/>
    <w:rPr>
      <w:rFonts w:ascii="Arial" w:eastAsia="SimSun" w:hAnsi="Arial" w:cs="Times New Roman"/>
      <w:b/>
      <w:color w:val="000000"/>
      <w:spacing w:val="-5"/>
      <w:sz w:val="20"/>
      <w:szCs w:val="20"/>
      <w:lang w:eastAsia="zh-CN"/>
    </w:rPr>
  </w:style>
  <w:style w:type="paragraph" w:customStyle="1" w:styleId="IATableNotes">
    <w:name w:val="IATableNotes"/>
    <w:basedOn w:val="Normal"/>
    <w:link w:val="IATableNotesChar"/>
    <w:rsid w:val="0007171C"/>
    <w:pPr>
      <w:spacing w:before="60" w:after="60" w:line="240" w:lineRule="auto"/>
      <w:ind w:left="113" w:right="113"/>
    </w:pPr>
    <w:rPr>
      <w:rFonts w:ascii="Arial" w:eastAsia="SimSun" w:hAnsi="Arial" w:cs="Times New Roman"/>
      <w:sz w:val="18"/>
      <w:szCs w:val="20"/>
      <w:lang w:eastAsia="zh-CN"/>
    </w:rPr>
  </w:style>
  <w:style w:type="character" w:customStyle="1" w:styleId="IATableNotesChar">
    <w:name w:val="IATableNotes Char"/>
    <w:basedOn w:val="DefaultParagraphFont"/>
    <w:link w:val="IATableNotes"/>
    <w:rsid w:val="0007171C"/>
    <w:rPr>
      <w:rFonts w:ascii="Arial" w:eastAsia="SimSun" w:hAnsi="Arial" w:cs="Times New Roman"/>
      <w:sz w:val="18"/>
      <w:szCs w:val="20"/>
      <w:lang w:eastAsia="zh-CN"/>
    </w:rPr>
  </w:style>
  <w:style w:type="table" w:customStyle="1" w:styleId="TableIABox">
    <w:name w:val="Table_IABox"/>
    <w:basedOn w:val="TableNormal"/>
    <w:rsid w:val="0007171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POPBY">
    <w:name w:val="POPBY"/>
    <w:basedOn w:val="IATableLabel"/>
    <w:rsid w:val="0007171C"/>
  </w:style>
  <w:style w:type="paragraph" w:customStyle="1" w:styleId="POPVBY">
    <w:name w:val="POPVBY"/>
    <w:basedOn w:val="IATableLabel"/>
    <w:rsid w:val="0007171C"/>
  </w:style>
  <w:style w:type="paragraph" w:customStyle="1" w:styleId="POTPY">
    <w:name w:val="POTPY"/>
    <w:basedOn w:val="IATableLabel"/>
    <w:rsid w:val="0007171C"/>
  </w:style>
  <w:style w:type="paragraph" w:customStyle="1" w:styleId="PONBLow">
    <w:name w:val="PONBLow"/>
    <w:basedOn w:val="IATableLabel"/>
    <w:link w:val="PONBLowCharChar"/>
    <w:rsid w:val="0007171C"/>
    <w:rPr>
      <w:b w:val="0"/>
    </w:rPr>
  </w:style>
  <w:style w:type="character" w:customStyle="1" w:styleId="PONBLowCharChar">
    <w:name w:val="PONBLow Char Char"/>
    <w:basedOn w:val="IATableLabelCharChar"/>
    <w:link w:val="PONBLow"/>
    <w:rsid w:val="0007171C"/>
    <w:rPr>
      <w:rFonts w:ascii="Arial" w:eastAsia="SimSun" w:hAnsi="Arial" w:cs="Times New Roman"/>
      <w:b w:val="0"/>
      <w:color w:val="000000"/>
      <w:spacing w:val="-5"/>
      <w:sz w:val="20"/>
      <w:szCs w:val="20"/>
      <w:lang w:eastAsia="zh-CN"/>
    </w:rPr>
  </w:style>
  <w:style w:type="paragraph" w:customStyle="1" w:styleId="PONBHigh">
    <w:name w:val="PONBHigh"/>
    <w:basedOn w:val="IATableLabel"/>
    <w:link w:val="PONBHighChar"/>
    <w:rsid w:val="0007171C"/>
    <w:rPr>
      <w:b w:val="0"/>
    </w:rPr>
  </w:style>
  <w:style w:type="character" w:customStyle="1" w:styleId="PONBHighChar">
    <w:name w:val="PONBHigh Char"/>
    <w:basedOn w:val="IATableLabelCharChar"/>
    <w:link w:val="PONBHigh"/>
    <w:rsid w:val="0007171C"/>
    <w:rPr>
      <w:rFonts w:ascii="Arial" w:eastAsia="SimSun" w:hAnsi="Arial" w:cs="Times New Roman"/>
      <w:b w:val="0"/>
      <w:color w:val="000000"/>
      <w:spacing w:val="-5"/>
      <w:sz w:val="20"/>
      <w:szCs w:val="20"/>
      <w:lang w:eastAsia="zh-CN"/>
    </w:rPr>
  </w:style>
  <w:style w:type="paragraph" w:customStyle="1" w:styleId="PONBBestEst">
    <w:name w:val="PONBBestEst"/>
    <w:basedOn w:val="IATableLabel"/>
    <w:link w:val="PONBBestEstChar"/>
    <w:rsid w:val="0007171C"/>
    <w:rPr>
      <w:b w:val="0"/>
    </w:rPr>
  </w:style>
  <w:style w:type="character" w:customStyle="1" w:styleId="PONBBestEstChar">
    <w:name w:val="PONBBestEst Char"/>
    <w:basedOn w:val="IATableLabelCharChar"/>
    <w:link w:val="PONBBestEst"/>
    <w:rsid w:val="0007171C"/>
    <w:rPr>
      <w:rFonts w:ascii="Arial" w:eastAsia="SimSun" w:hAnsi="Arial" w:cs="Times New Roman"/>
      <w:b w:val="0"/>
      <w:color w:val="000000"/>
      <w:spacing w:val="-5"/>
      <w:sz w:val="20"/>
      <w:szCs w:val="20"/>
      <w:lang w:eastAsia="zh-CN"/>
    </w:rPr>
  </w:style>
  <w:style w:type="paragraph" w:customStyle="1" w:styleId="IAPODICost">
    <w:name w:val="IAPODICost"/>
    <w:basedOn w:val="IATableLabel"/>
    <w:link w:val="IAPODICostChar"/>
    <w:rsid w:val="0007171C"/>
    <w:rPr>
      <w:b w:val="0"/>
    </w:rPr>
  </w:style>
  <w:style w:type="character" w:customStyle="1" w:styleId="IAPODICostChar">
    <w:name w:val="IAPODICost Char"/>
    <w:basedOn w:val="IATableLabelCharChar"/>
    <w:link w:val="IAPODICost"/>
    <w:rsid w:val="0007171C"/>
    <w:rPr>
      <w:rFonts w:ascii="Arial" w:eastAsia="SimSun" w:hAnsi="Arial" w:cs="Times New Roman"/>
      <w:b w:val="0"/>
      <w:color w:val="000000"/>
      <w:spacing w:val="-5"/>
      <w:sz w:val="20"/>
      <w:szCs w:val="20"/>
      <w:lang w:eastAsia="zh-CN"/>
    </w:rPr>
  </w:style>
  <w:style w:type="paragraph" w:customStyle="1" w:styleId="IAPODIBen">
    <w:name w:val="IAPODIBen"/>
    <w:basedOn w:val="IATableLabel"/>
    <w:link w:val="IAPODIBenChar"/>
    <w:rsid w:val="0007171C"/>
    <w:rPr>
      <w:b w:val="0"/>
    </w:rPr>
  </w:style>
  <w:style w:type="paragraph" w:customStyle="1" w:styleId="IAPODINet">
    <w:name w:val="IAPODINet"/>
    <w:basedOn w:val="IATableLabel"/>
    <w:link w:val="IAPODINetChar"/>
    <w:rsid w:val="0007171C"/>
    <w:rPr>
      <w:b w:val="0"/>
    </w:rPr>
  </w:style>
  <w:style w:type="paragraph" w:customStyle="1" w:styleId="IAPODIOIOO">
    <w:name w:val="IAPODIOIOO"/>
    <w:basedOn w:val="IATableLabel"/>
    <w:rsid w:val="0007171C"/>
    <w:rPr>
      <w:b w:val="0"/>
      <w:sz w:val="22"/>
      <w:szCs w:val="22"/>
    </w:rPr>
  </w:style>
  <w:style w:type="character" w:customStyle="1" w:styleId="IAPODINetChar">
    <w:name w:val="IAPODINet Char"/>
    <w:basedOn w:val="IATableLabelCharChar"/>
    <w:link w:val="IAPODINet"/>
    <w:rsid w:val="0007171C"/>
    <w:rPr>
      <w:rFonts w:ascii="Arial" w:eastAsia="SimSun" w:hAnsi="Arial" w:cs="Times New Roman"/>
      <w:b w:val="0"/>
      <w:color w:val="000000"/>
      <w:spacing w:val="-5"/>
      <w:sz w:val="20"/>
      <w:szCs w:val="20"/>
      <w:lang w:eastAsia="zh-CN"/>
    </w:rPr>
  </w:style>
  <w:style w:type="character" w:customStyle="1" w:styleId="IAPODIBenChar">
    <w:name w:val="IAPODIBen Char"/>
    <w:basedOn w:val="IATableLabelCharChar"/>
    <w:link w:val="IAPODIBen"/>
    <w:rsid w:val="0007171C"/>
    <w:rPr>
      <w:rFonts w:ascii="Arial" w:eastAsia="SimSun" w:hAnsi="Arial" w:cs="Times New Roman"/>
      <w:b w:val="0"/>
      <w:color w:val="000000"/>
      <w:spacing w:val="-5"/>
      <w:sz w:val="20"/>
      <w:szCs w:val="20"/>
      <w:lang w:eastAsia="zh-CN"/>
    </w:rPr>
  </w:style>
  <w:style w:type="paragraph" w:customStyle="1" w:styleId="IAPODIMQ">
    <w:name w:val="IAPODIMQ"/>
    <w:basedOn w:val="Normal"/>
    <w:rsid w:val="0007171C"/>
    <w:pPr>
      <w:spacing w:before="50" w:after="50" w:line="240" w:lineRule="auto"/>
      <w:ind w:left="113" w:right="113"/>
    </w:pPr>
    <w:rPr>
      <w:rFonts w:ascii="Arial" w:eastAsia="SimSun" w:hAnsi="Arial" w:cs="Times New Roman"/>
      <w:color w:val="000000"/>
      <w:spacing w:val="-5"/>
      <w:sz w:val="20"/>
      <w:szCs w:val="20"/>
      <w:lang w:eastAsia="zh-CN"/>
    </w:rPr>
  </w:style>
  <w:style w:type="paragraph" w:customStyle="1" w:styleId="Default">
    <w:name w:val="Default"/>
    <w:rsid w:val="000B40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t,fn"/>
    <w:basedOn w:val="Normal"/>
    <w:link w:val="FootnoteTextChar"/>
    <w:uiPriority w:val="99"/>
    <w:unhideWhenUsed/>
    <w:rsid w:val="00246145"/>
    <w:pPr>
      <w:spacing w:after="0" w:line="240" w:lineRule="auto"/>
    </w:pPr>
    <w:rPr>
      <w:sz w:val="20"/>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t Char,fn Char"/>
    <w:basedOn w:val="DefaultParagraphFont"/>
    <w:link w:val="FootnoteText"/>
    <w:uiPriority w:val="99"/>
    <w:rsid w:val="00246145"/>
    <w:rPr>
      <w:sz w:val="20"/>
      <w:szCs w:val="20"/>
    </w:rPr>
  </w:style>
  <w:style w:type="character" w:styleId="FootnoteReference">
    <w:name w:val="footnote reference"/>
    <w:aliases w:val="Footnote Reference Superscript,Footnote symbol,Footnote Reference/,BVI fnr,EN Footnote Reference,number,SUPERS,-E Fußnotenzeichen,Footnote reference number,note TESI,stylish,Source Reference,Times 10 Point,Exposant 3 Point,Ref,No"/>
    <w:basedOn w:val="DefaultParagraphFont"/>
    <w:uiPriority w:val="99"/>
    <w:unhideWhenUsed/>
    <w:rsid w:val="00246145"/>
    <w:rPr>
      <w:vertAlign w:val="superscript"/>
    </w:rPr>
  </w:style>
  <w:style w:type="paragraph" w:customStyle="1" w:styleId="EBBodyPara">
    <w:name w:val="EBBodyPara"/>
    <w:basedOn w:val="BodyText"/>
    <w:rsid w:val="00545432"/>
    <w:pPr>
      <w:spacing w:line="240" w:lineRule="auto"/>
    </w:pPr>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545432"/>
    <w:pPr>
      <w:spacing w:after="120"/>
    </w:pPr>
  </w:style>
  <w:style w:type="character" w:customStyle="1" w:styleId="BodyTextChar">
    <w:name w:val="Body Text Char"/>
    <w:basedOn w:val="DefaultParagraphFont"/>
    <w:link w:val="BodyText"/>
    <w:uiPriority w:val="99"/>
    <w:semiHidden/>
    <w:rsid w:val="00545432"/>
  </w:style>
  <w:style w:type="paragraph" w:styleId="NoSpacing">
    <w:name w:val="No Spacing"/>
    <w:uiPriority w:val="1"/>
    <w:qFormat/>
    <w:rsid w:val="00F74C21"/>
    <w:pPr>
      <w:spacing w:after="0" w:line="240" w:lineRule="auto"/>
    </w:pPr>
  </w:style>
  <w:style w:type="table" w:styleId="MediumShading1-Accent6">
    <w:name w:val="Medium Shading 1 Accent 6"/>
    <w:basedOn w:val="TableNormal"/>
    <w:uiPriority w:val="63"/>
    <w:rsid w:val="00BB088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B0884"/>
    <w:rPr>
      <w:sz w:val="16"/>
      <w:szCs w:val="16"/>
    </w:rPr>
  </w:style>
  <w:style w:type="paragraph" w:styleId="CommentText">
    <w:name w:val="annotation text"/>
    <w:basedOn w:val="Normal"/>
    <w:link w:val="CommentTextChar"/>
    <w:uiPriority w:val="99"/>
    <w:unhideWhenUsed/>
    <w:rsid w:val="00BB0884"/>
    <w:pPr>
      <w:spacing w:line="240" w:lineRule="auto"/>
    </w:pPr>
    <w:rPr>
      <w:sz w:val="20"/>
      <w:szCs w:val="20"/>
    </w:rPr>
  </w:style>
  <w:style w:type="character" w:customStyle="1" w:styleId="CommentTextChar">
    <w:name w:val="Comment Text Char"/>
    <w:basedOn w:val="DefaultParagraphFont"/>
    <w:link w:val="CommentText"/>
    <w:uiPriority w:val="99"/>
    <w:rsid w:val="00BB0884"/>
    <w:rPr>
      <w:sz w:val="20"/>
      <w:szCs w:val="20"/>
    </w:rPr>
  </w:style>
  <w:style w:type="paragraph" w:styleId="Title">
    <w:name w:val="Title"/>
    <w:basedOn w:val="Normal"/>
    <w:next w:val="Normal"/>
    <w:link w:val="TitleChar"/>
    <w:uiPriority w:val="10"/>
    <w:qFormat/>
    <w:rsid w:val="00C72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C720F0"/>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qFormat/>
    <w:rsid w:val="00C720F0"/>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C720F0"/>
    <w:rPr>
      <w:rFonts w:asciiTheme="majorHAnsi" w:eastAsiaTheme="majorEastAsia" w:hAnsiTheme="majorHAnsi" w:cstheme="majorBidi"/>
      <w:i/>
      <w:iCs/>
      <w:color w:val="4F81BD" w:themeColor="accent1"/>
      <w:spacing w:val="15"/>
      <w:sz w:val="24"/>
      <w:szCs w:val="24"/>
      <w:lang w:eastAsia="en-GB"/>
    </w:rPr>
  </w:style>
  <w:style w:type="paragraph" w:styleId="NormalWeb">
    <w:name w:val="Normal (Web)"/>
    <w:basedOn w:val="Normal"/>
    <w:rsid w:val="00C6736C"/>
    <w:pPr>
      <w:spacing w:before="100" w:beforeAutospacing="1" w:after="100" w:afterAutospacing="1" w:line="240" w:lineRule="auto"/>
    </w:pPr>
    <w:rPr>
      <w:rFonts w:ascii="Arial" w:eastAsia="Times New Roman" w:hAnsi="Arial" w:cs="Arial"/>
      <w:sz w:val="24"/>
      <w:szCs w:val="24"/>
      <w:lang w:eastAsia="en-GB"/>
    </w:rPr>
  </w:style>
  <w:style w:type="table" w:styleId="LightShading-Accent6">
    <w:name w:val="Light Shading Accent 6"/>
    <w:basedOn w:val="TableNormal"/>
    <w:uiPriority w:val="60"/>
    <w:rsid w:val="00C278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C2787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6">
    <w:name w:val="Medium Grid 3 Accent 6"/>
    <w:basedOn w:val="TableNormal"/>
    <w:uiPriority w:val="69"/>
    <w:rsid w:val="00C278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CommentSubject">
    <w:name w:val="annotation subject"/>
    <w:basedOn w:val="CommentText"/>
    <w:next w:val="CommentText"/>
    <w:link w:val="CommentSubjectChar"/>
    <w:uiPriority w:val="99"/>
    <w:semiHidden/>
    <w:unhideWhenUsed/>
    <w:rsid w:val="00B004F0"/>
    <w:rPr>
      <w:b/>
      <w:bCs/>
    </w:rPr>
  </w:style>
  <w:style w:type="character" w:customStyle="1" w:styleId="CommentSubjectChar">
    <w:name w:val="Comment Subject Char"/>
    <w:basedOn w:val="CommentTextChar"/>
    <w:link w:val="CommentSubject"/>
    <w:uiPriority w:val="99"/>
    <w:semiHidden/>
    <w:rsid w:val="00B004F0"/>
    <w:rPr>
      <w:b/>
      <w:bCs/>
      <w:sz w:val="20"/>
      <w:szCs w:val="20"/>
    </w:rPr>
  </w:style>
  <w:style w:type="paragraph" w:styleId="EndnoteText">
    <w:name w:val="endnote text"/>
    <w:basedOn w:val="Normal"/>
    <w:link w:val="EndnoteTextChar"/>
    <w:uiPriority w:val="99"/>
    <w:semiHidden/>
    <w:unhideWhenUsed/>
    <w:rsid w:val="00813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3339"/>
    <w:rPr>
      <w:sz w:val="20"/>
      <w:szCs w:val="20"/>
    </w:rPr>
  </w:style>
  <w:style w:type="character" w:styleId="EndnoteReference">
    <w:name w:val="endnote reference"/>
    <w:basedOn w:val="DefaultParagraphFont"/>
    <w:uiPriority w:val="99"/>
    <w:semiHidden/>
    <w:unhideWhenUsed/>
    <w:rsid w:val="00813339"/>
    <w:rPr>
      <w:vertAlign w:val="superscript"/>
    </w:rPr>
  </w:style>
  <w:style w:type="table" w:customStyle="1" w:styleId="TableGrid1">
    <w:name w:val="Table Grid1"/>
    <w:basedOn w:val="TableNormal"/>
    <w:next w:val="TableGrid"/>
    <w:uiPriority w:val="59"/>
    <w:rsid w:val="00C8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05"/>
  </w:style>
  <w:style w:type="paragraph" w:styleId="Heading1">
    <w:name w:val="heading 1"/>
    <w:basedOn w:val="Normal"/>
    <w:next w:val="Normal"/>
    <w:link w:val="Heading1Char"/>
    <w:uiPriority w:val="9"/>
    <w:qFormat/>
    <w:rsid w:val="00116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D7E"/>
    <w:pPr>
      <w:ind w:left="720"/>
      <w:contextualSpacing/>
    </w:pPr>
  </w:style>
  <w:style w:type="character" w:customStyle="1" w:styleId="Heading1Char">
    <w:name w:val="Heading 1 Char"/>
    <w:basedOn w:val="DefaultParagraphFont"/>
    <w:link w:val="Heading1"/>
    <w:uiPriority w:val="9"/>
    <w:rsid w:val="00116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C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16CA5"/>
    <w:rPr>
      <w:color w:val="0000FF" w:themeColor="hyperlink"/>
      <w:u w:val="single"/>
    </w:rPr>
  </w:style>
  <w:style w:type="character" w:styleId="FollowedHyperlink">
    <w:name w:val="FollowedHyperlink"/>
    <w:basedOn w:val="DefaultParagraphFont"/>
    <w:uiPriority w:val="99"/>
    <w:semiHidden/>
    <w:unhideWhenUsed/>
    <w:rsid w:val="00116CA5"/>
    <w:rPr>
      <w:color w:val="800080" w:themeColor="followedHyperlink"/>
      <w:u w:val="single"/>
    </w:rPr>
  </w:style>
  <w:style w:type="paragraph" w:styleId="Header">
    <w:name w:val="header"/>
    <w:basedOn w:val="Normal"/>
    <w:link w:val="HeaderChar"/>
    <w:uiPriority w:val="99"/>
    <w:unhideWhenUsed/>
    <w:rsid w:val="0058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A82"/>
  </w:style>
  <w:style w:type="paragraph" w:styleId="Footer">
    <w:name w:val="footer"/>
    <w:basedOn w:val="Normal"/>
    <w:link w:val="FooterChar"/>
    <w:uiPriority w:val="99"/>
    <w:unhideWhenUsed/>
    <w:rsid w:val="0058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A82"/>
  </w:style>
  <w:style w:type="character" w:customStyle="1" w:styleId="Heading3Char">
    <w:name w:val="Heading 3 Char"/>
    <w:basedOn w:val="DefaultParagraphFont"/>
    <w:link w:val="Heading3"/>
    <w:uiPriority w:val="9"/>
    <w:rsid w:val="00584A8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D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42"/>
    <w:rPr>
      <w:rFonts w:ascii="Tahoma" w:hAnsi="Tahoma" w:cs="Tahoma"/>
      <w:sz w:val="16"/>
      <w:szCs w:val="16"/>
    </w:rPr>
  </w:style>
  <w:style w:type="paragraph" w:customStyle="1" w:styleId="IATableLabel">
    <w:name w:val="IATableLabel"/>
    <w:basedOn w:val="Normal"/>
    <w:link w:val="IATableLabelCharChar"/>
    <w:rsid w:val="0007171C"/>
    <w:pPr>
      <w:spacing w:before="50" w:after="50" w:line="240" w:lineRule="auto"/>
      <w:ind w:left="113" w:right="113"/>
    </w:pPr>
    <w:rPr>
      <w:rFonts w:ascii="Arial" w:eastAsia="SimSun" w:hAnsi="Arial" w:cs="Times New Roman"/>
      <w:b/>
      <w:color w:val="000000"/>
      <w:spacing w:val="-5"/>
      <w:sz w:val="20"/>
      <w:szCs w:val="20"/>
      <w:lang w:eastAsia="zh-CN"/>
    </w:rPr>
  </w:style>
  <w:style w:type="character" w:customStyle="1" w:styleId="IATableLabelCharChar">
    <w:name w:val="IATableLabel Char Char"/>
    <w:basedOn w:val="DefaultParagraphFont"/>
    <w:link w:val="IATableLabel"/>
    <w:rsid w:val="0007171C"/>
    <w:rPr>
      <w:rFonts w:ascii="Arial" w:eastAsia="SimSun" w:hAnsi="Arial" w:cs="Times New Roman"/>
      <w:b/>
      <w:color w:val="000000"/>
      <w:spacing w:val="-5"/>
      <w:sz w:val="20"/>
      <w:szCs w:val="20"/>
      <w:lang w:eastAsia="zh-CN"/>
    </w:rPr>
  </w:style>
  <w:style w:type="paragraph" w:customStyle="1" w:styleId="IAHeadLabel">
    <w:name w:val="IAHeadLabel"/>
    <w:basedOn w:val="IATableLabel"/>
    <w:link w:val="IAHeadLabelChar"/>
    <w:rsid w:val="0007171C"/>
    <w:pPr>
      <w:spacing w:before="110"/>
      <w:ind w:left="0" w:right="0"/>
    </w:pPr>
  </w:style>
  <w:style w:type="character" w:customStyle="1" w:styleId="IAHeadLabelChar">
    <w:name w:val="IAHeadLabel Char"/>
    <w:basedOn w:val="IATableLabelCharChar"/>
    <w:link w:val="IAHeadLabel"/>
    <w:rsid w:val="0007171C"/>
    <w:rPr>
      <w:rFonts w:ascii="Arial" w:eastAsia="SimSun" w:hAnsi="Arial" w:cs="Times New Roman"/>
      <w:b/>
      <w:color w:val="000000"/>
      <w:spacing w:val="-5"/>
      <w:sz w:val="20"/>
      <w:szCs w:val="20"/>
      <w:lang w:eastAsia="zh-CN"/>
    </w:rPr>
  </w:style>
  <w:style w:type="paragraph" w:customStyle="1" w:styleId="IATableNotes">
    <w:name w:val="IATableNotes"/>
    <w:basedOn w:val="Normal"/>
    <w:link w:val="IATableNotesChar"/>
    <w:rsid w:val="0007171C"/>
    <w:pPr>
      <w:spacing w:before="60" w:after="60" w:line="240" w:lineRule="auto"/>
      <w:ind w:left="113" w:right="113"/>
    </w:pPr>
    <w:rPr>
      <w:rFonts w:ascii="Arial" w:eastAsia="SimSun" w:hAnsi="Arial" w:cs="Times New Roman"/>
      <w:sz w:val="18"/>
      <w:szCs w:val="20"/>
      <w:lang w:eastAsia="zh-CN"/>
    </w:rPr>
  </w:style>
  <w:style w:type="character" w:customStyle="1" w:styleId="IATableNotesChar">
    <w:name w:val="IATableNotes Char"/>
    <w:basedOn w:val="DefaultParagraphFont"/>
    <w:link w:val="IATableNotes"/>
    <w:rsid w:val="0007171C"/>
    <w:rPr>
      <w:rFonts w:ascii="Arial" w:eastAsia="SimSun" w:hAnsi="Arial" w:cs="Times New Roman"/>
      <w:sz w:val="18"/>
      <w:szCs w:val="20"/>
      <w:lang w:eastAsia="zh-CN"/>
    </w:rPr>
  </w:style>
  <w:style w:type="table" w:customStyle="1" w:styleId="TableIABox">
    <w:name w:val="Table_IABox"/>
    <w:basedOn w:val="TableNormal"/>
    <w:rsid w:val="0007171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POPBY">
    <w:name w:val="POPBY"/>
    <w:basedOn w:val="IATableLabel"/>
    <w:rsid w:val="0007171C"/>
  </w:style>
  <w:style w:type="paragraph" w:customStyle="1" w:styleId="POPVBY">
    <w:name w:val="POPVBY"/>
    <w:basedOn w:val="IATableLabel"/>
    <w:rsid w:val="0007171C"/>
  </w:style>
  <w:style w:type="paragraph" w:customStyle="1" w:styleId="POTPY">
    <w:name w:val="POTPY"/>
    <w:basedOn w:val="IATableLabel"/>
    <w:rsid w:val="0007171C"/>
  </w:style>
  <w:style w:type="paragraph" w:customStyle="1" w:styleId="PONBLow">
    <w:name w:val="PONBLow"/>
    <w:basedOn w:val="IATableLabel"/>
    <w:link w:val="PONBLowCharChar"/>
    <w:rsid w:val="0007171C"/>
    <w:rPr>
      <w:b w:val="0"/>
    </w:rPr>
  </w:style>
  <w:style w:type="character" w:customStyle="1" w:styleId="PONBLowCharChar">
    <w:name w:val="PONBLow Char Char"/>
    <w:basedOn w:val="IATableLabelCharChar"/>
    <w:link w:val="PONBLow"/>
    <w:rsid w:val="0007171C"/>
    <w:rPr>
      <w:rFonts w:ascii="Arial" w:eastAsia="SimSun" w:hAnsi="Arial" w:cs="Times New Roman"/>
      <w:b w:val="0"/>
      <w:color w:val="000000"/>
      <w:spacing w:val="-5"/>
      <w:sz w:val="20"/>
      <w:szCs w:val="20"/>
      <w:lang w:eastAsia="zh-CN"/>
    </w:rPr>
  </w:style>
  <w:style w:type="paragraph" w:customStyle="1" w:styleId="PONBHigh">
    <w:name w:val="PONBHigh"/>
    <w:basedOn w:val="IATableLabel"/>
    <w:link w:val="PONBHighChar"/>
    <w:rsid w:val="0007171C"/>
    <w:rPr>
      <w:b w:val="0"/>
    </w:rPr>
  </w:style>
  <w:style w:type="character" w:customStyle="1" w:styleId="PONBHighChar">
    <w:name w:val="PONBHigh Char"/>
    <w:basedOn w:val="IATableLabelCharChar"/>
    <w:link w:val="PONBHigh"/>
    <w:rsid w:val="0007171C"/>
    <w:rPr>
      <w:rFonts w:ascii="Arial" w:eastAsia="SimSun" w:hAnsi="Arial" w:cs="Times New Roman"/>
      <w:b w:val="0"/>
      <w:color w:val="000000"/>
      <w:spacing w:val="-5"/>
      <w:sz w:val="20"/>
      <w:szCs w:val="20"/>
      <w:lang w:eastAsia="zh-CN"/>
    </w:rPr>
  </w:style>
  <w:style w:type="paragraph" w:customStyle="1" w:styleId="PONBBestEst">
    <w:name w:val="PONBBestEst"/>
    <w:basedOn w:val="IATableLabel"/>
    <w:link w:val="PONBBestEstChar"/>
    <w:rsid w:val="0007171C"/>
    <w:rPr>
      <w:b w:val="0"/>
    </w:rPr>
  </w:style>
  <w:style w:type="character" w:customStyle="1" w:styleId="PONBBestEstChar">
    <w:name w:val="PONBBestEst Char"/>
    <w:basedOn w:val="IATableLabelCharChar"/>
    <w:link w:val="PONBBestEst"/>
    <w:rsid w:val="0007171C"/>
    <w:rPr>
      <w:rFonts w:ascii="Arial" w:eastAsia="SimSun" w:hAnsi="Arial" w:cs="Times New Roman"/>
      <w:b w:val="0"/>
      <w:color w:val="000000"/>
      <w:spacing w:val="-5"/>
      <w:sz w:val="20"/>
      <w:szCs w:val="20"/>
      <w:lang w:eastAsia="zh-CN"/>
    </w:rPr>
  </w:style>
  <w:style w:type="paragraph" w:customStyle="1" w:styleId="IAPODICost">
    <w:name w:val="IAPODICost"/>
    <w:basedOn w:val="IATableLabel"/>
    <w:link w:val="IAPODICostChar"/>
    <w:rsid w:val="0007171C"/>
    <w:rPr>
      <w:b w:val="0"/>
    </w:rPr>
  </w:style>
  <w:style w:type="character" w:customStyle="1" w:styleId="IAPODICostChar">
    <w:name w:val="IAPODICost Char"/>
    <w:basedOn w:val="IATableLabelCharChar"/>
    <w:link w:val="IAPODICost"/>
    <w:rsid w:val="0007171C"/>
    <w:rPr>
      <w:rFonts w:ascii="Arial" w:eastAsia="SimSun" w:hAnsi="Arial" w:cs="Times New Roman"/>
      <w:b w:val="0"/>
      <w:color w:val="000000"/>
      <w:spacing w:val="-5"/>
      <w:sz w:val="20"/>
      <w:szCs w:val="20"/>
      <w:lang w:eastAsia="zh-CN"/>
    </w:rPr>
  </w:style>
  <w:style w:type="paragraph" w:customStyle="1" w:styleId="IAPODIBen">
    <w:name w:val="IAPODIBen"/>
    <w:basedOn w:val="IATableLabel"/>
    <w:link w:val="IAPODIBenChar"/>
    <w:rsid w:val="0007171C"/>
    <w:rPr>
      <w:b w:val="0"/>
    </w:rPr>
  </w:style>
  <w:style w:type="paragraph" w:customStyle="1" w:styleId="IAPODINet">
    <w:name w:val="IAPODINet"/>
    <w:basedOn w:val="IATableLabel"/>
    <w:link w:val="IAPODINetChar"/>
    <w:rsid w:val="0007171C"/>
    <w:rPr>
      <w:b w:val="0"/>
    </w:rPr>
  </w:style>
  <w:style w:type="paragraph" w:customStyle="1" w:styleId="IAPODIOIOO">
    <w:name w:val="IAPODIOIOO"/>
    <w:basedOn w:val="IATableLabel"/>
    <w:rsid w:val="0007171C"/>
    <w:rPr>
      <w:b w:val="0"/>
      <w:sz w:val="22"/>
      <w:szCs w:val="22"/>
    </w:rPr>
  </w:style>
  <w:style w:type="character" w:customStyle="1" w:styleId="IAPODINetChar">
    <w:name w:val="IAPODINet Char"/>
    <w:basedOn w:val="IATableLabelCharChar"/>
    <w:link w:val="IAPODINet"/>
    <w:rsid w:val="0007171C"/>
    <w:rPr>
      <w:rFonts w:ascii="Arial" w:eastAsia="SimSun" w:hAnsi="Arial" w:cs="Times New Roman"/>
      <w:b w:val="0"/>
      <w:color w:val="000000"/>
      <w:spacing w:val="-5"/>
      <w:sz w:val="20"/>
      <w:szCs w:val="20"/>
      <w:lang w:eastAsia="zh-CN"/>
    </w:rPr>
  </w:style>
  <w:style w:type="character" w:customStyle="1" w:styleId="IAPODIBenChar">
    <w:name w:val="IAPODIBen Char"/>
    <w:basedOn w:val="IATableLabelCharChar"/>
    <w:link w:val="IAPODIBen"/>
    <w:rsid w:val="0007171C"/>
    <w:rPr>
      <w:rFonts w:ascii="Arial" w:eastAsia="SimSun" w:hAnsi="Arial" w:cs="Times New Roman"/>
      <w:b w:val="0"/>
      <w:color w:val="000000"/>
      <w:spacing w:val="-5"/>
      <w:sz w:val="20"/>
      <w:szCs w:val="20"/>
      <w:lang w:eastAsia="zh-CN"/>
    </w:rPr>
  </w:style>
  <w:style w:type="paragraph" w:customStyle="1" w:styleId="IAPODIMQ">
    <w:name w:val="IAPODIMQ"/>
    <w:basedOn w:val="Normal"/>
    <w:rsid w:val="0007171C"/>
    <w:pPr>
      <w:spacing w:before="50" w:after="50" w:line="240" w:lineRule="auto"/>
      <w:ind w:left="113" w:right="113"/>
    </w:pPr>
    <w:rPr>
      <w:rFonts w:ascii="Arial" w:eastAsia="SimSun" w:hAnsi="Arial" w:cs="Times New Roman"/>
      <w:color w:val="000000"/>
      <w:spacing w:val="-5"/>
      <w:sz w:val="20"/>
      <w:szCs w:val="20"/>
      <w:lang w:eastAsia="zh-CN"/>
    </w:rPr>
  </w:style>
  <w:style w:type="paragraph" w:customStyle="1" w:styleId="Default">
    <w:name w:val="Default"/>
    <w:rsid w:val="000B40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t,fn"/>
    <w:basedOn w:val="Normal"/>
    <w:link w:val="FootnoteTextChar"/>
    <w:uiPriority w:val="99"/>
    <w:unhideWhenUsed/>
    <w:rsid w:val="00246145"/>
    <w:pPr>
      <w:spacing w:after="0" w:line="240" w:lineRule="auto"/>
    </w:pPr>
    <w:rPr>
      <w:sz w:val="20"/>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t Char,fn Char"/>
    <w:basedOn w:val="DefaultParagraphFont"/>
    <w:link w:val="FootnoteText"/>
    <w:uiPriority w:val="99"/>
    <w:rsid w:val="00246145"/>
    <w:rPr>
      <w:sz w:val="20"/>
      <w:szCs w:val="20"/>
    </w:rPr>
  </w:style>
  <w:style w:type="character" w:styleId="FootnoteReference">
    <w:name w:val="footnote reference"/>
    <w:aliases w:val="Footnote Reference Superscript,Footnote symbol,Footnote Reference/,BVI fnr,EN Footnote Reference,number,SUPERS,-E Fußnotenzeichen,Footnote reference number,note TESI,stylish,Source Reference,Times 10 Point,Exposant 3 Point,Ref,No"/>
    <w:basedOn w:val="DefaultParagraphFont"/>
    <w:uiPriority w:val="99"/>
    <w:unhideWhenUsed/>
    <w:rsid w:val="00246145"/>
    <w:rPr>
      <w:vertAlign w:val="superscript"/>
    </w:rPr>
  </w:style>
  <w:style w:type="paragraph" w:customStyle="1" w:styleId="EBBodyPara">
    <w:name w:val="EBBodyPara"/>
    <w:basedOn w:val="BodyText"/>
    <w:rsid w:val="00545432"/>
    <w:pPr>
      <w:spacing w:line="240" w:lineRule="auto"/>
    </w:pPr>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545432"/>
    <w:pPr>
      <w:spacing w:after="120"/>
    </w:pPr>
  </w:style>
  <w:style w:type="character" w:customStyle="1" w:styleId="BodyTextChar">
    <w:name w:val="Body Text Char"/>
    <w:basedOn w:val="DefaultParagraphFont"/>
    <w:link w:val="BodyText"/>
    <w:uiPriority w:val="99"/>
    <w:semiHidden/>
    <w:rsid w:val="00545432"/>
  </w:style>
  <w:style w:type="paragraph" w:styleId="NoSpacing">
    <w:name w:val="No Spacing"/>
    <w:uiPriority w:val="1"/>
    <w:qFormat/>
    <w:rsid w:val="00F74C21"/>
    <w:pPr>
      <w:spacing w:after="0" w:line="240" w:lineRule="auto"/>
    </w:pPr>
  </w:style>
  <w:style w:type="table" w:styleId="MediumShading1-Accent6">
    <w:name w:val="Medium Shading 1 Accent 6"/>
    <w:basedOn w:val="TableNormal"/>
    <w:uiPriority w:val="63"/>
    <w:rsid w:val="00BB088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B0884"/>
    <w:rPr>
      <w:sz w:val="16"/>
      <w:szCs w:val="16"/>
    </w:rPr>
  </w:style>
  <w:style w:type="paragraph" w:styleId="CommentText">
    <w:name w:val="annotation text"/>
    <w:basedOn w:val="Normal"/>
    <w:link w:val="CommentTextChar"/>
    <w:uiPriority w:val="99"/>
    <w:unhideWhenUsed/>
    <w:rsid w:val="00BB0884"/>
    <w:pPr>
      <w:spacing w:line="240" w:lineRule="auto"/>
    </w:pPr>
    <w:rPr>
      <w:sz w:val="20"/>
      <w:szCs w:val="20"/>
    </w:rPr>
  </w:style>
  <w:style w:type="character" w:customStyle="1" w:styleId="CommentTextChar">
    <w:name w:val="Comment Text Char"/>
    <w:basedOn w:val="DefaultParagraphFont"/>
    <w:link w:val="CommentText"/>
    <w:uiPriority w:val="99"/>
    <w:rsid w:val="00BB0884"/>
    <w:rPr>
      <w:sz w:val="20"/>
      <w:szCs w:val="20"/>
    </w:rPr>
  </w:style>
  <w:style w:type="paragraph" w:styleId="Title">
    <w:name w:val="Title"/>
    <w:basedOn w:val="Normal"/>
    <w:next w:val="Normal"/>
    <w:link w:val="TitleChar"/>
    <w:uiPriority w:val="10"/>
    <w:qFormat/>
    <w:rsid w:val="00C72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C720F0"/>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qFormat/>
    <w:rsid w:val="00C720F0"/>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C720F0"/>
    <w:rPr>
      <w:rFonts w:asciiTheme="majorHAnsi" w:eastAsiaTheme="majorEastAsia" w:hAnsiTheme="majorHAnsi" w:cstheme="majorBidi"/>
      <w:i/>
      <w:iCs/>
      <w:color w:val="4F81BD" w:themeColor="accent1"/>
      <w:spacing w:val="15"/>
      <w:sz w:val="24"/>
      <w:szCs w:val="24"/>
      <w:lang w:eastAsia="en-GB"/>
    </w:rPr>
  </w:style>
  <w:style w:type="paragraph" w:styleId="NormalWeb">
    <w:name w:val="Normal (Web)"/>
    <w:basedOn w:val="Normal"/>
    <w:rsid w:val="00C6736C"/>
    <w:pPr>
      <w:spacing w:before="100" w:beforeAutospacing="1" w:after="100" w:afterAutospacing="1" w:line="240" w:lineRule="auto"/>
    </w:pPr>
    <w:rPr>
      <w:rFonts w:ascii="Arial" w:eastAsia="Times New Roman" w:hAnsi="Arial" w:cs="Arial"/>
      <w:sz w:val="24"/>
      <w:szCs w:val="24"/>
      <w:lang w:eastAsia="en-GB"/>
    </w:rPr>
  </w:style>
  <w:style w:type="table" w:styleId="LightShading-Accent6">
    <w:name w:val="Light Shading Accent 6"/>
    <w:basedOn w:val="TableNormal"/>
    <w:uiPriority w:val="60"/>
    <w:rsid w:val="00C278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C2787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6">
    <w:name w:val="Medium Grid 3 Accent 6"/>
    <w:basedOn w:val="TableNormal"/>
    <w:uiPriority w:val="69"/>
    <w:rsid w:val="00C278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CommentSubject">
    <w:name w:val="annotation subject"/>
    <w:basedOn w:val="CommentText"/>
    <w:next w:val="CommentText"/>
    <w:link w:val="CommentSubjectChar"/>
    <w:uiPriority w:val="99"/>
    <w:semiHidden/>
    <w:unhideWhenUsed/>
    <w:rsid w:val="00B004F0"/>
    <w:rPr>
      <w:b/>
      <w:bCs/>
    </w:rPr>
  </w:style>
  <w:style w:type="character" w:customStyle="1" w:styleId="CommentSubjectChar">
    <w:name w:val="Comment Subject Char"/>
    <w:basedOn w:val="CommentTextChar"/>
    <w:link w:val="CommentSubject"/>
    <w:uiPriority w:val="99"/>
    <w:semiHidden/>
    <w:rsid w:val="00B004F0"/>
    <w:rPr>
      <w:b/>
      <w:bCs/>
      <w:sz w:val="20"/>
      <w:szCs w:val="20"/>
    </w:rPr>
  </w:style>
  <w:style w:type="paragraph" w:styleId="EndnoteText">
    <w:name w:val="endnote text"/>
    <w:basedOn w:val="Normal"/>
    <w:link w:val="EndnoteTextChar"/>
    <w:uiPriority w:val="99"/>
    <w:semiHidden/>
    <w:unhideWhenUsed/>
    <w:rsid w:val="00813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3339"/>
    <w:rPr>
      <w:sz w:val="20"/>
      <w:szCs w:val="20"/>
    </w:rPr>
  </w:style>
  <w:style w:type="character" w:styleId="EndnoteReference">
    <w:name w:val="endnote reference"/>
    <w:basedOn w:val="DefaultParagraphFont"/>
    <w:uiPriority w:val="99"/>
    <w:semiHidden/>
    <w:unhideWhenUsed/>
    <w:rsid w:val="00813339"/>
    <w:rPr>
      <w:vertAlign w:val="superscript"/>
    </w:rPr>
  </w:style>
  <w:style w:type="table" w:customStyle="1" w:styleId="TableGrid1">
    <w:name w:val="Table Grid1"/>
    <w:basedOn w:val="TableNormal"/>
    <w:next w:val="TableGrid"/>
    <w:uiPriority w:val="59"/>
    <w:rsid w:val="00C8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3415">
      <w:bodyDiv w:val="1"/>
      <w:marLeft w:val="0"/>
      <w:marRight w:val="0"/>
      <w:marTop w:val="0"/>
      <w:marBottom w:val="0"/>
      <w:divBdr>
        <w:top w:val="none" w:sz="0" w:space="0" w:color="auto"/>
        <w:left w:val="none" w:sz="0" w:space="0" w:color="auto"/>
        <w:bottom w:val="none" w:sz="0" w:space="0" w:color="auto"/>
        <w:right w:val="none" w:sz="0" w:space="0" w:color="auto"/>
      </w:divBdr>
      <w:divsChild>
        <w:div w:id="1601646652">
          <w:marLeft w:val="547"/>
          <w:marRight w:val="0"/>
          <w:marTop w:val="0"/>
          <w:marBottom w:val="0"/>
          <w:divBdr>
            <w:top w:val="none" w:sz="0" w:space="0" w:color="auto"/>
            <w:left w:val="none" w:sz="0" w:space="0" w:color="auto"/>
            <w:bottom w:val="none" w:sz="0" w:space="0" w:color="auto"/>
            <w:right w:val="none" w:sz="0" w:space="0" w:color="auto"/>
          </w:divBdr>
        </w:div>
      </w:divsChild>
    </w:div>
    <w:div w:id="76100229">
      <w:bodyDiv w:val="1"/>
      <w:marLeft w:val="0"/>
      <w:marRight w:val="0"/>
      <w:marTop w:val="0"/>
      <w:marBottom w:val="0"/>
      <w:divBdr>
        <w:top w:val="none" w:sz="0" w:space="0" w:color="auto"/>
        <w:left w:val="none" w:sz="0" w:space="0" w:color="auto"/>
        <w:bottom w:val="none" w:sz="0" w:space="0" w:color="auto"/>
        <w:right w:val="none" w:sz="0" w:space="0" w:color="auto"/>
      </w:divBdr>
      <w:divsChild>
        <w:div w:id="1650207223">
          <w:marLeft w:val="547"/>
          <w:marRight w:val="0"/>
          <w:marTop w:val="58"/>
          <w:marBottom w:val="0"/>
          <w:divBdr>
            <w:top w:val="none" w:sz="0" w:space="0" w:color="auto"/>
            <w:left w:val="none" w:sz="0" w:space="0" w:color="auto"/>
            <w:bottom w:val="none" w:sz="0" w:space="0" w:color="auto"/>
            <w:right w:val="none" w:sz="0" w:space="0" w:color="auto"/>
          </w:divBdr>
        </w:div>
      </w:divsChild>
    </w:div>
    <w:div w:id="267469973">
      <w:bodyDiv w:val="1"/>
      <w:marLeft w:val="0"/>
      <w:marRight w:val="0"/>
      <w:marTop w:val="0"/>
      <w:marBottom w:val="0"/>
      <w:divBdr>
        <w:top w:val="none" w:sz="0" w:space="0" w:color="auto"/>
        <w:left w:val="none" w:sz="0" w:space="0" w:color="auto"/>
        <w:bottom w:val="none" w:sz="0" w:space="0" w:color="auto"/>
        <w:right w:val="none" w:sz="0" w:space="0" w:color="auto"/>
      </w:divBdr>
    </w:div>
    <w:div w:id="333798513">
      <w:bodyDiv w:val="1"/>
      <w:marLeft w:val="0"/>
      <w:marRight w:val="0"/>
      <w:marTop w:val="0"/>
      <w:marBottom w:val="0"/>
      <w:divBdr>
        <w:top w:val="none" w:sz="0" w:space="0" w:color="auto"/>
        <w:left w:val="none" w:sz="0" w:space="0" w:color="auto"/>
        <w:bottom w:val="none" w:sz="0" w:space="0" w:color="auto"/>
        <w:right w:val="none" w:sz="0" w:space="0" w:color="auto"/>
      </w:divBdr>
    </w:div>
    <w:div w:id="336346001">
      <w:bodyDiv w:val="1"/>
      <w:marLeft w:val="0"/>
      <w:marRight w:val="0"/>
      <w:marTop w:val="0"/>
      <w:marBottom w:val="0"/>
      <w:divBdr>
        <w:top w:val="none" w:sz="0" w:space="0" w:color="auto"/>
        <w:left w:val="none" w:sz="0" w:space="0" w:color="auto"/>
        <w:bottom w:val="none" w:sz="0" w:space="0" w:color="auto"/>
        <w:right w:val="none" w:sz="0" w:space="0" w:color="auto"/>
      </w:divBdr>
      <w:divsChild>
        <w:div w:id="37632571">
          <w:marLeft w:val="446"/>
          <w:marRight w:val="0"/>
          <w:marTop w:val="0"/>
          <w:marBottom w:val="0"/>
          <w:divBdr>
            <w:top w:val="none" w:sz="0" w:space="0" w:color="auto"/>
            <w:left w:val="none" w:sz="0" w:space="0" w:color="auto"/>
            <w:bottom w:val="none" w:sz="0" w:space="0" w:color="auto"/>
            <w:right w:val="none" w:sz="0" w:space="0" w:color="auto"/>
          </w:divBdr>
        </w:div>
        <w:div w:id="357896633">
          <w:marLeft w:val="446"/>
          <w:marRight w:val="0"/>
          <w:marTop w:val="0"/>
          <w:marBottom w:val="0"/>
          <w:divBdr>
            <w:top w:val="none" w:sz="0" w:space="0" w:color="auto"/>
            <w:left w:val="none" w:sz="0" w:space="0" w:color="auto"/>
            <w:bottom w:val="none" w:sz="0" w:space="0" w:color="auto"/>
            <w:right w:val="none" w:sz="0" w:space="0" w:color="auto"/>
          </w:divBdr>
        </w:div>
        <w:div w:id="383722263">
          <w:marLeft w:val="446"/>
          <w:marRight w:val="0"/>
          <w:marTop w:val="0"/>
          <w:marBottom w:val="0"/>
          <w:divBdr>
            <w:top w:val="none" w:sz="0" w:space="0" w:color="auto"/>
            <w:left w:val="none" w:sz="0" w:space="0" w:color="auto"/>
            <w:bottom w:val="none" w:sz="0" w:space="0" w:color="auto"/>
            <w:right w:val="none" w:sz="0" w:space="0" w:color="auto"/>
          </w:divBdr>
        </w:div>
        <w:div w:id="1126043311">
          <w:marLeft w:val="446"/>
          <w:marRight w:val="0"/>
          <w:marTop w:val="0"/>
          <w:marBottom w:val="0"/>
          <w:divBdr>
            <w:top w:val="none" w:sz="0" w:space="0" w:color="auto"/>
            <w:left w:val="none" w:sz="0" w:space="0" w:color="auto"/>
            <w:bottom w:val="none" w:sz="0" w:space="0" w:color="auto"/>
            <w:right w:val="none" w:sz="0" w:space="0" w:color="auto"/>
          </w:divBdr>
        </w:div>
        <w:div w:id="1207912013">
          <w:marLeft w:val="446"/>
          <w:marRight w:val="0"/>
          <w:marTop w:val="0"/>
          <w:marBottom w:val="0"/>
          <w:divBdr>
            <w:top w:val="none" w:sz="0" w:space="0" w:color="auto"/>
            <w:left w:val="none" w:sz="0" w:space="0" w:color="auto"/>
            <w:bottom w:val="none" w:sz="0" w:space="0" w:color="auto"/>
            <w:right w:val="none" w:sz="0" w:space="0" w:color="auto"/>
          </w:divBdr>
        </w:div>
        <w:div w:id="1776703665">
          <w:marLeft w:val="446"/>
          <w:marRight w:val="0"/>
          <w:marTop w:val="0"/>
          <w:marBottom w:val="0"/>
          <w:divBdr>
            <w:top w:val="none" w:sz="0" w:space="0" w:color="auto"/>
            <w:left w:val="none" w:sz="0" w:space="0" w:color="auto"/>
            <w:bottom w:val="none" w:sz="0" w:space="0" w:color="auto"/>
            <w:right w:val="none" w:sz="0" w:space="0" w:color="auto"/>
          </w:divBdr>
        </w:div>
      </w:divsChild>
    </w:div>
    <w:div w:id="416825225">
      <w:bodyDiv w:val="1"/>
      <w:marLeft w:val="0"/>
      <w:marRight w:val="0"/>
      <w:marTop w:val="0"/>
      <w:marBottom w:val="0"/>
      <w:divBdr>
        <w:top w:val="none" w:sz="0" w:space="0" w:color="auto"/>
        <w:left w:val="none" w:sz="0" w:space="0" w:color="auto"/>
        <w:bottom w:val="none" w:sz="0" w:space="0" w:color="auto"/>
        <w:right w:val="none" w:sz="0" w:space="0" w:color="auto"/>
      </w:divBdr>
      <w:divsChild>
        <w:div w:id="932934271">
          <w:marLeft w:val="547"/>
          <w:marRight w:val="0"/>
          <w:marTop w:val="0"/>
          <w:marBottom w:val="0"/>
          <w:divBdr>
            <w:top w:val="none" w:sz="0" w:space="0" w:color="auto"/>
            <w:left w:val="none" w:sz="0" w:space="0" w:color="auto"/>
            <w:bottom w:val="none" w:sz="0" w:space="0" w:color="auto"/>
            <w:right w:val="none" w:sz="0" w:space="0" w:color="auto"/>
          </w:divBdr>
        </w:div>
      </w:divsChild>
    </w:div>
    <w:div w:id="423763372">
      <w:bodyDiv w:val="1"/>
      <w:marLeft w:val="0"/>
      <w:marRight w:val="0"/>
      <w:marTop w:val="0"/>
      <w:marBottom w:val="0"/>
      <w:divBdr>
        <w:top w:val="none" w:sz="0" w:space="0" w:color="auto"/>
        <w:left w:val="none" w:sz="0" w:space="0" w:color="auto"/>
        <w:bottom w:val="none" w:sz="0" w:space="0" w:color="auto"/>
        <w:right w:val="none" w:sz="0" w:space="0" w:color="auto"/>
      </w:divBdr>
    </w:div>
    <w:div w:id="439374911">
      <w:bodyDiv w:val="1"/>
      <w:marLeft w:val="0"/>
      <w:marRight w:val="0"/>
      <w:marTop w:val="0"/>
      <w:marBottom w:val="0"/>
      <w:divBdr>
        <w:top w:val="none" w:sz="0" w:space="0" w:color="auto"/>
        <w:left w:val="none" w:sz="0" w:space="0" w:color="auto"/>
        <w:bottom w:val="none" w:sz="0" w:space="0" w:color="auto"/>
        <w:right w:val="none" w:sz="0" w:space="0" w:color="auto"/>
      </w:divBdr>
      <w:divsChild>
        <w:div w:id="295992669">
          <w:marLeft w:val="446"/>
          <w:marRight w:val="0"/>
          <w:marTop w:val="0"/>
          <w:marBottom w:val="0"/>
          <w:divBdr>
            <w:top w:val="none" w:sz="0" w:space="0" w:color="auto"/>
            <w:left w:val="none" w:sz="0" w:space="0" w:color="auto"/>
            <w:bottom w:val="none" w:sz="0" w:space="0" w:color="auto"/>
            <w:right w:val="none" w:sz="0" w:space="0" w:color="auto"/>
          </w:divBdr>
        </w:div>
        <w:div w:id="352607423">
          <w:marLeft w:val="446"/>
          <w:marRight w:val="0"/>
          <w:marTop w:val="0"/>
          <w:marBottom w:val="0"/>
          <w:divBdr>
            <w:top w:val="none" w:sz="0" w:space="0" w:color="auto"/>
            <w:left w:val="none" w:sz="0" w:space="0" w:color="auto"/>
            <w:bottom w:val="none" w:sz="0" w:space="0" w:color="auto"/>
            <w:right w:val="none" w:sz="0" w:space="0" w:color="auto"/>
          </w:divBdr>
        </w:div>
        <w:div w:id="411201431">
          <w:marLeft w:val="446"/>
          <w:marRight w:val="0"/>
          <w:marTop w:val="0"/>
          <w:marBottom w:val="0"/>
          <w:divBdr>
            <w:top w:val="none" w:sz="0" w:space="0" w:color="auto"/>
            <w:left w:val="none" w:sz="0" w:space="0" w:color="auto"/>
            <w:bottom w:val="none" w:sz="0" w:space="0" w:color="auto"/>
            <w:right w:val="none" w:sz="0" w:space="0" w:color="auto"/>
          </w:divBdr>
        </w:div>
        <w:div w:id="1467968462">
          <w:marLeft w:val="446"/>
          <w:marRight w:val="0"/>
          <w:marTop w:val="0"/>
          <w:marBottom w:val="0"/>
          <w:divBdr>
            <w:top w:val="none" w:sz="0" w:space="0" w:color="auto"/>
            <w:left w:val="none" w:sz="0" w:space="0" w:color="auto"/>
            <w:bottom w:val="none" w:sz="0" w:space="0" w:color="auto"/>
            <w:right w:val="none" w:sz="0" w:space="0" w:color="auto"/>
          </w:divBdr>
        </w:div>
        <w:div w:id="1668360966">
          <w:marLeft w:val="446"/>
          <w:marRight w:val="0"/>
          <w:marTop w:val="0"/>
          <w:marBottom w:val="0"/>
          <w:divBdr>
            <w:top w:val="none" w:sz="0" w:space="0" w:color="auto"/>
            <w:left w:val="none" w:sz="0" w:space="0" w:color="auto"/>
            <w:bottom w:val="none" w:sz="0" w:space="0" w:color="auto"/>
            <w:right w:val="none" w:sz="0" w:space="0" w:color="auto"/>
          </w:divBdr>
        </w:div>
        <w:div w:id="2033023624">
          <w:marLeft w:val="446"/>
          <w:marRight w:val="0"/>
          <w:marTop w:val="0"/>
          <w:marBottom w:val="0"/>
          <w:divBdr>
            <w:top w:val="none" w:sz="0" w:space="0" w:color="auto"/>
            <w:left w:val="none" w:sz="0" w:space="0" w:color="auto"/>
            <w:bottom w:val="none" w:sz="0" w:space="0" w:color="auto"/>
            <w:right w:val="none" w:sz="0" w:space="0" w:color="auto"/>
          </w:divBdr>
        </w:div>
      </w:divsChild>
    </w:div>
    <w:div w:id="443041148">
      <w:bodyDiv w:val="1"/>
      <w:marLeft w:val="0"/>
      <w:marRight w:val="0"/>
      <w:marTop w:val="0"/>
      <w:marBottom w:val="0"/>
      <w:divBdr>
        <w:top w:val="none" w:sz="0" w:space="0" w:color="auto"/>
        <w:left w:val="none" w:sz="0" w:space="0" w:color="auto"/>
        <w:bottom w:val="none" w:sz="0" w:space="0" w:color="auto"/>
        <w:right w:val="none" w:sz="0" w:space="0" w:color="auto"/>
      </w:divBdr>
      <w:divsChild>
        <w:div w:id="103306043">
          <w:marLeft w:val="1166"/>
          <w:marRight w:val="0"/>
          <w:marTop w:val="67"/>
          <w:marBottom w:val="0"/>
          <w:divBdr>
            <w:top w:val="none" w:sz="0" w:space="0" w:color="auto"/>
            <w:left w:val="none" w:sz="0" w:space="0" w:color="auto"/>
            <w:bottom w:val="none" w:sz="0" w:space="0" w:color="auto"/>
            <w:right w:val="none" w:sz="0" w:space="0" w:color="auto"/>
          </w:divBdr>
        </w:div>
        <w:div w:id="191260412">
          <w:marLeft w:val="1166"/>
          <w:marRight w:val="0"/>
          <w:marTop w:val="67"/>
          <w:marBottom w:val="0"/>
          <w:divBdr>
            <w:top w:val="none" w:sz="0" w:space="0" w:color="auto"/>
            <w:left w:val="none" w:sz="0" w:space="0" w:color="auto"/>
            <w:bottom w:val="none" w:sz="0" w:space="0" w:color="auto"/>
            <w:right w:val="none" w:sz="0" w:space="0" w:color="auto"/>
          </w:divBdr>
        </w:div>
        <w:div w:id="249311690">
          <w:marLeft w:val="1166"/>
          <w:marRight w:val="0"/>
          <w:marTop w:val="67"/>
          <w:marBottom w:val="0"/>
          <w:divBdr>
            <w:top w:val="none" w:sz="0" w:space="0" w:color="auto"/>
            <w:left w:val="none" w:sz="0" w:space="0" w:color="auto"/>
            <w:bottom w:val="none" w:sz="0" w:space="0" w:color="auto"/>
            <w:right w:val="none" w:sz="0" w:space="0" w:color="auto"/>
          </w:divBdr>
        </w:div>
        <w:div w:id="589583163">
          <w:marLeft w:val="1166"/>
          <w:marRight w:val="0"/>
          <w:marTop w:val="67"/>
          <w:marBottom w:val="0"/>
          <w:divBdr>
            <w:top w:val="none" w:sz="0" w:space="0" w:color="auto"/>
            <w:left w:val="none" w:sz="0" w:space="0" w:color="auto"/>
            <w:bottom w:val="none" w:sz="0" w:space="0" w:color="auto"/>
            <w:right w:val="none" w:sz="0" w:space="0" w:color="auto"/>
          </w:divBdr>
        </w:div>
        <w:div w:id="646669859">
          <w:marLeft w:val="547"/>
          <w:marRight w:val="0"/>
          <w:marTop w:val="67"/>
          <w:marBottom w:val="0"/>
          <w:divBdr>
            <w:top w:val="none" w:sz="0" w:space="0" w:color="auto"/>
            <w:left w:val="none" w:sz="0" w:space="0" w:color="auto"/>
            <w:bottom w:val="none" w:sz="0" w:space="0" w:color="auto"/>
            <w:right w:val="none" w:sz="0" w:space="0" w:color="auto"/>
          </w:divBdr>
        </w:div>
        <w:div w:id="834299238">
          <w:marLeft w:val="1166"/>
          <w:marRight w:val="0"/>
          <w:marTop w:val="67"/>
          <w:marBottom w:val="0"/>
          <w:divBdr>
            <w:top w:val="none" w:sz="0" w:space="0" w:color="auto"/>
            <w:left w:val="none" w:sz="0" w:space="0" w:color="auto"/>
            <w:bottom w:val="none" w:sz="0" w:space="0" w:color="auto"/>
            <w:right w:val="none" w:sz="0" w:space="0" w:color="auto"/>
          </w:divBdr>
        </w:div>
        <w:div w:id="946959687">
          <w:marLeft w:val="1166"/>
          <w:marRight w:val="0"/>
          <w:marTop w:val="67"/>
          <w:marBottom w:val="0"/>
          <w:divBdr>
            <w:top w:val="none" w:sz="0" w:space="0" w:color="auto"/>
            <w:left w:val="none" w:sz="0" w:space="0" w:color="auto"/>
            <w:bottom w:val="none" w:sz="0" w:space="0" w:color="auto"/>
            <w:right w:val="none" w:sz="0" w:space="0" w:color="auto"/>
          </w:divBdr>
        </w:div>
        <w:div w:id="1180781803">
          <w:marLeft w:val="1166"/>
          <w:marRight w:val="0"/>
          <w:marTop w:val="67"/>
          <w:marBottom w:val="0"/>
          <w:divBdr>
            <w:top w:val="none" w:sz="0" w:space="0" w:color="auto"/>
            <w:left w:val="none" w:sz="0" w:space="0" w:color="auto"/>
            <w:bottom w:val="none" w:sz="0" w:space="0" w:color="auto"/>
            <w:right w:val="none" w:sz="0" w:space="0" w:color="auto"/>
          </w:divBdr>
        </w:div>
        <w:div w:id="1840385591">
          <w:marLeft w:val="547"/>
          <w:marRight w:val="0"/>
          <w:marTop w:val="67"/>
          <w:marBottom w:val="0"/>
          <w:divBdr>
            <w:top w:val="none" w:sz="0" w:space="0" w:color="auto"/>
            <w:left w:val="none" w:sz="0" w:space="0" w:color="auto"/>
            <w:bottom w:val="none" w:sz="0" w:space="0" w:color="auto"/>
            <w:right w:val="none" w:sz="0" w:space="0" w:color="auto"/>
          </w:divBdr>
        </w:div>
        <w:div w:id="1840732014">
          <w:marLeft w:val="547"/>
          <w:marRight w:val="0"/>
          <w:marTop w:val="67"/>
          <w:marBottom w:val="0"/>
          <w:divBdr>
            <w:top w:val="none" w:sz="0" w:space="0" w:color="auto"/>
            <w:left w:val="none" w:sz="0" w:space="0" w:color="auto"/>
            <w:bottom w:val="none" w:sz="0" w:space="0" w:color="auto"/>
            <w:right w:val="none" w:sz="0" w:space="0" w:color="auto"/>
          </w:divBdr>
        </w:div>
        <w:div w:id="1873424113">
          <w:marLeft w:val="1166"/>
          <w:marRight w:val="0"/>
          <w:marTop w:val="67"/>
          <w:marBottom w:val="0"/>
          <w:divBdr>
            <w:top w:val="none" w:sz="0" w:space="0" w:color="auto"/>
            <w:left w:val="none" w:sz="0" w:space="0" w:color="auto"/>
            <w:bottom w:val="none" w:sz="0" w:space="0" w:color="auto"/>
            <w:right w:val="none" w:sz="0" w:space="0" w:color="auto"/>
          </w:divBdr>
        </w:div>
        <w:div w:id="2086829866">
          <w:marLeft w:val="547"/>
          <w:marRight w:val="0"/>
          <w:marTop w:val="67"/>
          <w:marBottom w:val="0"/>
          <w:divBdr>
            <w:top w:val="none" w:sz="0" w:space="0" w:color="auto"/>
            <w:left w:val="none" w:sz="0" w:space="0" w:color="auto"/>
            <w:bottom w:val="none" w:sz="0" w:space="0" w:color="auto"/>
            <w:right w:val="none" w:sz="0" w:space="0" w:color="auto"/>
          </w:divBdr>
        </w:div>
      </w:divsChild>
    </w:div>
    <w:div w:id="598949145">
      <w:bodyDiv w:val="1"/>
      <w:marLeft w:val="0"/>
      <w:marRight w:val="0"/>
      <w:marTop w:val="0"/>
      <w:marBottom w:val="0"/>
      <w:divBdr>
        <w:top w:val="none" w:sz="0" w:space="0" w:color="auto"/>
        <w:left w:val="none" w:sz="0" w:space="0" w:color="auto"/>
        <w:bottom w:val="none" w:sz="0" w:space="0" w:color="auto"/>
        <w:right w:val="none" w:sz="0" w:space="0" w:color="auto"/>
      </w:divBdr>
      <w:divsChild>
        <w:div w:id="30617350">
          <w:marLeft w:val="547"/>
          <w:marRight w:val="0"/>
          <w:marTop w:val="67"/>
          <w:marBottom w:val="0"/>
          <w:divBdr>
            <w:top w:val="none" w:sz="0" w:space="0" w:color="auto"/>
            <w:left w:val="none" w:sz="0" w:space="0" w:color="auto"/>
            <w:bottom w:val="none" w:sz="0" w:space="0" w:color="auto"/>
            <w:right w:val="none" w:sz="0" w:space="0" w:color="auto"/>
          </w:divBdr>
        </w:div>
        <w:div w:id="523132120">
          <w:marLeft w:val="1166"/>
          <w:marRight w:val="0"/>
          <w:marTop w:val="67"/>
          <w:marBottom w:val="0"/>
          <w:divBdr>
            <w:top w:val="none" w:sz="0" w:space="0" w:color="auto"/>
            <w:left w:val="none" w:sz="0" w:space="0" w:color="auto"/>
            <w:bottom w:val="none" w:sz="0" w:space="0" w:color="auto"/>
            <w:right w:val="none" w:sz="0" w:space="0" w:color="auto"/>
          </w:divBdr>
        </w:div>
        <w:div w:id="825974056">
          <w:marLeft w:val="1166"/>
          <w:marRight w:val="0"/>
          <w:marTop w:val="67"/>
          <w:marBottom w:val="0"/>
          <w:divBdr>
            <w:top w:val="none" w:sz="0" w:space="0" w:color="auto"/>
            <w:left w:val="none" w:sz="0" w:space="0" w:color="auto"/>
            <w:bottom w:val="none" w:sz="0" w:space="0" w:color="auto"/>
            <w:right w:val="none" w:sz="0" w:space="0" w:color="auto"/>
          </w:divBdr>
        </w:div>
        <w:div w:id="923536029">
          <w:marLeft w:val="1166"/>
          <w:marRight w:val="0"/>
          <w:marTop w:val="67"/>
          <w:marBottom w:val="0"/>
          <w:divBdr>
            <w:top w:val="none" w:sz="0" w:space="0" w:color="auto"/>
            <w:left w:val="none" w:sz="0" w:space="0" w:color="auto"/>
            <w:bottom w:val="none" w:sz="0" w:space="0" w:color="auto"/>
            <w:right w:val="none" w:sz="0" w:space="0" w:color="auto"/>
          </w:divBdr>
        </w:div>
        <w:div w:id="1011953950">
          <w:marLeft w:val="1166"/>
          <w:marRight w:val="0"/>
          <w:marTop w:val="67"/>
          <w:marBottom w:val="0"/>
          <w:divBdr>
            <w:top w:val="none" w:sz="0" w:space="0" w:color="auto"/>
            <w:left w:val="none" w:sz="0" w:space="0" w:color="auto"/>
            <w:bottom w:val="none" w:sz="0" w:space="0" w:color="auto"/>
            <w:right w:val="none" w:sz="0" w:space="0" w:color="auto"/>
          </w:divBdr>
        </w:div>
        <w:div w:id="1025329777">
          <w:marLeft w:val="547"/>
          <w:marRight w:val="0"/>
          <w:marTop w:val="67"/>
          <w:marBottom w:val="0"/>
          <w:divBdr>
            <w:top w:val="none" w:sz="0" w:space="0" w:color="auto"/>
            <w:left w:val="none" w:sz="0" w:space="0" w:color="auto"/>
            <w:bottom w:val="none" w:sz="0" w:space="0" w:color="auto"/>
            <w:right w:val="none" w:sz="0" w:space="0" w:color="auto"/>
          </w:divBdr>
        </w:div>
        <w:div w:id="1504006975">
          <w:marLeft w:val="547"/>
          <w:marRight w:val="0"/>
          <w:marTop w:val="67"/>
          <w:marBottom w:val="0"/>
          <w:divBdr>
            <w:top w:val="none" w:sz="0" w:space="0" w:color="auto"/>
            <w:left w:val="none" w:sz="0" w:space="0" w:color="auto"/>
            <w:bottom w:val="none" w:sz="0" w:space="0" w:color="auto"/>
            <w:right w:val="none" w:sz="0" w:space="0" w:color="auto"/>
          </w:divBdr>
        </w:div>
        <w:div w:id="1608196133">
          <w:marLeft w:val="547"/>
          <w:marRight w:val="0"/>
          <w:marTop w:val="67"/>
          <w:marBottom w:val="0"/>
          <w:divBdr>
            <w:top w:val="none" w:sz="0" w:space="0" w:color="auto"/>
            <w:left w:val="none" w:sz="0" w:space="0" w:color="auto"/>
            <w:bottom w:val="none" w:sz="0" w:space="0" w:color="auto"/>
            <w:right w:val="none" w:sz="0" w:space="0" w:color="auto"/>
          </w:divBdr>
        </w:div>
        <w:div w:id="1813018272">
          <w:marLeft w:val="547"/>
          <w:marRight w:val="0"/>
          <w:marTop w:val="67"/>
          <w:marBottom w:val="0"/>
          <w:divBdr>
            <w:top w:val="none" w:sz="0" w:space="0" w:color="auto"/>
            <w:left w:val="none" w:sz="0" w:space="0" w:color="auto"/>
            <w:bottom w:val="none" w:sz="0" w:space="0" w:color="auto"/>
            <w:right w:val="none" w:sz="0" w:space="0" w:color="auto"/>
          </w:divBdr>
        </w:div>
        <w:div w:id="1832134556">
          <w:marLeft w:val="1166"/>
          <w:marRight w:val="0"/>
          <w:marTop w:val="67"/>
          <w:marBottom w:val="0"/>
          <w:divBdr>
            <w:top w:val="none" w:sz="0" w:space="0" w:color="auto"/>
            <w:left w:val="none" w:sz="0" w:space="0" w:color="auto"/>
            <w:bottom w:val="none" w:sz="0" w:space="0" w:color="auto"/>
            <w:right w:val="none" w:sz="0" w:space="0" w:color="auto"/>
          </w:divBdr>
        </w:div>
      </w:divsChild>
    </w:div>
    <w:div w:id="631793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9931">
          <w:marLeft w:val="547"/>
          <w:marRight w:val="0"/>
          <w:marTop w:val="58"/>
          <w:marBottom w:val="0"/>
          <w:divBdr>
            <w:top w:val="none" w:sz="0" w:space="0" w:color="auto"/>
            <w:left w:val="none" w:sz="0" w:space="0" w:color="auto"/>
            <w:bottom w:val="none" w:sz="0" w:space="0" w:color="auto"/>
            <w:right w:val="none" w:sz="0" w:space="0" w:color="auto"/>
          </w:divBdr>
        </w:div>
      </w:divsChild>
    </w:div>
    <w:div w:id="708145031">
      <w:bodyDiv w:val="1"/>
      <w:marLeft w:val="0"/>
      <w:marRight w:val="0"/>
      <w:marTop w:val="0"/>
      <w:marBottom w:val="0"/>
      <w:divBdr>
        <w:top w:val="none" w:sz="0" w:space="0" w:color="auto"/>
        <w:left w:val="none" w:sz="0" w:space="0" w:color="auto"/>
        <w:bottom w:val="none" w:sz="0" w:space="0" w:color="auto"/>
        <w:right w:val="none" w:sz="0" w:space="0" w:color="auto"/>
      </w:divBdr>
    </w:div>
    <w:div w:id="834952932">
      <w:bodyDiv w:val="1"/>
      <w:marLeft w:val="0"/>
      <w:marRight w:val="0"/>
      <w:marTop w:val="0"/>
      <w:marBottom w:val="0"/>
      <w:divBdr>
        <w:top w:val="none" w:sz="0" w:space="0" w:color="auto"/>
        <w:left w:val="none" w:sz="0" w:space="0" w:color="auto"/>
        <w:bottom w:val="none" w:sz="0" w:space="0" w:color="auto"/>
        <w:right w:val="none" w:sz="0" w:space="0" w:color="auto"/>
      </w:divBdr>
      <w:divsChild>
        <w:div w:id="457996568">
          <w:marLeft w:val="1166"/>
          <w:marRight w:val="0"/>
          <w:marTop w:val="67"/>
          <w:marBottom w:val="0"/>
          <w:divBdr>
            <w:top w:val="none" w:sz="0" w:space="0" w:color="auto"/>
            <w:left w:val="none" w:sz="0" w:space="0" w:color="auto"/>
            <w:bottom w:val="none" w:sz="0" w:space="0" w:color="auto"/>
            <w:right w:val="none" w:sz="0" w:space="0" w:color="auto"/>
          </w:divBdr>
        </w:div>
        <w:div w:id="731541368">
          <w:marLeft w:val="1166"/>
          <w:marRight w:val="0"/>
          <w:marTop w:val="67"/>
          <w:marBottom w:val="0"/>
          <w:divBdr>
            <w:top w:val="none" w:sz="0" w:space="0" w:color="auto"/>
            <w:left w:val="none" w:sz="0" w:space="0" w:color="auto"/>
            <w:bottom w:val="none" w:sz="0" w:space="0" w:color="auto"/>
            <w:right w:val="none" w:sz="0" w:space="0" w:color="auto"/>
          </w:divBdr>
        </w:div>
        <w:div w:id="974798882">
          <w:marLeft w:val="547"/>
          <w:marRight w:val="0"/>
          <w:marTop w:val="67"/>
          <w:marBottom w:val="0"/>
          <w:divBdr>
            <w:top w:val="none" w:sz="0" w:space="0" w:color="auto"/>
            <w:left w:val="none" w:sz="0" w:space="0" w:color="auto"/>
            <w:bottom w:val="none" w:sz="0" w:space="0" w:color="auto"/>
            <w:right w:val="none" w:sz="0" w:space="0" w:color="auto"/>
          </w:divBdr>
        </w:div>
        <w:div w:id="1785803368">
          <w:marLeft w:val="547"/>
          <w:marRight w:val="0"/>
          <w:marTop w:val="67"/>
          <w:marBottom w:val="0"/>
          <w:divBdr>
            <w:top w:val="none" w:sz="0" w:space="0" w:color="auto"/>
            <w:left w:val="none" w:sz="0" w:space="0" w:color="auto"/>
            <w:bottom w:val="none" w:sz="0" w:space="0" w:color="auto"/>
            <w:right w:val="none" w:sz="0" w:space="0" w:color="auto"/>
          </w:divBdr>
        </w:div>
      </w:divsChild>
    </w:div>
    <w:div w:id="838732606">
      <w:bodyDiv w:val="1"/>
      <w:marLeft w:val="0"/>
      <w:marRight w:val="0"/>
      <w:marTop w:val="0"/>
      <w:marBottom w:val="0"/>
      <w:divBdr>
        <w:top w:val="none" w:sz="0" w:space="0" w:color="auto"/>
        <w:left w:val="none" w:sz="0" w:space="0" w:color="auto"/>
        <w:bottom w:val="none" w:sz="0" w:space="0" w:color="auto"/>
        <w:right w:val="none" w:sz="0" w:space="0" w:color="auto"/>
      </w:divBdr>
      <w:divsChild>
        <w:div w:id="1901134195">
          <w:marLeft w:val="547"/>
          <w:marRight w:val="0"/>
          <w:marTop w:val="0"/>
          <w:marBottom w:val="0"/>
          <w:divBdr>
            <w:top w:val="none" w:sz="0" w:space="0" w:color="auto"/>
            <w:left w:val="none" w:sz="0" w:space="0" w:color="auto"/>
            <w:bottom w:val="none" w:sz="0" w:space="0" w:color="auto"/>
            <w:right w:val="none" w:sz="0" w:space="0" w:color="auto"/>
          </w:divBdr>
        </w:div>
      </w:divsChild>
    </w:div>
    <w:div w:id="898783003">
      <w:bodyDiv w:val="1"/>
      <w:marLeft w:val="0"/>
      <w:marRight w:val="0"/>
      <w:marTop w:val="0"/>
      <w:marBottom w:val="0"/>
      <w:divBdr>
        <w:top w:val="none" w:sz="0" w:space="0" w:color="auto"/>
        <w:left w:val="none" w:sz="0" w:space="0" w:color="auto"/>
        <w:bottom w:val="none" w:sz="0" w:space="0" w:color="auto"/>
        <w:right w:val="none" w:sz="0" w:space="0" w:color="auto"/>
      </w:divBdr>
    </w:div>
    <w:div w:id="918834152">
      <w:bodyDiv w:val="1"/>
      <w:marLeft w:val="0"/>
      <w:marRight w:val="0"/>
      <w:marTop w:val="0"/>
      <w:marBottom w:val="0"/>
      <w:divBdr>
        <w:top w:val="none" w:sz="0" w:space="0" w:color="auto"/>
        <w:left w:val="none" w:sz="0" w:space="0" w:color="auto"/>
        <w:bottom w:val="none" w:sz="0" w:space="0" w:color="auto"/>
        <w:right w:val="none" w:sz="0" w:space="0" w:color="auto"/>
      </w:divBdr>
      <w:divsChild>
        <w:div w:id="107360307">
          <w:marLeft w:val="1800"/>
          <w:marRight w:val="0"/>
          <w:marTop w:val="67"/>
          <w:marBottom w:val="0"/>
          <w:divBdr>
            <w:top w:val="none" w:sz="0" w:space="0" w:color="auto"/>
            <w:left w:val="none" w:sz="0" w:space="0" w:color="auto"/>
            <w:bottom w:val="none" w:sz="0" w:space="0" w:color="auto"/>
            <w:right w:val="none" w:sz="0" w:space="0" w:color="auto"/>
          </w:divBdr>
        </w:div>
        <w:div w:id="241451905">
          <w:marLeft w:val="1166"/>
          <w:marRight w:val="0"/>
          <w:marTop w:val="67"/>
          <w:marBottom w:val="0"/>
          <w:divBdr>
            <w:top w:val="none" w:sz="0" w:space="0" w:color="auto"/>
            <w:left w:val="none" w:sz="0" w:space="0" w:color="auto"/>
            <w:bottom w:val="none" w:sz="0" w:space="0" w:color="auto"/>
            <w:right w:val="none" w:sz="0" w:space="0" w:color="auto"/>
          </w:divBdr>
        </w:div>
        <w:div w:id="967080176">
          <w:marLeft w:val="1800"/>
          <w:marRight w:val="0"/>
          <w:marTop w:val="67"/>
          <w:marBottom w:val="0"/>
          <w:divBdr>
            <w:top w:val="none" w:sz="0" w:space="0" w:color="auto"/>
            <w:left w:val="none" w:sz="0" w:space="0" w:color="auto"/>
            <w:bottom w:val="none" w:sz="0" w:space="0" w:color="auto"/>
            <w:right w:val="none" w:sz="0" w:space="0" w:color="auto"/>
          </w:divBdr>
        </w:div>
        <w:div w:id="1214584148">
          <w:marLeft w:val="1166"/>
          <w:marRight w:val="0"/>
          <w:marTop w:val="67"/>
          <w:marBottom w:val="0"/>
          <w:divBdr>
            <w:top w:val="none" w:sz="0" w:space="0" w:color="auto"/>
            <w:left w:val="none" w:sz="0" w:space="0" w:color="auto"/>
            <w:bottom w:val="none" w:sz="0" w:space="0" w:color="auto"/>
            <w:right w:val="none" w:sz="0" w:space="0" w:color="auto"/>
          </w:divBdr>
        </w:div>
        <w:div w:id="1246304959">
          <w:marLeft w:val="1800"/>
          <w:marRight w:val="0"/>
          <w:marTop w:val="67"/>
          <w:marBottom w:val="0"/>
          <w:divBdr>
            <w:top w:val="none" w:sz="0" w:space="0" w:color="auto"/>
            <w:left w:val="none" w:sz="0" w:space="0" w:color="auto"/>
            <w:bottom w:val="none" w:sz="0" w:space="0" w:color="auto"/>
            <w:right w:val="none" w:sz="0" w:space="0" w:color="auto"/>
          </w:divBdr>
        </w:div>
      </w:divsChild>
    </w:div>
    <w:div w:id="1104155588">
      <w:bodyDiv w:val="1"/>
      <w:marLeft w:val="0"/>
      <w:marRight w:val="0"/>
      <w:marTop w:val="0"/>
      <w:marBottom w:val="0"/>
      <w:divBdr>
        <w:top w:val="none" w:sz="0" w:space="0" w:color="auto"/>
        <w:left w:val="none" w:sz="0" w:space="0" w:color="auto"/>
        <w:bottom w:val="none" w:sz="0" w:space="0" w:color="auto"/>
        <w:right w:val="none" w:sz="0" w:space="0" w:color="auto"/>
      </w:divBdr>
    </w:div>
    <w:div w:id="1255819968">
      <w:bodyDiv w:val="1"/>
      <w:marLeft w:val="0"/>
      <w:marRight w:val="0"/>
      <w:marTop w:val="0"/>
      <w:marBottom w:val="0"/>
      <w:divBdr>
        <w:top w:val="none" w:sz="0" w:space="0" w:color="auto"/>
        <w:left w:val="none" w:sz="0" w:space="0" w:color="auto"/>
        <w:bottom w:val="none" w:sz="0" w:space="0" w:color="auto"/>
        <w:right w:val="none" w:sz="0" w:space="0" w:color="auto"/>
      </w:divBdr>
      <w:divsChild>
        <w:div w:id="1142962402">
          <w:marLeft w:val="720"/>
          <w:marRight w:val="0"/>
          <w:marTop w:val="200"/>
          <w:marBottom w:val="0"/>
          <w:divBdr>
            <w:top w:val="none" w:sz="0" w:space="0" w:color="auto"/>
            <w:left w:val="none" w:sz="0" w:space="0" w:color="auto"/>
            <w:bottom w:val="none" w:sz="0" w:space="0" w:color="auto"/>
            <w:right w:val="none" w:sz="0" w:space="0" w:color="auto"/>
          </w:divBdr>
        </w:div>
      </w:divsChild>
    </w:div>
    <w:div w:id="1386684395">
      <w:bodyDiv w:val="1"/>
      <w:marLeft w:val="0"/>
      <w:marRight w:val="0"/>
      <w:marTop w:val="0"/>
      <w:marBottom w:val="0"/>
      <w:divBdr>
        <w:top w:val="none" w:sz="0" w:space="0" w:color="auto"/>
        <w:left w:val="none" w:sz="0" w:space="0" w:color="auto"/>
        <w:bottom w:val="none" w:sz="0" w:space="0" w:color="auto"/>
        <w:right w:val="none" w:sz="0" w:space="0" w:color="auto"/>
      </w:divBdr>
      <w:divsChild>
        <w:div w:id="398671218">
          <w:marLeft w:val="547"/>
          <w:marRight w:val="0"/>
          <w:marTop w:val="0"/>
          <w:marBottom w:val="0"/>
          <w:divBdr>
            <w:top w:val="none" w:sz="0" w:space="0" w:color="auto"/>
            <w:left w:val="none" w:sz="0" w:space="0" w:color="auto"/>
            <w:bottom w:val="none" w:sz="0" w:space="0" w:color="auto"/>
            <w:right w:val="none" w:sz="0" w:space="0" w:color="auto"/>
          </w:divBdr>
        </w:div>
      </w:divsChild>
    </w:div>
    <w:div w:id="1434133369">
      <w:bodyDiv w:val="1"/>
      <w:marLeft w:val="0"/>
      <w:marRight w:val="0"/>
      <w:marTop w:val="0"/>
      <w:marBottom w:val="0"/>
      <w:divBdr>
        <w:top w:val="none" w:sz="0" w:space="0" w:color="auto"/>
        <w:left w:val="none" w:sz="0" w:space="0" w:color="auto"/>
        <w:bottom w:val="none" w:sz="0" w:space="0" w:color="auto"/>
        <w:right w:val="none" w:sz="0" w:space="0" w:color="auto"/>
      </w:divBdr>
      <w:divsChild>
        <w:div w:id="78603621">
          <w:marLeft w:val="1166"/>
          <w:marRight w:val="0"/>
          <w:marTop w:val="67"/>
          <w:marBottom w:val="0"/>
          <w:divBdr>
            <w:top w:val="none" w:sz="0" w:space="0" w:color="auto"/>
            <w:left w:val="none" w:sz="0" w:space="0" w:color="auto"/>
            <w:bottom w:val="none" w:sz="0" w:space="0" w:color="auto"/>
            <w:right w:val="none" w:sz="0" w:space="0" w:color="auto"/>
          </w:divBdr>
        </w:div>
        <w:div w:id="176967024">
          <w:marLeft w:val="1166"/>
          <w:marRight w:val="0"/>
          <w:marTop w:val="67"/>
          <w:marBottom w:val="0"/>
          <w:divBdr>
            <w:top w:val="none" w:sz="0" w:space="0" w:color="auto"/>
            <w:left w:val="none" w:sz="0" w:space="0" w:color="auto"/>
            <w:bottom w:val="none" w:sz="0" w:space="0" w:color="auto"/>
            <w:right w:val="none" w:sz="0" w:space="0" w:color="auto"/>
          </w:divBdr>
        </w:div>
        <w:div w:id="620920433">
          <w:marLeft w:val="547"/>
          <w:marRight w:val="0"/>
          <w:marTop w:val="67"/>
          <w:marBottom w:val="0"/>
          <w:divBdr>
            <w:top w:val="none" w:sz="0" w:space="0" w:color="auto"/>
            <w:left w:val="none" w:sz="0" w:space="0" w:color="auto"/>
            <w:bottom w:val="none" w:sz="0" w:space="0" w:color="auto"/>
            <w:right w:val="none" w:sz="0" w:space="0" w:color="auto"/>
          </w:divBdr>
        </w:div>
        <w:div w:id="855730607">
          <w:marLeft w:val="547"/>
          <w:marRight w:val="0"/>
          <w:marTop w:val="67"/>
          <w:marBottom w:val="0"/>
          <w:divBdr>
            <w:top w:val="none" w:sz="0" w:space="0" w:color="auto"/>
            <w:left w:val="none" w:sz="0" w:space="0" w:color="auto"/>
            <w:bottom w:val="none" w:sz="0" w:space="0" w:color="auto"/>
            <w:right w:val="none" w:sz="0" w:space="0" w:color="auto"/>
          </w:divBdr>
        </w:div>
        <w:div w:id="1470515195">
          <w:marLeft w:val="1166"/>
          <w:marRight w:val="0"/>
          <w:marTop w:val="67"/>
          <w:marBottom w:val="0"/>
          <w:divBdr>
            <w:top w:val="none" w:sz="0" w:space="0" w:color="auto"/>
            <w:left w:val="none" w:sz="0" w:space="0" w:color="auto"/>
            <w:bottom w:val="none" w:sz="0" w:space="0" w:color="auto"/>
            <w:right w:val="none" w:sz="0" w:space="0" w:color="auto"/>
          </w:divBdr>
        </w:div>
        <w:div w:id="2021078769">
          <w:marLeft w:val="547"/>
          <w:marRight w:val="0"/>
          <w:marTop w:val="67"/>
          <w:marBottom w:val="0"/>
          <w:divBdr>
            <w:top w:val="none" w:sz="0" w:space="0" w:color="auto"/>
            <w:left w:val="none" w:sz="0" w:space="0" w:color="auto"/>
            <w:bottom w:val="none" w:sz="0" w:space="0" w:color="auto"/>
            <w:right w:val="none" w:sz="0" w:space="0" w:color="auto"/>
          </w:divBdr>
        </w:div>
      </w:divsChild>
    </w:div>
    <w:div w:id="1585256754">
      <w:bodyDiv w:val="1"/>
      <w:marLeft w:val="0"/>
      <w:marRight w:val="0"/>
      <w:marTop w:val="0"/>
      <w:marBottom w:val="0"/>
      <w:divBdr>
        <w:top w:val="none" w:sz="0" w:space="0" w:color="auto"/>
        <w:left w:val="none" w:sz="0" w:space="0" w:color="auto"/>
        <w:bottom w:val="none" w:sz="0" w:space="0" w:color="auto"/>
        <w:right w:val="none" w:sz="0" w:space="0" w:color="auto"/>
      </w:divBdr>
      <w:divsChild>
        <w:div w:id="691996948">
          <w:marLeft w:val="547"/>
          <w:marRight w:val="0"/>
          <w:marTop w:val="0"/>
          <w:marBottom w:val="0"/>
          <w:divBdr>
            <w:top w:val="none" w:sz="0" w:space="0" w:color="auto"/>
            <w:left w:val="none" w:sz="0" w:space="0" w:color="auto"/>
            <w:bottom w:val="none" w:sz="0" w:space="0" w:color="auto"/>
            <w:right w:val="none" w:sz="0" w:space="0" w:color="auto"/>
          </w:divBdr>
        </w:div>
        <w:div w:id="1314607219">
          <w:marLeft w:val="547"/>
          <w:marRight w:val="0"/>
          <w:marTop w:val="0"/>
          <w:marBottom w:val="0"/>
          <w:divBdr>
            <w:top w:val="none" w:sz="0" w:space="0" w:color="auto"/>
            <w:left w:val="none" w:sz="0" w:space="0" w:color="auto"/>
            <w:bottom w:val="none" w:sz="0" w:space="0" w:color="auto"/>
            <w:right w:val="none" w:sz="0" w:space="0" w:color="auto"/>
          </w:divBdr>
        </w:div>
      </w:divsChild>
    </w:div>
    <w:div w:id="1603537807">
      <w:bodyDiv w:val="1"/>
      <w:marLeft w:val="0"/>
      <w:marRight w:val="0"/>
      <w:marTop w:val="0"/>
      <w:marBottom w:val="0"/>
      <w:divBdr>
        <w:top w:val="none" w:sz="0" w:space="0" w:color="auto"/>
        <w:left w:val="none" w:sz="0" w:space="0" w:color="auto"/>
        <w:bottom w:val="none" w:sz="0" w:space="0" w:color="auto"/>
        <w:right w:val="none" w:sz="0" w:space="0" w:color="auto"/>
      </w:divBdr>
    </w:div>
    <w:div w:id="1610314656">
      <w:bodyDiv w:val="1"/>
      <w:marLeft w:val="0"/>
      <w:marRight w:val="0"/>
      <w:marTop w:val="0"/>
      <w:marBottom w:val="0"/>
      <w:divBdr>
        <w:top w:val="none" w:sz="0" w:space="0" w:color="auto"/>
        <w:left w:val="none" w:sz="0" w:space="0" w:color="auto"/>
        <w:bottom w:val="none" w:sz="0" w:space="0" w:color="auto"/>
        <w:right w:val="none" w:sz="0" w:space="0" w:color="auto"/>
      </w:divBdr>
    </w:div>
    <w:div w:id="1625770855">
      <w:bodyDiv w:val="1"/>
      <w:marLeft w:val="0"/>
      <w:marRight w:val="0"/>
      <w:marTop w:val="0"/>
      <w:marBottom w:val="0"/>
      <w:divBdr>
        <w:top w:val="none" w:sz="0" w:space="0" w:color="auto"/>
        <w:left w:val="none" w:sz="0" w:space="0" w:color="auto"/>
        <w:bottom w:val="none" w:sz="0" w:space="0" w:color="auto"/>
        <w:right w:val="none" w:sz="0" w:space="0" w:color="auto"/>
      </w:divBdr>
      <w:divsChild>
        <w:div w:id="930088763">
          <w:marLeft w:val="446"/>
          <w:marRight w:val="0"/>
          <w:marTop w:val="0"/>
          <w:marBottom w:val="0"/>
          <w:divBdr>
            <w:top w:val="none" w:sz="0" w:space="0" w:color="auto"/>
            <w:left w:val="none" w:sz="0" w:space="0" w:color="auto"/>
            <w:bottom w:val="none" w:sz="0" w:space="0" w:color="auto"/>
            <w:right w:val="none" w:sz="0" w:space="0" w:color="auto"/>
          </w:divBdr>
        </w:div>
        <w:div w:id="1144616707">
          <w:marLeft w:val="446"/>
          <w:marRight w:val="0"/>
          <w:marTop w:val="0"/>
          <w:marBottom w:val="0"/>
          <w:divBdr>
            <w:top w:val="none" w:sz="0" w:space="0" w:color="auto"/>
            <w:left w:val="none" w:sz="0" w:space="0" w:color="auto"/>
            <w:bottom w:val="none" w:sz="0" w:space="0" w:color="auto"/>
            <w:right w:val="none" w:sz="0" w:space="0" w:color="auto"/>
          </w:divBdr>
        </w:div>
        <w:div w:id="1598102237">
          <w:marLeft w:val="446"/>
          <w:marRight w:val="0"/>
          <w:marTop w:val="0"/>
          <w:marBottom w:val="0"/>
          <w:divBdr>
            <w:top w:val="none" w:sz="0" w:space="0" w:color="auto"/>
            <w:left w:val="none" w:sz="0" w:space="0" w:color="auto"/>
            <w:bottom w:val="none" w:sz="0" w:space="0" w:color="auto"/>
            <w:right w:val="none" w:sz="0" w:space="0" w:color="auto"/>
          </w:divBdr>
        </w:div>
        <w:div w:id="1623339630">
          <w:marLeft w:val="446"/>
          <w:marRight w:val="0"/>
          <w:marTop w:val="0"/>
          <w:marBottom w:val="0"/>
          <w:divBdr>
            <w:top w:val="none" w:sz="0" w:space="0" w:color="auto"/>
            <w:left w:val="none" w:sz="0" w:space="0" w:color="auto"/>
            <w:bottom w:val="none" w:sz="0" w:space="0" w:color="auto"/>
            <w:right w:val="none" w:sz="0" w:space="0" w:color="auto"/>
          </w:divBdr>
        </w:div>
        <w:div w:id="1730960938">
          <w:marLeft w:val="446"/>
          <w:marRight w:val="0"/>
          <w:marTop w:val="0"/>
          <w:marBottom w:val="0"/>
          <w:divBdr>
            <w:top w:val="none" w:sz="0" w:space="0" w:color="auto"/>
            <w:left w:val="none" w:sz="0" w:space="0" w:color="auto"/>
            <w:bottom w:val="none" w:sz="0" w:space="0" w:color="auto"/>
            <w:right w:val="none" w:sz="0" w:space="0" w:color="auto"/>
          </w:divBdr>
        </w:div>
        <w:div w:id="1829860243">
          <w:marLeft w:val="446"/>
          <w:marRight w:val="0"/>
          <w:marTop w:val="0"/>
          <w:marBottom w:val="0"/>
          <w:divBdr>
            <w:top w:val="none" w:sz="0" w:space="0" w:color="auto"/>
            <w:left w:val="none" w:sz="0" w:space="0" w:color="auto"/>
            <w:bottom w:val="none" w:sz="0" w:space="0" w:color="auto"/>
            <w:right w:val="none" w:sz="0" w:space="0" w:color="auto"/>
          </w:divBdr>
        </w:div>
        <w:div w:id="1889146071">
          <w:marLeft w:val="446"/>
          <w:marRight w:val="0"/>
          <w:marTop w:val="0"/>
          <w:marBottom w:val="0"/>
          <w:divBdr>
            <w:top w:val="none" w:sz="0" w:space="0" w:color="auto"/>
            <w:left w:val="none" w:sz="0" w:space="0" w:color="auto"/>
            <w:bottom w:val="none" w:sz="0" w:space="0" w:color="auto"/>
            <w:right w:val="none" w:sz="0" w:space="0" w:color="auto"/>
          </w:divBdr>
        </w:div>
      </w:divsChild>
    </w:div>
    <w:div w:id="1627346022">
      <w:bodyDiv w:val="1"/>
      <w:marLeft w:val="0"/>
      <w:marRight w:val="0"/>
      <w:marTop w:val="0"/>
      <w:marBottom w:val="0"/>
      <w:divBdr>
        <w:top w:val="none" w:sz="0" w:space="0" w:color="auto"/>
        <w:left w:val="none" w:sz="0" w:space="0" w:color="auto"/>
        <w:bottom w:val="none" w:sz="0" w:space="0" w:color="auto"/>
        <w:right w:val="none" w:sz="0" w:space="0" w:color="auto"/>
      </w:divBdr>
      <w:divsChild>
        <w:div w:id="898132023">
          <w:marLeft w:val="446"/>
          <w:marRight w:val="0"/>
          <w:marTop w:val="0"/>
          <w:marBottom w:val="0"/>
          <w:divBdr>
            <w:top w:val="none" w:sz="0" w:space="0" w:color="auto"/>
            <w:left w:val="none" w:sz="0" w:space="0" w:color="auto"/>
            <w:bottom w:val="none" w:sz="0" w:space="0" w:color="auto"/>
            <w:right w:val="none" w:sz="0" w:space="0" w:color="auto"/>
          </w:divBdr>
        </w:div>
        <w:div w:id="1217932073">
          <w:marLeft w:val="446"/>
          <w:marRight w:val="0"/>
          <w:marTop w:val="0"/>
          <w:marBottom w:val="0"/>
          <w:divBdr>
            <w:top w:val="none" w:sz="0" w:space="0" w:color="auto"/>
            <w:left w:val="none" w:sz="0" w:space="0" w:color="auto"/>
            <w:bottom w:val="none" w:sz="0" w:space="0" w:color="auto"/>
            <w:right w:val="none" w:sz="0" w:space="0" w:color="auto"/>
          </w:divBdr>
        </w:div>
        <w:div w:id="1983802154">
          <w:marLeft w:val="446"/>
          <w:marRight w:val="0"/>
          <w:marTop w:val="0"/>
          <w:marBottom w:val="0"/>
          <w:divBdr>
            <w:top w:val="none" w:sz="0" w:space="0" w:color="auto"/>
            <w:left w:val="none" w:sz="0" w:space="0" w:color="auto"/>
            <w:bottom w:val="none" w:sz="0" w:space="0" w:color="auto"/>
            <w:right w:val="none" w:sz="0" w:space="0" w:color="auto"/>
          </w:divBdr>
        </w:div>
        <w:div w:id="2002656704">
          <w:marLeft w:val="446"/>
          <w:marRight w:val="0"/>
          <w:marTop w:val="0"/>
          <w:marBottom w:val="0"/>
          <w:divBdr>
            <w:top w:val="none" w:sz="0" w:space="0" w:color="auto"/>
            <w:left w:val="none" w:sz="0" w:space="0" w:color="auto"/>
            <w:bottom w:val="none" w:sz="0" w:space="0" w:color="auto"/>
            <w:right w:val="none" w:sz="0" w:space="0" w:color="auto"/>
          </w:divBdr>
        </w:div>
      </w:divsChild>
    </w:div>
    <w:div w:id="1651598099">
      <w:bodyDiv w:val="1"/>
      <w:marLeft w:val="0"/>
      <w:marRight w:val="0"/>
      <w:marTop w:val="0"/>
      <w:marBottom w:val="0"/>
      <w:divBdr>
        <w:top w:val="none" w:sz="0" w:space="0" w:color="auto"/>
        <w:left w:val="none" w:sz="0" w:space="0" w:color="auto"/>
        <w:bottom w:val="none" w:sz="0" w:space="0" w:color="auto"/>
        <w:right w:val="none" w:sz="0" w:space="0" w:color="auto"/>
      </w:divBdr>
      <w:divsChild>
        <w:div w:id="249389284">
          <w:marLeft w:val="1166"/>
          <w:marRight w:val="0"/>
          <w:marTop w:val="67"/>
          <w:marBottom w:val="0"/>
          <w:divBdr>
            <w:top w:val="none" w:sz="0" w:space="0" w:color="auto"/>
            <w:left w:val="none" w:sz="0" w:space="0" w:color="auto"/>
            <w:bottom w:val="none" w:sz="0" w:space="0" w:color="auto"/>
            <w:right w:val="none" w:sz="0" w:space="0" w:color="auto"/>
          </w:divBdr>
        </w:div>
        <w:div w:id="284317966">
          <w:marLeft w:val="547"/>
          <w:marRight w:val="0"/>
          <w:marTop w:val="67"/>
          <w:marBottom w:val="0"/>
          <w:divBdr>
            <w:top w:val="none" w:sz="0" w:space="0" w:color="auto"/>
            <w:left w:val="none" w:sz="0" w:space="0" w:color="auto"/>
            <w:bottom w:val="none" w:sz="0" w:space="0" w:color="auto"/>
            <w:right w:val="none" w:sz="0" w:space="0" w:color="auto"/>
          </w:divBdr>
        </w:div>
        <w:div w:id="343367727">
          <w:marLeft w:val="547"/>
          <w:marRight w:val="0"/>
          <w:marTop w:val="67"/>
          <w:marBottom w:val="0"/>
          <w:divBdr>
            <w:top w:val="none" w:sz="0" w:space="0" w:color="auto"/>
            <w:left w:val="none" w:sz="0" w:space="0" w:color="auto"/>
            <w:bottom w:val="none" w:sz="0" w:space="0" w:color="auto"/>
            <w:right w:val="none" w:sz="0" w:space="0" w:color="auto"/>
          </w:divBdr>
        </w:div>
        <w:div w:id="346445064">
          <w:marLeft w:val="1166"/>
          <w:marRight w:val="0"/>
          <w:marTop w:val="67"/>
          <w:marBottom w:val="0"/>
          <w:divBdr>
            <w:top w:val="none" w:sz="0" w:space="0" w:color="auto"/>
            <w:left w:val="none" w:sz="0" w:space="0" w:color="auto"/>
            <w:bottom w:val="none" w:sz="0" w:space="0" w:color="auto"/>
            <w:right w:val="none" w:sz="0" w:space="0" w:color="auto"/>
          </w:divBdr>
        </w:div>
        <w:div w:id="367343733">
          <w:marLeft w:val="1166"/>
          <w:marRight w:val="0"/>
          <w:marTop w:val="67"/>
          <w:marBottom w:val="0"/>
          <w:divBdr>
            <w:top w:val="none" w:sz="0" w:space="0" w:color="auto"/>
            <w:left w:val="none" w:sz="0" w:space="0" w:color="auto"/>
            <w:bottom w:val="none" w:sz="0" w:space="0" w:color="auto"/>
            <w:right w:val="none" w:sz="0" w:space="0" w:color="auto"/>
          </w:divBdr>
        </w:div>
        <w:div w:id="631833439">
          <w:marLeft w:val="1166"/>
          <w:marRight w:val="0"/>
          <w:marTop w:val="67"/>
          <w:marBottom w:val="0"/>
          <w:divBdr>
            <w:top w:val="none" w:sz="0" w:space="0" w:color="auto"/>
            <w:left w:val="none" w:sz="0" w:space="0" w:color="auto"/>
            <w:bottom w:val="none" w:sz="0" w:space="0" w:color="auto"/>
            <w:right w:val="none" w:sz="0" w:space="0" w:color="auto"/>
          </w:divBdr>
        </w:div>
        <w:div w:id="710039677">
          <w:marLeft w:val="1166"/>
          <w:marRight w:val="0"/>
          <w:marTop w:val="67"/>
          <w:marBottom w:val="0"/>
          <w:divBdr>
            <w:top w:val="none" w:sz="0" w:space="0" w:color="auto"/>
            <w:left w:val="none" w:sz="0" w:space="0" w:color="auto"/>
            <w:bottom w:val="none" w:sz="0" w:space="0" w:color="auto"/>
            <w:right w:val="none" w:sz="0" w:space="0" w:color="auto"/>
          </w:divBdr>
        </w:div>
        <w:div w:id="786043538">
          <w:marLeft w:val="547"/>
          <w:marRight w:val="0"/>
          <w:marTop w:val="67"/>
          <w:marBottom w:val="0"/>
          <w:divBdr>
            <w:top w:val="none" w:sz="0" w:space="0" w:color="auto"/>
            <w:left w:val="none" w:sz="0" w:space="0" w:color="auto"/>
            <w:bottom w:val="none" w:sz="0" w:space="0" w:color="auto"/>
            <w:right w:val="none" w:sz="0" w:space="0" w:color="auto"/>
          </w:divBdr>
        </w:div>
        <w:div w:id="838081706">
          <w:marLeft w:val="1166"/>
          <w:marRight w:val="0"/>
          <w:marTop w:val="67"/>
          <w:marBottom w:val="0"/>
          <w:divBdr>
            <w:top w:val="none" w:sz="0" w:space="0" w:color="auto"/>
            <w:left w:val="none" w:sz="0" w:space="0" w:color="auto"/>
            <w:bottom w:val="none" w:sz="0" w:space="0" w:color="auto"/>
            <w:right w:val="none" w:sz="0" w:space="0" w:color="auto"/>
          </w:divBdr>
        </w:div>
        <w:div w:id="1307467296">
          <w:marLeft w:val="1166"/>
          <w:marRight w:val="0"/>
          <w:marTop w:val="67"/>
          <w:marBottom w:val="0"/>
          <w:divBdr>
            <w:top w:val="none" w:sz="0" w:space="0" w:color="auto"/>
            <w:left w:val="none" w:sz="0" w:space="0" w:color="auto"/>
            <w:bottom w:val="none" w:sz="0" w:space="0" w:color="auto"/>
            <w:right w:val="none" w:sz="0" w:space="0" w:color="auto"/>
          </w:divBdr>
        </w:div>
        <w:div w:id="1644115034">
          <w:marLeft w:val="1166"/>
          <w:marRight w:val="0"/>
          <w:marTop w:val="67"/>
          <w:marBottom w:val="0"/>
          <w:divBdr>
            <w:top w:val="none" w:sz="0" w:space="0" w:color="auto"/>
            <w:left w:val="none" w:sz="0" w:space="0" w:color="auto"/>
            <w:bottom w:val="none" w:sz="0" w:space="0" w:color="auto"/>
            <w:right w:val="none" w:sz="0" w:space="0" w:color="auto"/>
          </w:divBdr>
        </w:div>
        <w:div w:id="1668093162">
          <w:marLeft w:val="1166"/>
          <w:marRight w:val="0"/>
          <w:marTop w:val="67"/>
          <w:marBottom w:val="0"/>
          <w:divBdr>
            <w:top w:val="none" w:sz="0" w:space="0" w:color="auto"/>
            <w:left w:val="none" w:sz="0" w:space="0" w:color="auto"/>
            <w:bottom w:val="none" w:sz="0" w:space="0" w:color="auto"/>
            <w:right w:val="none" w:sz="0" w:space="0" w:color="auto"/>
          </w:divBdr>
        </w:div>
        <w:div w:id="1779375660">
          <w:marLeft w:val="1166"/>
          <w:marRight w:val="0"/>
          <w:marTop w:val="67"/>
          <w:marBottom w:val="0"/>
          <w:divBdr>
            <w:top w:val="none" w:sz="0" w:space="0" w:color="auto"/>
            <w:left w:val="none" w:sz="0" w:space="0" w:color="auto"/>
            <w:bottom w:val="none" w:sz="0" w:space="0" w:color="auto"/>
            <w:right w:val="none" w:sz="0" w:space="0" w:color="auto"/>
          </w:divBdr>
        </w:div>
        <w:div w:id="1847743474">
          <w:marLeft w:val="547"/>
          <w:marRight w:val="0"/>
          <w:marTop w:val="67"/>
          <w:marBottom w:val="0"/>
          <w:divBdr>
            <w:top w:val="none" w:sz="0" w:space="0" w:color="auto"/>
            <w:left w:val="none" w:sz="0" w:space="0" w:color="auto"/>
            <w:bottom w:val="none" w:sz="0" w:space="0" w:color="auto"/>
            <w:right w:val="none" w:sz="0" w:space="0" w:color="auto"/>
          </w:divBdr>
        </w:div>
        <w:div w:id="1852447567">
          <w:marLeft w:val="547"/>
          <w:marRight w:val="0"/>
          <w:marTop w:val="67"/>
          <w:marBottom w:val="0"/>
          <w:divBdr>
            <w:top w:val="none" w:sz="0" w:space="0" w:color="auto"/>
            <w:left w:val="none" w:sz="0" w:space="0" w:color="auto"/>
            <w:bottom w:val="none" w:sz="0" w:space="0" w:color="auto"/>
            <w:right w:val="none" w:sz="0" w:space="0" w:color="auto"/>
          </w:divBdr>
        </w:div>
        <w:div w:id="1864243394">
          <w:marLeft w:val="1166"/>
          <w:marRight w:val="0"/>
          <w:marTop w:val="67"/>
          <w:marBottom w:val="0"/>
          <w:divBdr>
            <w:top w:val="none" w:sz="0" w:space="0" w:color="auto"/>
            <w:left w:val="none" w:sz="0" w:space="0" w:color="auto"/>
            <w:bottom w:val="none" w:sz="0" w:space="0" w:color="auto"/>
            <w:right w:val="none" w:sz="0" w:space="0" w:color="auto"/>
          </w:divBdr>
        </w:div>
        <w:div w:id="1906405197">
          <w:marLeft w:val="1166"/>
          <w:marRight w:val="0"/>
          <w:marTop w:val="67"/>
          <w:marBottom w:val="0"/>
          <w:divBdr>
            <w:top w:val="none" w:sz="0" w:space="0" w:color="auto"/>
            <w:left w:val="none" w:sz="0" w:space="0" w:color="auto"/>
            <w:bottom w:val="none" w:sz="0" w:space="0" w:color="auto"/>
            <w:right w:val="none" w:sz="0" w:space="0" w:color="auto"/>
          </w:divBdr>
        </w:div>
        <w:div w:id="1988245673">
          <w:marLeft w:val="1166"/>
          <w:marRight w:val="0"/>
          <w:marTop w:val="67"/>
          <w:marBottom w:val="0"/>
          <w:divBdr>
            <w:top w:val="none" w:sz="0" w:space="0" w:color="auto"/>
            <w:left w:val="none" w:sz="0" w:space="0" w:color="auto"/>
            <w:bottom w:val="none" w:sz="0" w:space="0" w:color="auto"/>
            <w:right w:val="none" w:sz="0" w:space="0" w:color="auto"/>
          </w:divBdr>
        </w:div>
        <w:div w:id="2112771761">
          <w:marLeft w:val="1166"/>
          <w:marRight w:val="0"/>
          <w:marTop w:val="67"/>
          <w:marBottom w:val="0"/>
          <w:divBdr>
            <w:top w:val="none" w:sz="0" w:space="0" w:color="auto"/>
            <w:left w:val="none" w:sz="0" w:space="0" w:color="auto"/>
            <w:bottom w:val="none" w:sz="0" w:space="0" w:color="auto"/>
            <w:right w:val="none" w:sz="0" w:space="0" w:color="auto"/>
          </w:divBdr>
        </w:div>
        <w:div w:id="2145583599">
          <w:marLeft w:val="1166"/>
          <w:marRight w:val="0"/>
          <w:marTop w:val="67"/>
          <w:marBottom w:val="0"/>
          <w:divBdr>
            <w:top w:val="none" w:sz="0" w:space="0" w:color="auto"/>
            <w:left w:val="none" w:sz="0" w:space="0" w:color="auto"/>
            <w:bottom w:val="none" w:sz="0" w:space="0" w:color="auto"/>
            <w:right w:val="none" w:sz="0" w:space="0" w:color="auto"/>
          </w:divBdr>
        </w:div>
      </w:divsChild>
    </w:div>
    <w:div w:id="1678387384">
      <w:bodyDiv w:val="1"/>
      <w:marLeft w:val="0"/>
      <w:marRight w:val="0"/>
      <w:marTop w:val="0"/>
      <w:marBottom w:val="0"/>
      <w:divBdr>
        <w:top w:val="none" w:sz="0" w:space="0" w:color="auto"/>
        <w:left w:val="none" w:sz="0" w:space="0" w:color="auto"/>
        <w:bottom w:val="none" w:sz="0" w:space="0" w:color="auto"/>
        <w:right w:val="none" w:sz="0" w:space="0" w:color="auto"/>
      </w:divBdr>
    </w:div>
    <w:div w:id="1691492124">
      <w:bodyDiv w:val="1"/>
      <w:marLeft w:val="0"/>
      <w:marRight w:val="0"/>
      <w:marTop w:val="0"/>
      <w:marBottom w:val="0"/>
      <w:divBdr>
        <w:top w:val="none" w:sz="0" w:space="0" w:color="auto"/>
        <w:left w:val="none" w:sz="0" w:space="0" w:color="auto"/>
        <w:bottom w:val="none" w:sz="0" w:space="0" w:color="auto"/>
        <w:right w:val="none" w:sz="0" w:space="0" w:color="auto"/>
      </w:divBdr>
      <w:divsChild>
        <w:div w:id="1908370706">
          <w:marLeft w:val="547"/>
          <w:marRight w:val="0"/>
          <w:marTop w:val="0"/>
          <w:marBottom w:val="0"/>
          <w:divBdr>
            <w:top w:val="none" w:sz="0" w:space="0" w:color="auto"/>
            <w:left w:val="none" w:sz="0" w:space="0" w:color="auto"/>
            <w:bottom w:val="none" w:sz="0" w:space="0" w:color="auto"/>
            <w:right w:val="none" w:sz="0" w:space="0" w:color="auto"/>
          </w:divBdr>
        </w:div>
      </w:divsChild>
    </w:div>
    <w:div w:id="1724600497">
      <w:bodyDiv w:val="1"/>
      <w:marLeft w:val="0"/>
      <w:marRight w:val="0"/>
      <w:marTop w:val="0"/>
      <w:marBottom w:val="0"/>
      <w:divBdr>
        <w:top w:val="none" w:sz="0" w:space="0" w:color="auto"/>
        <w:left w:val="none" w:sz="0" w:space="0" w:color="auto"/>
        <w:bottom w:val="none" w:sz="0" w:space="0" w:color="auto"/>
        <w:right w:val="none" w:sz="0" w:space="0" w:color="auto"/>
      </w:divBdr>
      <w:divsChild>
        <w:div w:id="2095085342">
          <w:marLeft w:val="547"/>
          <w:marRight w:val="0"/>
          <w:marTop w:val="0"/>
          <w:marBottom w:val="0"/>
          <w:divBdr>
            <w:top w:val="none" w:sz="0" w:space="0" w:color="auto"/>
            <w:left w:val="none" w:sz="0" w:space="0" w:color="auto"/>
            <w:bottom w:val="none" w:sz="0" w:space="0" w:color="auto"/>
            <w:right w:val="none" w:sz="0" w:space="0" w:color="auto"/>
          </w:divBdr>
        </w:div>
      </w:divsChild>
    </w:div>
    <w:div w:id="1757049248">
      <w:bodyDiv w:val="1"/>
      <w:marLeft w:val="0"/>
      <w:marRight w:val="0"/>
      <w:marTop w:val="0"/>
      <w:marBottom w:val="0"/>
      <w:divBdr>
        <w:top w:val="none" w:sz="0" w:space="0" w:color="auto"/>
        <w:left w:val="none" w:sz="0" w:space="0" w:color="auto"/>
        <w:bottom w:val="none" w:sz="0" w:space="0" w:color="auto"/>
        <w:right w:val="none" w:sz="0" w:space="0" w:color="auto"/>
      </w:divBdr>
      <w:divsChild>
        <w:div w:id="1670256507">
          <w:marLeft w:val="547"/>
          <w:marRight w:val="0"/>
          <w:marTop w:val="0"/>
          <w:marBottom w:val="0"/>
          <w:divBdr>
            <w:top w:val="none" w:sz="0" w:space="0" w:color="auto"/>
            <w:left w:val="none" w:sz="0" w:space="0" w:color="auto"/>
            <w:bottom w:val="none" w:sz="0" w:space="0" w:color="auto"/>
            <w:right w:val="none" w:sz="0" w:space="0" w:color="auto"/>
          </w:divBdr>
        </w:div>
      </w:divsChild>
    </w:div>
    <w:div w:id="1792476239">
      <w:bodyDiv w:val="1"/>
      <w:marLeft w:val="0"/>
      <w:marRight w:val="0"/>
      <w:marTop w:val="0"/>
      <w:marBottom w:val="0"/>
      <w:divBdr>
        <w:top w:val="none" w:sz="0" w:space="0" w:color="auto"/>
        <w:left w:val="none" w:sz="0" w:space="0" w:color="auto"/>
        <w:bottom w:val="none" w:sz="0" w:space="0" w:color="auto"/>
        <w:right w:val="none" w:sz="0" w:space="0" w:color="auto"/>
      </w:divBdr>
    </w:div>
    <w:div w:id="1834565934">
      <w:bodyDiv w:val="1"/>
      <w:marLeft w:val="0"/>
      <w:marRight w:val="0"/>
      <w:marTop w:val="0"/>
      <w:marBottom w:val="0"/>
      <w:divBdr>
        <w:top w:val="none" w:sz="0" w:space="0" w:color="auto"/>
        <w:left w:val="none" w:sz="0" w:space="0" w:color="auto"/>
        <w:bottom w:val="none" w:sz="0" w:space="0" w:color="auto"/>
        <w:right w:val="none" w:sz="0" w:space="0" w:color="auto"/>
      </w:divBdr>
      <w:divsChild>
        <w:div w:id="390158825">
          <w:marLeft w:val="547"/>
          <w:marRight w:val="0"/>
          <w:marTop w:val="0"/>
          <w:marBottom w:val="0"/>
          <w:divBdr>
            <w:top w:val="none" w:sz="0" w:space="0" w:color="auto"/>
            <w:left w:val="none" w:sz="0" w:space="0" w:color="auto"/>
            <w:bottom w:val="none" w:sz="0" w:space="0" w:color="auto"/>
            <w:right w:val="none" w:sz="0" w:space="0" w:color="auto"/>
          </w:divBdr>
        </w:div>
      </w:divsChild>
    </w:div>
    <w:div w:id="1924101281">
      <w:bodyDiv w:val="1"/>
      <w:marLeft w:val="0"/>
      <w:marRight w:val="0"/>
      <w:marTop w:val="0"/>
      <w:marBottom w:val="0"/>
      <w:divBdr>
        <w:top w:val="none" w:sz="0" w:space="0" w:color="auto"/>
        <w:left w:val="none" w:sz="0" w:space="0" w:color="auto"/>
        <w:bottom w:val="none" w:sz="0" w:space="0" w:color="auto"/>
        <w:right w:val="none" w:sz="0" w:space="0" w:color="auto"/>
      </w:divBdr>
    </w:div>
    <w:div w:id="1955407667">
      <w:bodyDiv w:val="1"/>
      <w:marLeft w:val="0"/>
      <w:marRight w:val="0"/>
      <w:marTop w:val="0"/>
      <w:marBottom w:val="0"/>
      <w:divBdr>
        <w:top w:val="none" w:sz="0" w:space="0" w:color="auto"/>
        <w:left w:val="none" w:sz="0" w:space="0" w:color="auto"/>
        <w:bottom w:val="none" w:sz="0" w:space="0" w:color="auto"/>
        <w:right w:val="none" w:sz="0" w:space="0" w:color="auto"/>
      </w:divBdr>
    </w:div>
    <w:div w:id="2012751930">
      <w:bodyDiv w:val="1"/>
      <w:marLeft w:val="0"/>
      <w:marRight w:val="0"/>
      <w:marTop w:val="0"/>
      <w:marBottom w:val="0"/>
      <w:divBdr>
        <w:top w:val="none" w:sz="0" w:space="0" w:color="auto"/>
        <w:left w:val="none" w:sz="0" w:space="0" w:color="auto"/>
        <w:bottom w:val="none" w:sz="0" w:space="0" w:color="auto"/>
        <w:right w:val="none" w:sz="0" w:space="0" w:color="auto"/>
      </w:divBdr>
    </w:div>
    <w:div w:id="2057653625">
      <w:bodyDiv w:val="1"/>
      <w:marLeft w:val="0"/>
      <w:marRight w:val="0"/>
      <w:marTop w:val="0"/>
      <w:marBottom w:val="0"/>
      <w:divBdr>
        <w:top w:val="none" w:sz="0" w:space="0" w:color="auto"/>
        <w:left w:val="none" w:sz="0" w:space="0" w:color="auto"/>
        <w:bottom w:val="none" w:sz="0" w:space="0" w:color="auto"/>
        <w:right w:val="none" w:sz="0" w:space="0" w:color="auto"/>
      </w:divBdr>
    </w:div>
    <w:div w:id="2066755298">
      <w:bodyDiv w:val="1"/>
      <w:marLeft w:val="0"/>
      <w:marRight w:val="0"/>
      <w:marTop w:val="0"/>
      <w:marBottom w:val="0"/>
      <w:divBdr>
        <w:top w:val="none" w:sz="0" w:space="0" w:color="auto"/>
        <w:left w:val="none" w:sz="0" w:space="0" w:color="auto"/>
        <w:bottom w:val="none" w:sz="0" w:space="0" w:color="auto"/>
        <w:right w:val="none" w:sz="0" w:space="0" w:color="auto"/>
      </w:divBdr>
    </w:div>
    <w:div w:id="2132743099">
      <w:bodyDiv w:val="1"/>
      <w:marLeft w:val="0"/>
      <w:marRight w:val="0"/>
      <w:marTop w:val="0"/>
      <w:marBottom w:val="0"/>
      <w:divBdr>
        <w:top w:val="none" w:sz="0" w:space="0" w:color="auto"/>
        <w:left w:val="none" w:sz="0" w:space="0" w:color="auto"/>
        <w:bottom w:val="none" w:sz="0" w:space="0" w:color="auto"/>
        <w:right w:val="none" w:sz="0" w:space="0" w:color="auto"/>
      </w:divBdr>
      <w:divsChild>
        <w:div w:id="49811222">
          <w:marLeft w:val="547"/>
          <w:marRight w:val="0"/>
          <w:marTop w:val="67"/>
          <w:marBottom w:val="0"/>
          <w:divBdr>
            <w:top w:val="none" w:sz="0" w:space="0" w:color="auto"/>
            <w:left w:val="none" w:sz="0" w:space="0" w:color="auto"/>
            <w:bottom w:val="none" w:sz="0" w:space="0" w:color="auto"/>
            <w:right w:val="none" w:sz="0" w:space="0" w:color="auto"/>
          </w:divBdr>
        </w:div>
        <w:div w:id="866680442">
          <w:marLeft w:val="547"/>
          <w:marRight w:val="0"/>
          <w:marTop w:val="67"/>
          <w:marBottom w:val="0"/>
          <w:divBdr>
            <w:top w:val="none" w:sz="0" w:space="0" w:color="auto"/>
            <w:left w:val="none" w:sz="0" w:space="0" w:color="auto"/>
            <w:bottom w:val="none" w:sz="0" w:space="0" w:color="auto"/>
            <w:right w:val="none" w:sz="0" w:space="0" w:color="auto"/>
          </w:divBdr>
        </w:div>
        <w:div w:id="934246680">
          <w:marLeft w:val="1166"/>
          <w:marRight w:val="0"/>
          <w:marTop w:val="67"/>
          <w:marBottom w:val="0"/>
          <w:divBdr>
            <w:top w:val="none" w:sz="0" w:space="0" w:color="auto"/>
            <w:left w:val="none" w:sz="0" w:space="0" w:color="auto"/>
            <w:bottom w:val="none" w:sz="0" w:space="0" w:color="auto"/>
            <w:right w:val="none" w:sz="0" w:space="0" w:color="auto"/>
          </w:divBdr>
        </w:div>
        <w:div w:id="1180781658">
          <w:marLeft w:val="547"/>
          <w:marRight w:val="0"/>
          <w:marTop w:val="67"/>
          <w:marBottom w:val="0"/>
          <w:divBdr>
            <w:top w:val="none" w:sz="0" w:space="0" w:color="auto"/>
            <w:left w:val="none" w:sz="0" w:space="0" w:color="auto"/>
            <w:bottom w:val="none" w:sz="0" w:space="0" w:color="auto"/>
            <w:right w:val="none" w:sz="0" w:space="0" w:color="auto"/>
          </w:divBdr>
        </w:div>
        <w:div w:id="1807814293">
          <w:marLeft w:val="1166"/>
          <w:marRight w:val="0"/>
          <w:marTop w:val="67"/>
          <w:marBottom w:val="0"/>
          <w:divBdr>
            <w:top w:val="none" w:sz="0" w:space="0" w:color="auto"/>
            <w:left w:val="none" w:sz="0" w:space="0" w:color="auto"/>
            <w:bottom w:val="none" w:sz="0" w:space="0" w:color="auto"/>
            <w:right w:val="none" w:sz="0" w:space="0" w:color="auto"/>
          </w:divBdr>
        </w:div>
        <w:div w:id="1896231126">
          <w:marLeft w:val="1166"/>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5D7A-90D1-4C23-B815-34F8AF71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Ian (RPC)</dc:creator>
  <cp:lastModifiedBy>Balawejder Filip (Regulatory Policy Committee)</cp:lastModifiedBy>
  <cp:revision>3</cp:revision>
  <cp:lastPrinted>2016-08-03T09:26:00Z</cp:lastPrinted>
  <dcterms:created xsi:type="dcterms:W3CDTF">2017-03-08T13:06:00Z</dcterms:created>
  <dcterms:modified xsi:type="dcterms:W3CDTF">2017-03-09T12:11:00Z</dcterms:modified>
</cp:coreProperties>
</file>