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3A" w:rsidRPr="001B113A" w:rsidRDefault="0026350A" w:rsidP="001B113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Request for confirmation</w:t>
      </w:r>
      <w:r w:rsidR="00114CEC" w:rsidRPr="001B113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of status for small non-qualifying p</w:t>
      </w:r>
      <w:r w:rsidR="00114CEC" w:rsidRPr="001B113A">
        <w:rPr>
          <w:rFonts w:ascii="Arial" w:eastAsia="Times New Roman" w:hAnsi="Arial" w:cs="Arial"/>
          <w:b/>
          <w:spacing w:val="-7"/>
          <w:sz w:val="24"/>
          <w:szCs w:val="24"/>
          <w:lang w:eastAsia="en-GB"/>
        </w:rPr>
        <w:t>r</w:t>
      </w:r>
      <w:r w:rsidR="00114CEC" w:rsidRPr="001B113A">
        <w:rPr>
          <w:rFonts w:ascii="Arial" w:eastAsia="Times New Roman" w:hAnsi="Arial" w:cs="Arial"/>
          <w:b/>
          <w:sz w:val="24"/>
          <w:szCs w:val="24"/>
          <w:lang w:eastAsia="en-GB"/>
        </w:rPr>
        <w:t>oposal</w:t>
      </w:r>
      <w:r w:rsidR="00CA7D05">
        <w:rPr>
          <w:rFonts w:ascii="Arial" w:eastAsia="Times New Roman" w:hAnsi="Arial" w:cs="Arial"/>
          <w:b/>
          <w:sz w:val="24"/>
          <w:szCs w:val="24"/>
          <w:lang w:eastAsia="en-GB"/>
        </w:rPr>
        <w:t>(s)</w:t>
      </w:r>
      <w:r w:rsidR="00114CEC" w:rsidRPr="001B113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114CEC" w:rsidRPr="001B113A" w:rsidRDefault="00114CEC" w:rsidP="001B113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1B113A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Pr="001B113A">
        <w:rPr>
          <w:rFonts w:ascii="Arial" w:eastAsia="Times New Roman" w:hAnsi="Arial" w:cs="Arial"/>
          <w:sz w:val="24"/>
          <w:szCs w:val="24"/>
          <w:lang w:eastAsia="en-GB"/>
        </w:rPr>
        <w:t>proposals</w:t>
      </w:r>
      <w:proofErr w:type="gramEnd"/>
      <w:r w:rsidRPr="001B113A">
        <w:rPr>
          <w:rFonts w:ascii="Arial" w:eastAsia="Times New Roman" w:hAnsi="Arial" w:cs="Arial"/>
          <w:sz w:val="24"/>
          <w:szCs w:val="24"/>
          <w:lang w:eastAsia="en-GB"/>
        </w:rPr>
        <w:t xml:space="preserve"> with costs li</w:t>
      </w:r>
      <w:r w:rsidRPr="001B113A">
        <w:rPr>
          <w:rFonts w:ascii="Arial" w:eastAsia="Times New Roman" w:hAnsi="Arial" w:cs="Arial"/>
          <w:spacing w:val="-7"/>
          <w:sz w:val="24"/>
          <w:szCs w:val="24"/>
          <w:lang w:eastAsia="en-GB"/>
        </w:rPr>
        <w:t>k</w:t>
      </w:r>
      <w:r w:rsidRPr="001B113A">
        <w:rPr>
          <w:rFonts w:ascii="Arial" w:eastAsia="Times New Roman" w:hAnsi="Arial" w:cs="Arial"/>
          <w:sz w:val="24"/>
          <w:szCs w:val="24"/>
          <w:lang w:eastAsia="en-GB"/>
        </w:rPr>
        <w:t>ely to be under</w:t>
      </w:r>
      <w:r w:rsidRPr="001B113A">
        <w:rPr>
          <w:rFonts w:ascii="Arial" w:eastAsia="Times New Roman" w:hAnsi="Arial" w:cs="Arial"/>
          <w:spacing w:val="-1"/>
          <w:sz w:val="24"/>
          <w:szCs w:val="24"/>
          <w:lang w:eastAsia="en-GB"/>
        </w:rPr>
        <w:t xml:space="preserve"> £1 million)</w:t>
      </w:r>
    </w:p>
    <w:p w:rsidR="00E26432" w:rsidRPr="001B113A" w:rsidRDefault="00E26432" w:rsidP="00114CEC">
      <w:pPr>
        <w:jc w:val="center"/>
        <w:rPr>
          <w:rFonts w:ascii="Arial" w:eastAsia="Times New Roman" w:hAnsi="Arial" w:cs="Arial"/>
          <w:spacing w:val="-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E26432" w:rsidTr="00287EBB">
        <w:tc>
          <w:tcPr>
            <w:tcW w:w="3794" w:type="dxa"/>
          </w:tcPr>
          <w:p w:rsidR="00E26432" w:rsidRDefault="00192CBA" w:rsidP="00192CB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Title of</w:t>
            </w:r>
            <w:r w:rsidR="00E264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proposal</w:t>
            </w:r>
            <w:r w:rsidR="00CA7D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(s)</w:t>
            </w:r>
          </w:p>
        </w:tc>
        <w:tc>
          <w:tcPr>
            <w:tcW w:w="5448" w:type="dxa"/>
          </w:tcPr>
          <w:p w:rsidR="00E26432" w:rsidRDefault="00E26432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26432" w:rsidTr="00287EBB">
        <w:tc>
          <w:tcPr>
            <w:tcW w:w="3794" w:type="dxa"/>
          </w:tcPr>
          <w:p w:rsidR="00E26432" w:rsidRDefault="00E26432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Department</w:t>
            </w:r>
          </w:p>
        </w:tc>
        <w:tc>
          <w:tcPr>
            <w:tcW w:w="5448" w:type="dxa"/>
          </w:tcPr>
          <w:p w:rsidR="00E26432" w:rsidRDefault="00E26432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26432" w:rsidTr="00287EBB">
        <w:tc>
          <w:tcPr>
            <w:tcW w:w="3794" w:type="dxa"/>
          </w:tcPr>
          <w:p w:rsidR="00E26432" w:rsidRDefault="00E26432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Expected date</w:t>
            </w:r>
            <w:r w:rsidR="00CA7D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(s)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implementation</w:t>
            </w:r>
          </w:p>
        </w:tc>
        <w:tc>
          <w:tcPr>
            <w:tcW w:w="5448" w:type="dxa"/>
          </w:tcPr>
          <w:p w:rsidR="00E26432" w:rsidRDefault="00E26432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26432" w:rsidTr="00287EBB">
        <w:tc>
          <w:tcPr>
            <w:tcW w:w="3794" w:type="dxa"/>
          </w:tcPr>
          <w:p w:rsidR="00E26432" w:rsidRDefault="00192CBA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Justification of non-qualifying status (which exemption</w:t>
            </w:r>
            <w:r w:rsidR="00CA7D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(s)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448" w:type="dxa"/>
          </w:tcPr>
          <w:p w:rsidR="00E26432" w:rsidRDefault="00E26432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26432" w:rsidTr="00287EBB">
        <w:tc>
          <w:tcPr>
            <w:tcW w:w="3794" w:type="dxa"/>
          </w:tcPr>
          <w:p w:rsidR="00E26432" w:rsidRDefault="001B113A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 departmental contact (email address)</w:t>
            </w:r>
          </w:p>
        </w:tc>
        <w:tc>
          <w:tcPr>
            <w:tcW w:w="5448" w:type="dxa"/>
          </w:tcPr>
          <w:p w:rsidR="00E26432" w:rsidRDefault="00E26432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E26432" w:rsidRDefault="00E26432" w:rsidP="00E2643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9D6B0E" w:rsidRDefault="009D6B0E" w:rsidP="0046755F">
      <w:pP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Description of the proposal</w:t>
      </w:r>
      <w:r w:rsidR="00DF1609">
        <w:rPr>
          <w:rFonts w:ascii="Arial" w:eastAsia="Times New Roman" w:hAnsi="Arial" w:cs="Arial"/>
          <w:b/>
          <w:sz w:val="24"/>
          <w:szCs w:val="24"/>
          <w:lang w:eastAsia="en-GB"/>
        </w:rPr>
        <w:t>(s)</w:t>
      </w:r>
      <w:r w:rsidR="0026350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expected scale of impacts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D6B0E" w:rsidTr="009D6B0E">
        <w:tc>
          <w:tcPr>
            <w:tcW w:w="9242" w:type="dxa"/>
          </w:tcPr>
          <w:p w:rsidR="009D6B0E" w:rsidRDefault="009D6B0E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95DE6" w:rsidRPr="00A95DE6" w:rsidRDefault="00A95DE6" w:rsidP="00E26432">
            <w:pP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[A brief description of the proposal </w:t>
            </w:r>
            <w:r w:rsidR="0026350A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including consideration of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–</w:t>
            </w:r>
            <w:r w:rsidR="00A8292C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what will businesses and civil society organisations need to do differentl</w:t>
            </w:r>
            <w:bookmarkStart w:id="0" w:name="_GoBack"/>
            <w:bookmarkEnd w:id="0"/>
            <w:r w:rsidR="00A8292C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y? What is the likely scale of the impacts? This does not need to be monetised beyond providing sufficient evidence that the gross costs are likely to be below £1 million.]</w:t>
            </w:r>
          </w:p>
          <w:p w:rsidR="00A95DE6" w:rsidRDefault="00A95DE6" w:rsidP="00E264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D6B0E" w:rsidRDefault="009D6B0E" w:rsidP="004675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219F4" w:rsidRDefault="007219F4" w:rsidP="007219F4">
      <w:pPr>
        <w:spacing w:after="0"/>
        <w:rPr>
          <w:rFonts w:ascii="Arial" w:hAnsi="Arial" w:cs="Arial"/>
          <w:b/>
          <w:sz w:val="24"/>
          <w:szCs w:val="24"/>
        </w:rPr>
      </w:pPr>
    </w:p>
    <w:p w:rsidR="007219F4" w:rsidRDefault="007219F4" w:rsidP="007219F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Justification of non-qualifying regulatory provision</w:t>
      </w:r>
      <w:r w:rsidR="00DF1609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19F4" w:rsidTr="007219F4">
        <w:tc>
          <w:tcPr>
            <w:tcW w:w="9242" w:type="dxa"/>
          </w:tcPr>
          <w:p w:rsidR="007219F4" w:rsidRDefault="007219F4" w:rsidP="007219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2010" w:rsidRPr="00BB2010" w:rsidRDefault="00BB2010" w:rsidP="007219F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2010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1E2B81">
              <w:rPr>
                <w:rFonts w:ascii="Arial" w:hAnsi="Arial" w:cs="Arial"/>
                <w:i/>
                <w:sz w:val="24"/>
                <w:szCs w:val="24"/>
              </w:rPr>
              <w:t xml:space="preserve">The justification will need to specify for each proposal the specific exemption being claimed and </w:t>
            </w:r>
            <w:r w:rsidR="0026350A">
              <w:rPr>
                <w:rFonts w:ascii="Arial" w:hAnsi="Arial" w:cs="Arial"/>
                <w:i/>
                <w:sz w:val="24"/>
                <w:szCs w:val="24"/>
              </w:rPr>
              <w:t>demonstrate</w:t>
            </w:r>
            <w:r w:rsidR="001E2B81">
              <w:rPr>
                <w:rFonts w:ascii="Arial" w:hAnsi="Arial" w:cs="Arial"/>
                <w:i/>
                <w:sz w:val="24"/>
                <w:szCs w:val="24"/>
              </w:rPr>
              <w:t xml:space="preserve"> that no element </w:t>
            </w:r>
            <w:r w:rsidR="00495E65">
              <w:rPr>
                <w:rFonts w:ascii="Arial" w:hAnsi="Arial" w:cs="Arial"/>
                <w:i/>
                <w:sz w:val="24"/>
                <w:szCs w:val="24"/>
              </w:rPr>
              <w:t xml:space="preserve">of the proposal </w:t>
            </w:r>
            <w:r w:rsidR="001E2B81">
              <w:rPr>
                <w:rFonts w:ascii="Arial" w:hAnsi="Arial" w:cs="Arial"/>
                <w:i/>
                <w:sz w:val="24"/>
                <w:szCs w:val="24"/>
              </w:rPr>
              <w:t xml:space="preserve">goes </w:t>
            </w:r>
            <w:r w:rsidR="00495E65">
              <w:rPr>
                <w:rFonts w:ascii="Arial" w:hAnsi="Arial" w:cs="Arial"/>
                <w:i/>
                <w:sz w:val="24"/>
                <w:szCs w:val="24"/>
              </w:rPr>
              <w:t xml:space="preserve">beyond the </w:t>
            </w:r>
            <w:r w:rsidR="001E2B81">
              <w:rPr>
                <w:rFonts w:ascii="Arial" w:hAnsi="Arial" w:cs="Arial"/>
                <w:i/>
                <w:sz w:val="24"/>
                <w:szCs w:val="24"/>
              </w:rPr>
              <w:t xml:space="preserve">scope of the </w:t>
            </w:r>
            <w:r w:rsidR="00495E65">
              <w:rPr>
                <w:rFonts w:ascii="Arial" w:hAnsi="Arial" w:cs="Arial"/>
                <w:i/>
                <w:sz w:val="24"/>
                <w:szCs w:val="24"/>
              </w:rPr>
              <w:t>exemption (for example gold-plating of EU measures). The amount of information required will be relative to the complexity of the proposal.</w:t>
            </w:r>
            <w:r w:rsidR="0067774A">
              <w:rPr>
                <w:rFonts w:ascii="Arial" w:hAnsi="Arial" w:cs="Arial"/>
                <w:i/>
                <w:sz w:val="24"/>
                <w:szCs w:val="24"/>
              </w:rPr>
              <w:t xml:space="preserve"> The list of exemptions can be found here </w:t>
            </w:r>
            <w:hyperlink r:id="rId8" w:history="1">
              <w:r w:rsidR="004C5B2A" w:rsidRPr="002C1D6B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http://www.parliament.uk/business/publications/written-questions-answers-statements/written-statement/Commons/2016-03-03/HCWS574/</w:t>
              </w:r>
            </w:hyperlink>
            <w:r w:rsidR="004C5B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C5B2A" w:rsidRPr="004C5B2A">
              <w:rPr>
                <w:rFonts w:ascii="Arial" w:hAnsi="Arial" w:cs="Arial"/>
                <w:i/>
                <w:sz w:val="24"/>
                <w:szCs w:val="24"/>
              </w:rPr>
              <w:t>More information can be found in the Better Regulation Framework Manual.</w:t>
            </w:r>
            <w:r w:rsidR="004C5B2A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BB2010" w:rsidRDefault="00BB2010" w:rsidP="007219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19F4" w:rsidRPr="007219F4" w:rsidRDefault="007219F4" w:rsidP="007219F4">
      <w:pPr>
        <w:spacing w:after="0"/>
        <w:rPr>
          <w:rFonts w:ascii="Arial" w:hAnsi="Arial" w:cs="Arial"/>
          <w:b/>
          <w:sz w:val="24"/>
          <w:szCs w:val="24"/>
        </w:rPr>
      </w:pPr>
    </w:p>
    <w:sectPr w:rsidR="007219F4" w:rsidRPr="007219F4" w:rsidSect="00410D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5D" w:rsidRDefault="00824C5D" w:rsidP="00495E65">
      <w:pPr>
        <w:spacing w:after="0" w:line="240" w:lineRule="auto"/>
      </w:pPr>
      <w:r>
        <w:separator/>
      </w:r>
    </w:p>
  </w:endnote>
  <w:endnote w:type="continuationSeparator" w:id="0">
    <w:p w:rsidR="00824C5D" w:rsidRDefault="00824C5D" w:rsidP="0049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5D" w:rsidRDefault="00824C5D" w:rsidP="00495E65">
      <w:pPr>
        <w:spacing w:after="0" w:line="240" w:lineRule="auto"/>
      </w:pPr>
      <w:r>
        <w:separator/>
      </w:r>
    </w:p>
  </w:footnote>
  <w:footnote w:type="continuationSeparator" w:id="0">
    <w:p w:rsidR="00824C5D" w:rsidRDefault="00824C5D" w:rsidP="0049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0C" w:rsidRDefault="00495E65" w:rsidP="00495E65">
    <w:pPr>
      <w:pStyle w:val="Header"/>
      <w:jc w:val="center"/>
      <w:rPr>
        <w:rFonts w:ascii="Arial" w:hAnsi="Arial" w:cs="Arial"/>
        <w:sz w:val="16"/>
        <w:szCs w:val="16"/>
      </w:rPr>
    </w:pPr>
    <w:r w:rsidRPr="00495E65">
      <w:rPr>
        <w:rFonts w:ascii="Arial" w:hAnsi="Arial" w:cs="Arial"/>
        <w:sz w:val="16"/>
        <w:szCs w:val="16"/>
      </w:rPr>
      <w:t xml:space="preserve">TEMPLATE </w:t>
    </w:r>
  </w:p>
  <w:p w:rsidR="00495E65" w:rsidRDefault="0061670C" w:rsidP="00495E65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495E65" w:rsidRPr="00495E65">
      <w:rPr>
        <w:rFonts w:ascii="Arial" w:hAnsi="Arial" w:cs="Arial"/>
        <w:sz w:val="16"/>
        <w:szCs w:val="16"/>
      </w:rPr>
      <w:t>or non-qualifying regulatory provisions that are in scope of RRC clearance and certified as eligible for the fast track by departments</w:t>
    </w:r>
    <w:r>
      <w:rPr>
        <w:rFonts w:ascii="Arial" w:hAnsi="Arial" w:cs="Arial"/>
        <w:sz w:val="16"/>
        <w:szCs w:val="16"/>
      </w:rPr>
      <w:t xml:space="preserve"> (low-cost regulation – under £1 million </w:t>
    </w:r>
    <w:r w:rsidR="00023DA5">
      <w:rPr>
        <w:rFonts w:ascii="Arial" w:hAnsi="Arial" w:cs="Arial"/>
        <w:sz w:val="16"/>
        <w:szCs w:val="16"/>
      </w:rPr>
      <w:t>gross costs in every year)</w:t>
    </w:r>
  </w:p>
  <w:p w:rsidR="00664DC3" w:rsidRDefault="00664DC3" w:rsidP="00664DC3">
    <w:pPr>
      <w:pStyle w:val="Header"/>
      <w:jc w:val="center"/>
      <w:rPr>
        <w:rFonts w:ascii="Arial" w:hAnsi="Arial" w:cs="Arial"/>
        <w:sz w:val="16"/>
        <w:szCs w:val="16"/>
      </w:rPr>
    </w:pPr>
  </w:p>
  <w:p w:rsidR="00664DC3" w:rsidRDefault="00664DC3" w:rsidP="00664DC3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To be submitted to the RPC at the same time as, or before, seeking final stage policy clearance. The RPC will only need to see these cases once – Departments are able to seek confirmation of non-qualifying status earlier in the process if preferred.</w:t>
    </w:r>
  </w:p>
  <w:p w:rsidR="00664DC3" w:rsidRPr="00495E65" w:rsidRDefault="00664DC3" w:rsidP="00664DC3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266"/>
    <w:multiLevelType w:val="hybridMultilevel"/>
    <w:tmpl w:val="15F4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EC"/>
    <w:rsid w:val="00023DA5"/>
    <w:rsid w:val="000A3844"/>
    <w:rsid w:val="00114CEC"/>
    <w:rsid w:val="00192CBA"/>
    <w:rsid w:val="001B113A"/>
    <w:rsid w:val="001B524F"/>
    <w:rsid w:val="001E2B81"/>
    <w:rsid w:val="0026350A"/>
    <w:rsid w:val="00277F7E"/>
    <w:rsid w:val="00287EBB"/>
    <w:rsid w:val="003B193A"/>
    <w:rsid w:val="00410D0D"/>
    <w:rsid w:val="00444591"/>
    <w:rsid w:val="0046755F"/>
    <w:rsid w:val="00495E65"/>
    <w:rsid w:val="004C5B2A"/>
    <w:rsid w:val="005F3571"/>
    <w:rsid w:val="0061670C"/>
    <w:rsid w:val="00664DC3"/>
    <w:rsid w:val="0067774A"/>
    <w:rsid w:val="007219F4"/>
    <w:rsid w:val="008019A2"/>
    <w:rsid w:val="00824C5D"/>
    <w:rsid w:val="00861B0F"/>
    <w:rsid w:val="008A77B7"/>
    <w:rsid w:val="009D6B0E"/>
    <w:rsid w:val="00A8292C"/>
    <w:rsid w:val="00A95DE6"/>
    <w:rsid w:val="00B47A05"/>
    <w:rsid w:val="00BA7030"/>
    <w:rsid w:val="00BB2010"/>
    <w:rsid w:val="00C347CA"/>
    <w:rsid w:val="00CA7D05"/>
    <w:rsid w:val="00CB30CC"/>
    <w:rsid w:val="00DF1609"/>
    <w:rsid w:val="00E12358"/>
    <w:rsid w:val="00E26432"/>
    <w:rsid w:val="00E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EC"/>
    <w:rPr>
      <w:rFonts w:ascii="Tahoma" w:hAnsi="Tahoma" w:cs="Tahoma"/>
      <w:sz w:val="16"/>
      <w:szCs w:val="16"/>
    </w:rPr>
  </w:style>
  <w:style w:type="character" w:customStyle="1" w:styleId="f31">
    <w:name w:val="f31"/>
    <w:basedOn w:val="DefaultParagraphFont"/>
    <w:rsid w:val="00114CEC"/>
  </w:style>
  <w:style w:type="character" w:customStyle="1" w:styleId="f39">
    <w:name w:val="f39"/>
    <w:basedOn w:val="DefaultParagraphFont"/>
    <w:rsid w:val="00114CEC"/>
  </w:style>
  <w:style w:type="character" w:customStyle="1" w:styleId="sp">
    <w:name w:val="sp"/>
    <w:basedOn w:val="DefaultParagraphFont"/>
    <w:rsid w:val="00114CEC"/>
  </w:style>
  <w:style w:type="character" w:customStyle="1" w:styleId="f35">
    <w:name w:val="f35"/>
    <w:basedOn w:val="DefaultParagraphFont"/>
    <w:rsid w:val="00114CEC"/>
  </w:style>
  <w:style w:type="table" w:styleId="TableGrid">
    <w:name w:val="Table Grid"/>
    <w:basedOn w:val="TableNormal"/>
    <w:uiPriority w:val="59"/>
    <w:rsid w:val="00E2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65"/>
  </w:style>
  <w:style w:type="paragraph" w:styleId="Footer">
    <w:name w:val="footer"/>
    <w:basedOn w:val="Normal"/>
    <w:link w:val="FooterChar"/>
    <w:uiPriority w:val="99"/>
    <w:unhideWhenUsed/>
    <w:rsid w:val="0049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65"/>
  </w:style>
  <w:style w:type="paragraph" w:styleId="ListParagraph">
    <w:name w:val="List Paragraph"/>
    <w:basedOn w:val="Normal"/>
    <w:uiPriority w:val="34"/>
    <w:qFormat/>
    <w:rsid w:val="00A8292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C5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EC"/>
    <w:rPr>
      <w:rFonts w:ascii="Tahoma" w:hAnsi="Tahoma" w:cs="Tahoma"/>
      <w:sz w:val="16"/>
      <w:szCs w:val="16"/>
    </w:rPr>
  </w:style>
  <w:style w:type="character" w:customStyle="1" w:styleId="f31">
    <w:name w:val="f31"/>
    <w:basedOn w:val="DefaultParagraphFont"/>
    <w:rsid w:val="00114CEC"/>
  </w:style>
  <w:style w:type="character" w:customStyle="1" w:styleId="f39">
    <w:name w:val="f39"/>
    <w:basedOn w:val="DefaultParagraphFont"/>
    <w:rsid w:val="00114CEC"/>
  </w:style>
  <w:style w:type="character" w:customStyle="1" w:styleId="sp">
    <w:name w:val="sp"/>
    <w:basedOn w:val="DefaultParagraphFont"/>
    <w:rsid w:val="00114CEC"/>
  </w:style>
  <w:style w:type="character" w:customStyle="1" w:styleId="f35">
    <w:name w:val="f35"/>
    <w:basedOn w:val="DefaultParagraphFont"/>
    <w:rsid w:val="00114CEC"/>
  </w:style>
  <w:style w:type="table" w:styleId="TableGrid">
    <w:name w:val="Table Grid"/>
    <w:basedOn w:val="TableNormal"/>
    <w:uiPriority w:val="59"/>
    <w:rsid w:val="00E2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65"/>
  </w:style>
  <w:style w:type="paragraph" w:styleId="Footer">
    <w:name w:val="footer"/>
    <w:basedOn w:val="Normal"/>
    <w:link w:val="FooterChar"/>
    <w:uiPriority w:val="99"/>
    <w:unhideWhenUsed/>
    <w:rsid w:val="00495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65"/>
  </w:style>
  <w:style w:type="paragraph" w:styleId="ListParagraph">
    <w:name w:val="List Paragraph"/>
    <w:basedOn w:val="Normal"/>
    <w:uiPriority w:val="34"/>
    <w:qFormat/>
    <w:rsid w:val="00A8292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C5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rliament.uk/business/publications/written-questions-answers-statements/written-statement/Commons/2016-03-03/HCWS574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Ian (RPC)</dc:creator>
  <cp:lastModifiedBy>Colin Bishop</cp:lastModifiedBy>
  <cp:revision>2</cp:revision>
  <dcterms:created xsi:type="dcterms:W3CDTF">2016-04-24T09:46:00Z</dcterms:created>
  <dcterms:modified xsi:type="dcterms:W3CDTF">2016-04-24T09:46:00Z</dcterms:modified>
</cp:coreProperties>
</file>